
<file path=[Content_Types].xml><?xml version="1.0" encoding="utf-8"?>
<Types xmlns="http://schemas.openxmlformats.org/package/2006/content-types">
  <Default Extension="xml" ContentType="application/xml"/>
  <Default Extension="jpeg" ContentType="image/jpeg"/>
  <Default Extension="bmp" ContentType="image/bmp"/>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8300"/>
      </w:tblGrid>
      <w:tr w:rsidR="00A429FE" w:rsidRPr="00A429FE" w:rsidTr="00A429FE">
        <w:trPr>
          <w:trHeight w:val="1920"/>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2"/>
              <w:gridCol w:w="4634"/>
              <w:gridCol w:w="3522"/>
              <w:gridCol w:w="72"/>
            </w:tblGrid>
            <w:tr w:rsidR="00A429FE" w:rsidRPr="00A429FE">
              <w:trPr>
                <w:trHeight w:val="100"/>
                <w:tblCellSpacing w:w="0" w:type="dxa"/>
              </w:trPr>
              <w:tc>
                <w:tcPr>
                  <w:tcW w:w="340" w:type="dxa"/>
                  <w:vAlign w:val="center"/>
                  <w:hideMark/>
                </w:tcPr>
                <w:p w:rsidR="00A429FE" w:rsidRPr="00A429FE" w:rsidRDefault="00A429FE" w:rsidP="00A429FE">
                  <w:pPr>
                    <w:spacing w:line="100" w:lineRule="atLeast"/>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59690" cy="59690"/>
                        <wp:effectExtent l="0" t="0" r="0" b="0"/>
                        <wp:docPr id="17007" name="Picture 17007"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07"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690" cy="59690"/>
                                </a:xfrm>
                                <a:prstGeom prst="rect">
                                  <a:avLst/>
                                </a:prstGeom>
                                <a:noFill/>
                                <a:ln>
                                  <a:noFill/>
                                </a:ln>
                              </pic:spPr>
                            </pic:pic>
                          </a:graphicData>
                        </a:graphic>
                      </wp:inline>
                    </w:drawing>
                  </w:r>
                </w:p>
              </w:tc>
              <w:tc>
                <w:tcPr>
                  <w:tcW w:w="3140" w:type="dxa"/>
                  <w:vAlign w:val="center"/>
                  <w:hideMark/>
                </w:tcPr>
                <w:p w:rsidR="00A429FE" w:rsidRPr="00A429FE" w:rsidRDefault="00A429FE" w:rsidP="00A429FE">
                  <w:pPr>
                    <w:spacing w:line="100" w:lineRule="atLeast"/>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1991360" cy="59690"/>
                        <wp:effectExtent l="0" t="0" r="0" b="0"/>
                        <wp:docPr id="17008" name="Picture 17008"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08"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1360" cy="59690"/>
                                </a:xfrm>
                                <a:prstGeom prst="rect">
                                  <a:avLst/>
                                </a:prstGeom>
                                <a:noFill/>
                                <a:ln>
                                  <a:noFill/>
                                </a:ln>
                              </pic:spPr>
                            </pic:pic>
                          </a:graphicData>
                        </a:graphic>
                      </wp:inline>
                    </w:drawing>
                  </w:r>
                </w:p>
              </w:tc>
              <w:tc>
                <w:tcPr>
                  <w:tcW w:w="5120" w:type="dxa"/>
                  <w:vAlign w:val="center"/>
                  <w:hideMark/>
                </w:tcPr>
                <w:p w:rsidR="00A429FE" w:rsidRPr="00A429FE" w:rsidRDefault="00A429FE" w:rsidP="00A429FE">
                  <w:pPr>
                    <w:spacing w:line="100" w:lineRule="atLeast"/>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2922905" cy="59690"/>
                        <wp:effectExtent l="0" t="0" r="0" b="0"/>
                        <wp:docPr id="17009" name="Picture 17009"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09"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22905" cy="59690"/>
                                </a:xfrm>
                                <a:prstGeom prst="rect">
                                  <a:avLst/>
                                </a:prstGeom>
                                <a:noFill/>
                                <a:ln>
                                  <a:noFill/>
                                </a:ln>
                              </pic:spPr>
                            </pic:pic>
                          </a:graphicData>
                        </a:graphic>
                      </wp:inline>
                    </w:drawing>
                  </w:r>
                </w:p>
              </w:tc>
              <w:tc>
                <w:tcPr>
                  <w:tcW w:w="0" w:type="auto"/>
                  <w:vAlign w:val="center"/>
                  <w:hideMark/>
                </w:tcPr>
                <w:p w:rsidR="00A429FE" w:rsidRPr="00A429FE" w:rsidRDefault="00A429FE" w:rsidP="00A429FE">
                  <w:pPr>
                    <w:spacing w:line="100" w:lineRule="atLeast"/>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59690" cy="59690"/>
                        <wp:effectExtent l="0" t="0" r="0" b="0"/>
                        <wp:docPr id="17010" name="Picture 17010"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10"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690" cy="59690"/>
                                </a:xfrm>
                                <a:prstGeom prst="rect">
                                  <a:avLst/>
                                </a:prstGeom>
                                <a:noFill/>
                                <a:ln>
                                  <a:noFill/>
                                </a:ln>
                              </pic:spPr>
                            </pic:pic>
                          </a:graphicData>
                        </a:graphic>
                      </wp:inline>
                    </w:drawing>
                  </w:r>
                </w:p>
              </w:tc>
            </w:tr>
            <w:tr w:rsidR="00A429FE" w:rsidRPr="00A429FE">
              <w:trPr>
                <w:tblCellSpacing w:w="0" w:type="dxa"/>
              </w:trPr>
              <w:tc>
                <w:tcPr>
                  <w:tcW w:w="0" w:type="auto"/>
                  <w:vAlign w:val="center"/>
                  <w:hideMark/>
                </w:tcPr>
                <w:p w:rsidR="00A429FE" w:rsidRPr="00A429FE" w:rsidRDefault="00A429FE" w:rsidP="00A429FE">
                  <w:pPr>
                    <w:rPr>
                      <w:rFonts w:ascii="Times" w:eastAsia="Times New Roman" w:hAnsi="Times" w:cs="Times New Roman"/>
                      <w:sz w:val="20"/>
                      <w:szCs w:val="20"/>
                      <w:lang w:val="en-AU"/>
                    </w:rPr>
                  </w:pPr>
                  <w:r w:rsidRPr="00A429FE">
                    <w:rPr>
                      <w:rFonts w:ascii="Times" w:eastAsia="Times New Roman" w:hAnsi="Times" w:cs="Times New Roman"/>
                      <w:sz w:val="20"/>
                      <w:szCs w:val="20"/>
                      <w:lang w:val="en-AU"/>
                    </w:rPr>
                    <w:t> </w:t>
                  </w:r>
                </w:p>
              </w:tc>
              <w:tc>
                <w:tcPr>
                  <w:tcW w:w="0" w:type="auto"/>
                  <w:hideMark/>
                </w:tcPr>
                <w:p w:rsidR="00A429FE" w:rsidRPr="00A429FE" w:rsidRDefault="00A429FE" w:rsidP="00A429FE">
                  <w:pPr>
                    <w:rPr>
                      <w:rFonts w:ascii="Times" w:eastAsia="Times New Roman" w:hAnsi="Times" w:cs="Times New Roman"/>
                      <w:sz w:val="20"/>
                      <w:szCs w:val="20"/>
                      <w:lang w:val="en-AU"/>
                    </w:rPr>
                  </w:pPr>
                  <w:r>
                    <w:rPr>
                      <w:rFonts w:ascii="Times" w:eastAsia="Times New Roman" w:hAnsi="Times" w:cs="Times New Roman"/>
                      <w:noProof/>
                      <w:color w:val="0000FF"/>
                      <w:sz w:val="20"/>
                      <w:szCs w:val="20"/>
                    </w:rPr>
                    <w:drawing>
                      <wp:inline distT="0" distB="0" distL="0" distR="0">
                        <wp:extent cx="3845560" cy="889000"/>
                        <wp:effectExtent l="0" t="0" r="0" b="0"/>
                        <wp:docPr id="17011" name="Picture 17011" descr="AI Global">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11" descr="AI Global">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45560" cy="889000"/>
                                </a:xfrm>
                                <a:prstGeom prst="rect">
                                  <a:avLst/>
                                </a:prstGeom>
                                <a:noFill/>
                                <a:ln>
                                  <a:noFill/>
                                </a:ln>
                              </pic:spPr>
                            </pic:pic>
                          </a:graphicData>
                        </a:graphic>
                      </wp:inline>
                    </w:drawing>
                  </w:r>
                </w:p>
              </w:tc>
              <w:tc>
                <w:tcPr>
                  <w:tcW w:w="0" w:type="auto"/>
                  <w:vAlign w:val="center"/>
                  <w:hideMark/>
                </w:tcPr>
                <w:p w:rsidR="00A429FE" w:rsidRPr="00A429FE" w:rsidRDefault="00A429FE" w:rsidP="00A429FE">
                  <w:pPr>
                    <w:rPr>
                      <w:rFonts w:ascii="Times" w:eastAsia="Times New Roman" w:hAnsi="Times" w:cs="Times New Roman"/>
                      <w:sz w:val="20"/>
                      <w:szCs w:val="20"/>
                      <w:lang w:val="en-AU"/>
                    </w:rPr>
                  </w:pPr>
                  <w:r w:rsidRPr="00A429FE">
                    <w:rPr>
                      <w:rFonts w:ascii="Times" w:eastAsia="Times New Roman" w:hAnsi="Times" w:cs="Times New Roman"/>
                      <w:sz w:val="20"/>
                      <w:szCs w:val="20"/>
                      <w:lang w:val="en-AU"/>
                    </w:rPr>
                    <w:t> </w:t>
                  </w:r>
                </w:p>
              </w:tc>
              <w:tc>
                <w:tcPr>
                  <w:tcW w:w="0" w:type="auto"/>
                  <w:vAlign w:val="bottom"/>
                  <w:hideMark/>
                </w:tcPr>
                <w:p w:rsidR="00A429FE" w:rsidRPr="00A429FE" w:rsidRDefault="00A429FE" w:rsidP="00A429FE">
                  <w:pPr>
                    <w:rPr>
                      <w:rFonts w:ascii="Times" w:eastAsia="Times New Roman" w:hAnsi="Times" w:cs="Times New Roman"/>
                      <w:sz w:val="20"/>
                      <w:szCs w:val="20"/>
                      <w:lang w:val="en-AU"/>
                    </w:rPr>
                  </w:pPr>
                </w:p>
              </w:tc>
            </w:tr>
          </w:tbl>
          <w:p w:rsidR="00A429FE" w:rsidRPr="00A429FE" w:rsidRDefault="00A429FE" w:rsidP="00A429FE">
            <w:pPr>
              <w:rPr>
                <w:rFonts w:ascii="Times" w:eastAsia="Times New Roman" w:hAnsi="Times" w:cs="Times New Roman"/>
                <w:sz w:val="20"/>
                <w:szCs w:val="20"/>
                <w:lang w:val="en-AU"/>
              </w:rPr>
            </w:pPr>
          </w:p>
        </w:tc>
      </w:tr>
      <w:tr w:rsidR="00A429FE" w:rsidRPr="00A429FE" w:rsidTr="00A429FE">
        <w:trPr>
          <w:trHeight w:val="20"/>
          <w:tblCellSpacing w:w="0" w:type="dxa"/>
        </w:trPr>
        <w:tc>
          <w:tcPr>
            <w:tcW w:w="0" w:type="auto"/>
            <w:shd w:val="clear" w:color="auto" w:fill="BCBDBE"/>
            <w:vAlign w:val="center"/>
            <w:hideMark/>
          </w:tcPr>
          <w:p w:rsidR="00A429FE" w:rsidRPr="00A429FE" w:rsidRDefault="00A429FE" w:rsidP="00A429FE">
            <w:pPr>
              <w:spacing w:line="20" w:lineRule="atLeast"/>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17145" cy="17145"/>
                  <wp:effectExtent l="0" t="0" r="0" b="0"/>
                  <wp:docPr id="17012" name="Picture 17012"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12"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tc>
      </w:tr>
      <w:tr w:rsidR="00A429FE" w:rsidRPr="00A429FE" w:rsidTr="00A429FE">
        <w:trPr>
          <w:trHeight w:val="460"/>
          <w:tblCellSpacing w:w="0" w:type="dxa"/>
        </w:trPr>
        <w:tc>
          <w:tcPr>
            <w:tcW w:w="0" w:type="auto"/>
            <w:shd w:val="clear" w:color="auto" w:fill="797B7C"/>
            <w:vAlign w:val="center"/>
            <w:hideMark/>
          </w:tcPr>
          <w:tbl>
            <w:tblPr>
              <w:tblW w:w="5000" w:type="pct"/>
              <w:tblCellSpacing w:w="0" w:type="dxa"/>
              <w:tblCellMar>
                <w:left w:w="0" w:type="dxa"/>
                <w:right w:w="0" w:type="dxa"/>
              </w:tblCellMar>
              <w:tblLook w:val="04A0" w:firstRow="1" w:lastRow="0" w:firstColumn="1" w:lastColumn="0" w:noHBand="0" w:noVBand="1"/>
            </w:tblPr>
            <w:tblGrid>
              <w:gridCol w:w="540"/>
              <w:gridCol w:w="3000"/>
              <w:gridCol w:w="4220"/>
              <w:gridCol w:w="540"/>
            </w:tblGrid>
            <w:tr w:rsidR="00A429FE" w:rsidRPr="00A429FE">
              <w:trPr>
                <w:tblCellSpacing w:w="0" w:type="dxa"/>
              </w:trPr>
              <w:tc>
                <w:tcPr>
                  <w:tcW w:w="540" w:type="dxa"/>
                  <w:vAlign w:val="center"/>
                  <w:hideMark/>
                </w:tcPr>
                <w:p w:rsidR="00A429FE" w:rsidRPr="00A429FE" w:rsidRDefault="00A429FE" w:rsidP="00A429FE">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17013" name="Picture 17013"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13"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3000" w:type="dxa"/>
                  <w:vAlign w:val="center"/>
                  <w:hideMark/>
                </w:tcPr>
                <w:p w:rsidR="00A429FE" w:rsidRPr="00A429FE" w:rsidRDefault="00A429FE" w:rsidP="00A429FE">
                  <w:pPr>
                    <w:rPr>
                      <w:rFonts w:ascii="Times" w:eastAsia="Times New Roman" w:hAnsi="Times" w:cs="Times New Roman"/>
                      <w:sz w:val="20"/>
                      <w:szCs w:val="20"/>
                      <w:lang w:val="en-AU"/>
                    </w:rPr>
                  </w:pPr>
                  <w:r w:rsidRPr="00A429FE">
                    <w:rPr>
                      <w:rFonts w:ascii="Times" w:eastAsia="Times New Roman" w:hAnsi="Times" w:cs="Times New Roman"/>
                      <w:sz w:val="20"/>
                      <w:szCs w:val="20"/>
                      <w:lang w:val="en-AU"/>
                    </w:rPr>
                    <w:t xml:space="preserve">27 October 2010 </w:t>
                  </w:r>
                </w:p>
              </w:tc>
              <w:tc>
                <w:tcPr>
                  <w:tcW w:w="0" w:type="auto"/>
                  <w:vAlign w:val="center"/>
                  <w:hideMark/>
                </w:tcPr>
                <w:p w:rsidR="00A429FE" w:rsidRPr="00A429FE" w:rsidRDefault="00A429FE" w:rsidP="00A429FE">
                  <w:pPr>
                    <w:jc w:val="right"/>
                    <w:rPr>
                      <w:rFonts w:ascii="Times" w:eastAsia="Times New Roman" w:hAnsi="Times" w:cs="Times New Roman"/>
                      <w:sz w:val="20"/>
                      <w:szCs w:val="20"/>
                      <w:lang w:val="en-AU"/>
                    </w:rPr>
                  </w:pPr>
                  <w:r w:rsidRPr="00A429FE">
                    <w:rPr>
                      <w:rFonts w:ascii="Times" w:eastAsia="Times New Roman" w:hAnsi="Times" w:cs="Times New Roman"/>
                      <w:sz w:val="20"/>
                      <w:szCs w:val="20"/>
                      <w:lang w:val="en-AU"/>
                    </w:rPr>
                    <w:t>&gt;  Regulatory Newsfeed</w:t>
                  </w:r>
                </w:p>
              </w:tc>
              <w:tc>
                <w:tcPr>
                  <w:tcW w:w="540" w:type="dxa"/>
                  <w:vAlign w:val="center"/>
                  <w:hideMark/>
                </w:tcPr>
                <w:p w:rsidR="00A429FE" w:rsidRPr="00A429FE" w:rsidRDefault="00A429FE" w:rsidP="00A429FE">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17014" name="Picture 17014"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14"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bl>
          <w:p w:rsidR="00A429FE" w:rsidRPr="00A429FE" w:rsidRDefault="00A429FE" w:rsidP="00A429FE">
            <w:pPr>
              <w:rPr>
                <w:rFonts w:ascii="Times" w:eastAsia="Times New Roman" w:hAnsi="Times" w:cs="Times New Roman"/>
                <w:sz w:val="20"/>
                <w:szCs w:val="20"/>
                <w:lang w:val="en-AU"/>
              </w:rPr>
            </w:pPr>
          </w:p>
        </w:tc>
      </w:tr>
      <w:tr w:rsidR="00A429FE" w:rsidRPr="00A429FE" w:rsidTr="00A429FE">
        <w:trPr>
          <w:trHeight w:val="700"/>
          <w:tblCellSpacing w:w="0" w:type="dxa"/>
        </w:trPr>
        <w:tc>
          <w:tcPr>
            <w:tcW w:w="0" w:type="auto"/>
            <w:vAlign w:val="center"/>
            <w:hideMark/>
          </w:tcPr>
          <w:p w:rsidR="00A429FE" w:rsidRPr="00A429FE" w:rsidRDefault="00A429FE" w:rsidP="00A429FE">
            <w:pPr>
              <w:rPr>
                <w:rFonts w:ascii="Times" w:eastAsia="Times New Roman" w:hAnsi="Times" w:cs="Times New Roman"/>
                <w:sz w:val="20"/>
                <w:szCs w:val="20"/>
                <w:lang w:val="en-AU"/>
              </w:rPr>
            </w:pPr>
            <w:r w:rsidRPr="00A429FE">
              <w:rPr>
                <w:rFonts w:ascii="Times" w:eastAsia="Times New Roman" w:hAnsi="Times" w:cs="Times New Roman"/>
                <w:sz w:val="20"/>
                <w:szCs w:val="20"/>
                <w:lang w:val="en-AU"/>
              </w:rPr>
              <w:t> </w:t>
            </w:r>
          </w:p>
        </w:tc>
      </w:tr>
    </w:tbl>
    <w:p w:rsidR="00A429FE" w:rsidRPr="00A429FE" w:rsidRDefault="00A429FE" w:rsidP="00A429FE">
      <w:pPr>
        <w:rPr>
          <w:rFonts w:ascii="Times" w:eastAsia="Times New Roman" w:hAnsi="Times" w:cs="Times New Roman"/>
          <w:vanish/>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540"/>
        <w:gridCol w:w="7220"/>
        <w:gridCol w:w="540"/>
      </w:tblGrid>
      <w:tr w:rsidR="00A429FE" w:rsidRPr="00A429FE" w:rsidTr="00A429FE">
        <w:trPr>
          <w:trHeight w:val="400"/>
          <w:tblCellSpacing w:w="0" w:type="dxa"/>
        </w:trPr>
        <w:tc>
          <w:tcPr>
            <w:tcW w:w="540" w:type="dxa"/>
            <w:hideMark/>
          </w:tcPr>
          <w:p w:rsidR="00A429FE" w:rsidRPr="00A429FE" w:rsidRDefault="00A429FE" w:rsidP="00A429FE">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17015" name="Picture 17015"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15"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220"/>
            </w:tblGrid>
            <w:tr w:rsidR="00A429FE" w:rsidRPr="00A429FE">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720"/>
                    <w:gridCol w:w="3500"/>
                  </w:tblGrid>
                  <w:tr w:rsidR="00A429FE" w:rsidRPr="00A429FE">
                    <w:trPr>
                      <w:tblCellSpacing w:w="0" w:type="dxa"/>
                    </w:trPr>
                    <w:tc>
                      <w:tcPr>
                        <w:tcW w:w="0" w:type="auto"/>
                        <w:vAlign w:val="bottom"/>
                        <w:hideMark/>
                      </w:tcPr>
                      <w:p w:rsidR="00A429FE" w:rsidRPr="00A429FE" w:rsidRDefault="00A429FE" w:rsidP="00A429FE">
                        <w:pPr>
                          <w:rPr>
                            <w:rFonts w:ascii="Times" w:eastAsia="Times New Roman" w:hAnsi="Times" w:cs="Times New Roman"/>
                            <w:sz w:val="20"/>
                            <w:szCs w:val="20"/>
                            <w:lang w:val="en-AU"/>
                          </w:rPr>
                        </w:pPr>
                        <w:r w:rsidRPr="00A429FE">
                          <w:rPr>
                            <w:rFonts w:ascii="Times" w:eastAsia="Times New Roman" w:hAnsi="Times" w:cs="Times New Roman"/>
                            <w:sz w:val="20"/>
                            <w:szCs w:val="20"/>
                            <w:lang w:val="en-AU"/>
                          </w:rPr>
                          <w:t>SAI Global Corporate Law Bulletin No. 158&gt;</w:t>
                        </w:r>
                      </w:p>
                    </w:tc>
                    <w:tc>
                      <w:tcPr>
                        <w:tcW w:w="3500" w:type="dxa"/>
                        <w:vAlign w:val="center"/>
                        <w:hideMark/>
                      </w:tcPr>
                      <w:p w:rsidR="00A429FE" w:rsidRPr="00A429FE" w:rsidRDefault="00A429FE" w:rsidP="00A429FE">
                        <w:pPr>
                          <w:rPr>
                            <w:rFonts w:ascii="Times" w:eastAsia="Times New Roman" w:hAnsi="Times" w:cs="Times New Roman"/>
                            <w:sz w:val="20"/>
                            <w:szCs w:val="20"/>
                            <w:lang w:val="en-AU"/>
                          </w:rPr>
                        </w:pPr>
                      </w:p>
                    </w:tc>
                  </w:tr>
                </w:tbl>
                <w:p w:rsidR="00A429FE" w:rsidRPr="00A429FE" w:rsidRDefault="00A429FE" w:rsidP="00A429FE">
                  <w:pPr>
                    <w:rPr>
                      <w:rFonts w:ascii="Times" w:eastAsia="Times New Roman" w:hAnsi="Times" w:cs="Times New Roman"/>
                      <w:sz w:val="20"/>
                      <w:szCs w:val="20"/>
                      <w:lang w:val="en-AU"/>
                    </w:rPr>
                  </w:pPr>
                </w:p>
              </w:tc>
            </w:tr>
          </w:tbl>
          <w:p w:rsidR="00A429FE" w:rsidRPr="00A429FE" w:rsidRDefault="00A429FE" w:rsidP="00A429FE">
            <w:pPr>
              <w:rPr>
                <w:rFonts w:ascii="Times" w:eastAsia="Times New Roman" w:hAnsi="Times" w:cs="Times New Roman"/>
                <w:sz w:val="20"/>
                <w:szCs w:val="20"/>
                <w:lang w:val="en-AU"/>
              </w:rPr>
            </w:pPr>
          </w:p>
        </w:tc>
        <w:tc>
          <w:tcPr>
            <w:tcW w:w="540" w:type="dxa"/>
            <w:hideMark/>
          </w:tcPr>
          <w:p w:rsidR="00A429FE" w:rsidRPr="00A429FE" w:rsidRDefault="00A429FE" w:rsidP="00A429FE">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17016" name="Picture 17016"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16"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bl>
    <w:p w:rsidR="00A429FE" w:rsidRPr="00A429FE" w:rsidRDefault="00A429FE" w:rsidP="00A429FE">
      <w:pPr>
        <w:rPr>
          <w:rFonts w:ascii="Times" w:eastAsia="Times New Roman" w:hAnsi="Times" w:cs="Times New Roman"/>
          <w:vanish/>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362"/>
        <w:gridCol w:w="7576"/>
        <w:gridCol w:w="362"/>
      </w:tblGrid>
      <w:tr w:rsidR="00A429FE" w:rsidRPr="00A429FE" w:rsidTr="00A429FE">
        <w:trPr>
          <w:trHeight w:val="400"/>
          <w:tblCellSpacing w:w="0" w:type="dxa"/>
        </w:trPr>
        <w:tc>
          <w:tcPr>
            <w:tcW w:w="540" w:type="dxa"/>
            <w:hideMark/>
          </w:tcPr>
          <w:p w:rsidR="00A429FE" w:rsidRPr="00A429FE" w:rsidRDefault="00A429FE" w:rsidP="00A429FE">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17017" name="Picture 17017"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17"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576"/>
            </w:tblGrid>
            <w:tr w:rsidR="00A429FE" w:rsidRPr="00A429FE">
              <w:trPr>
                <w:tblCellSpacing w:w="0" w:type="dxa"/>
              </w:trPr>
              <w:tc>
                <w:tcPr>
                  <w:tcW w:w="0" w:type="auto"/>
                  <w:vAlign w:val="center"/>
                  <w:hideMark/>
                </w:tcPr>
                <w:p w:rsidR="00A429FE" w:rsidRPr="00A429FE" w:rsidRDefault="00A429FE" w:rsidP="00A429FE">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6956425" cy="187960"/>
                        <wp:effectExtent l="0" t="0" r="0" b="0"/>
                        <wp:docPr id="17018" name="Picture 17018"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18"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6425" cy="187960"/>
                                </a:xfrm>
                                <a:prstGeom prst="rect">
                                  <a:avLst/>
                                </a:prstGeom>
                                <a:noFill/>
                                <a:ln>
                                  <a:noFill/>
                                </a:ln>
                              </pic:spPr>
                            </pic:pic>
                          </a:graphicData>
                        </a:graphic>
                      </wp:inline>
                    </w:drawing>
                  </w:r>
                </w:p>
              </w:tc>
            </w:tr>
            <w:tr w:rsidR="00A429FE" w:rsidRPr="00A429FE">
              <w:trPr>
                <w:trHeight w:val="560"/>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576"/>
                  </w:tblGrid>
                  <w:tr w:rsidR="00A429FE" w:rsidRPr="00A429FE">
                    <w:trPr>
                      <w:trHeight w:val="560"/>
                      <w:tblCellSpacing w:w="0" w:type="dxa"/>
                    </w:trPr>
                    <w:tc>
                      <w:tcPr>
                        <w:tcW w:w="0" w:type="auto"/>
                        <w:shd w:val="clear" w:color="auto" w:fill="C4262E"/>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4098"/>
                          <w:gridCol w:w="3478"/>
                        </w:tblGrid>
                        <w:tr w:rsidR="00A429FE" w:rsidRPr="00A429FE">
                          <w:trPr>
                            <w:tblCellSpacing w:w="0" w:type="dxa"/>
                          </w:trPr>
                          <w:tc>
                            <w:tcPr>
                              <w:tcW w:w="0" w:type="auto"/>
                              <w:vAlign w:val="center"/>
                              <w:hideMark/>
                            </w:tcPr>
                            <w:p w:rsidR="00A429FE" w:rsidRPr="00A429FE" w:rsidRDefault="00A429FE" w:rsidP="00A429FE">
                              <w:pPr>
                                <w:rPr>
                                  <w:rFonts w:ascii="Times" w:eastAsia="Times New Roman" w:hAnsi="Times" w:cs="Times New Roman"/>
                                  <w:sz w:val="20"/>
                                  <w:szCs w:val="20"/>
                                  <w:lang w:val="en-AU"/>
                                </w:rPr>
                              </w:pPr>
                              <w:r w:rsidRPr="00A429FE">
                                <w:rPr>
                                  <w:rFonts w:ascii="Times" w:eastAsia="Times New Roman" w:hAnsi="Times" w:cs="Times New Roman"/>
                                  <w:b/>
                                  <w:bCs/>
                                  <w:sz w:val="20"/>
                                  <w:szCs w:val="20"/>
                                  <w:lang w:val="en-AU"/>
                                </w:rPr>
                                <w:t>Index</w:t>
                              </w:r>
                            </w:p>
                          </w:tc>
                          <w:tc>
                            <w:tcPr>
                              <w:tcW w:w="3100" w:type="dxa"/>
                              <w:vAlign w:val="center"/>
                              <w:hideMark/>
                            </w:tcPr>
                            <w:p w:rsidR="00A429FE" w:rsidRPr="00A429FE" w:rsidRDefault="00A429FE" w:rsidP="00A429FE">
                              <w:pPr>
                                <w:jc w:val="right"/>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290830" cy="256540"/>
                                    <wp:effectExtent l="0" t="0" r="0" b="0"/>
                                    <wp:docPr id="17019" name="Picture 17019" descr="mail lawl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19" descr="mail lawle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0830" cy="256540"/>
                                            </a:xfrm>
                                            <a:prstGeom prst="rect">
                                              <a:avLst/>
                                            </a:prstGeom>
                                            <a:noFill/>
                                            <a:ln>
                                              <a:noFill/>
                                            </a:ln>
                                          </pic:spPr>
                                        </pic:pic>
                                      </a:graphicData>
                                    </a:graphic>
                                  </wp:inline>
                                </w:drawing>
                              </w:r>
                              <w:r w:rsidRPr="00A429FE">
                                <w:rPr>
                                  <w:rFonts w:ascii="Times" w:eastAsia="Times New Roman" w:hAnsi="Times" w:cs="Times New Roman"/>
                                  <w:sz w:val="20"/>
                                  <w:szCs w:val="20"/>
                                  <w:lang w:val="en-AU"/>
                                </w:rPr>
                                <w:t> </w:t>
                              </w:r>
                              <w:r w:rsidRPr="00A429FE">
                                <w:rPr>
                                  <w:rFonts w:ascii="Times" w:eastAsia="Times New Roman" w:hAnsi="Times" w:cs="Times New Roman"/>
                                  <w:sz w:val="20"/>
                                  <w:szCs w:val="20"/>
                                  <w:lang w:val="en-AU"/>
                                </w:rPr>
                                <w:fldChar w:fldCharType="begin"/>
                              </w:r>
                              <w:r w:rsidRPr="00A429FE">
                                <w:rPr>
                                  <w:rFonts w:ascii="Times" w:eastAsia="Times New Roman" w:hAnsi="Times" w:cs="Times New Roman"/>
                                  <w:sz w:val="20"/>
                                  <w:szCs w:val="20"/>
                                  <w:lang w:val="en-AU"/>
                                </w:rPr>
                                <w:instrText xml:space="preserve"> HYPERLINK "mailto:helpdesk.asiapac@saiglobal.com" \t "_new" </w:instrText>
                              </w:r>
                              <w:r w:rsidRPr="00A429FE">
                                <w:rPr>
                                  <w:rFonts w:ascii="Times" w:eastAsia="Times New Roman" w:hAnsi="Times" w:cs="Times New Roman"/>
                                  <w:sz w:val="20"/>
                                  <w:szCs w:val="20"/>
                                  <w:lang w:val="en-AU"/>
                                </w:rPr>
                              </w:r>
                              <w:r w:rsidRPr="00A429FE">
                                <w:rPr>
                                  <w:rFonts w:ascii="Times" w:eastAsia="Times New Roman" w:hAnsi="Times" w:cs="Times New Roman"/>
                                  <w:sz w:val="20"/>
                                  <w:szCs w:val="20"/>
                                  <w:lang w:val="en-AU"/>
                                </w:rPr>
                                <w:fldChar w:fldCharType="separate"/>
                              </w:r>
                              <w:r w:rsidRPr="00A429FE">
                                <w:rPr>
                                  <w:rFonts w:ascii="Times" w:eastAsia="Times New Roman" w:hAnsi="Times" w:cs="Times New Roman"/>
                                  <w:color w:val="FFFFFF"/>
                                  <w:sz w:val="20"/>
                                  <w:szCs w:val="20"/>
                                  <w:u w:val="single"/>
                                  <w:lang w:val="en-AU"/>
                                </w:rPr>
                                <w:t>helpdesk.asiapac@saiglobal.com</w:t>
                              </w:r>
                              <w:r w:rsidRPr="00A429FE">
                                <w:rPr>
                                  <w:rFonts w:ascii="Times" w:eastAsia="Times New Roman" w:hAnsi="Times" w:cs="Times New Roman"/>
                                  <w:sz w:val="20"/>
                                  <w:szCs w:val="20"/>
                                  <w:lang w:val="en-AU"/>
                                </w:rPr>
                                <w:fldChar w:fldCharType="end"/>
                              </w:r>
                            </w:p>
                          </w:tc>
                        </w:tr>
                      </w:tbl>
                      <w:p w:rsidR="00A429FE" w:rsidRPr="00A429FE" w:rsidRDefault="00A429FE" w:rsidP="00A429FE">
                        <w:pPr>
                          <w:rPr>
                            <w:rFonts w:ascii="Times" w:eastAsia="Times New Roman" w:hAnsi="Times" w:cs="Times New Roman"/>
                            <w:sz w:val="20"/>
                            <w:szCs w:val="20"/>
                            <w:lang w:val="en-AU"/>
                          </w:rPr>
                        </w:pPr>
                      </w:p>
                    </w:tc>
                  </w:tr>
                  <w:tr w:rsidR="00A429FE" w:rsidRPr="00A429FE">
                    <w:trPr>
                      <w:tblCellSpacing w:w="0" w:type="dxa"/>
                    </w:trPr>
                    <w:tc>
                      <w:tcPr>
                        <w:tcW w:w="0" w:type="auto"/>
                        <w:vAlign w:val="center"/>
                        <w:hideMark/>
                      </w:tcPr>
                      <w:p w:rsidR="00A429FE" w:rsidRPr="00A429FE" w:rsidRDefault="00A429FE" w:rsidP="00A429FE">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6956425" cy="17145"/>
                              <wp:effectExtent l="0" t="0" r="0" b="0"/>
                              <wp:docPr id="17020" name="Picture 17020"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20"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6425" cy="17145"/>
                                      </a:xfrm>
                                      <a:prstGeom prst="rect">
                                        <a:avLst/>
                                      </a:prstGeom>
                                      <a:noFill/>
                                      <a:ln>
                                        <a:noFill/>
                                      </a:ln>
                                    </pic:spPr>
                                  </pic:pic>
                                </a:graphicData>
                              </a:graphic>
                            </wp:inline>
                          </w:drawing>
                        </w:r>
                      </w:p>
                    </w:tc>
                  </w:tr>
                </w:tbl>
                <w:p w:rsidR="00A429FE" w:rsidRPr="00A429FE" w:rsidRDefault="00A429FE" w:rsidP="00A429FE">
                  <w:pPr>
                    <w:rPr>
                      <w:rFonts w:ascii="Times" w:eastAsia="Times New Roman" w:hAnsi="Times" w:cs="Times New Roman"/>
                      <w:sz w:val="20"/>
                      <w:szCs w:val="20"/>
                      <w:lang w:val="en-AU"/>
                    </w:rPr>
                  </w:pPr>
                </w:p>
              </w:tc>
            </w:tr>
          </w:tbl>
          <w:p w:rsidR="00A429FE" w:rsidRPr="00A429FE" w:rsidRDefault="00A429FE" w:rsidP="00A429FE">
            <w:pPr>
              <w:rPr>
                <w:rFonts w:ascii="Times" w:eastAsia="Times New Roman" w:hAnsi="Times" w:cs="Times New Roman"/>
                <w:sz w:val="20"/>
                <w:szCs w:val="20"/>
                <w:lang w:val="en-AU"/>
              </w:rPr>
            </w:pPr>
          </w:p>
        </w:tc>
        <w:tc>
          <w:tcPr>
            <w:tcW w:w="540" w:type="dxa"/>
            <w:hideMark/>
          </w:tcPr>
          <w:p w:rsidR="00A429FE" w:rsidRPr="00A429FE" w:rsidRDefault="00A429FE" w:rsidP="00A429FE">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17021" name="Picture 17021"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21"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bl>
    <w:p w:rsidR="00A429FE" w:rsidRPr="00A429FE" w:rsidRDefault="00A429FE" w:rsidP="00A429FE">
      <w:pPr>
        <w:rPr>
          <w:rFonts w:ascii="Times" w:eastAsia="Times New Roman" w:hAnsi="Times" w:cs="Times New Roman"/>
          <w:vanish/>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354"/>
        <w:gridCol w:w="7592"/>
        <w:gridCol w:w="354"/>
      </w:tblGrid>
      <w:tr w:rsidR="00A429FE" w:rsidRPr="00A429FE" w:rsidTr="00A429FE">
        <w:trPr>
          <w:tblCellSpacing w:w="0" w:type="dxa"/>
        </w:trPr>
        <w:tc>
          <w:tcPr>
            <w:tcW w:w="540" w:type="dxa"/>
            <w:hideMark/>
          </w:tcPr>
          <w:p w:rsidR="00A429FE" w:rsidRPr="00A429FE" w:rsidRDefault="00A429FE" w:rsidP="00A429FE">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17022" name="Picture 17022"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22"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7592"/>
            </w:tblGrid>
            <w:tr w:rsidR="00A429FE" w:rsidRPr="00A429FE">
              <w:trPr>
                <w:tblCellSpacing w:w="0" w:type="dxa"/>
              </w:trPr>
              <w:tc>
                <w:tcPr>
                  <w:tcW w:w="0" w:type="auto"/>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4672"/>
                    <w:gridCol w:w="2920"/>
                  </w:tblGrid>
                  <w:tr w:rsidR="00A429FE" w:rsidRPr="00A429FE">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4352"/>
                        </w:tblGrid>
                        <w:tr w:rsidR="00A429FE" w:rsidRPr="00A429FE">
                          <w:trPr>
                            <w:tblCellSpacing w:w="0" w:type="dxa"/>
                          </w:trPr>
                          <w:tc>
                            <w:tcPr>
                              <w:tcW w:w="3000" w:type="pct"/>
                              <w:vAlign w:val="center"/>
                              <w:hideMark/>
                            </w:tcPr>
                            <w:p w:rsidR="00A429FE" w:rsidRPr="00A429FE" w:rsidRDefault="00A429FE" w:rsidP="00A429FE">
                              <w:pPr>
                                <w:spacing w:before="100" w:beforeAutospacing="1" w:after="100" w:afterAutospacing="1"/>
                                <w:rPr>
                                  <w:rFonts w:ascii="Times" w:hAnsi="Times" w:cs="Times New Roman"/>
                                  <w:sz w:val="20"/>
                                  <w:szCs w:val="20"/>
                                  <w:lang w:val="en-AU"/>
                                </w:rPr>
                              </w:pPr>
                              <w:r w:rsidRPr="00A429FE">
                                <w:rPr>
                                  <w:rFonts w:ascii="Times" w:hAnsi="Times" w:cs="Times New Roman"/>
                                  <w:b/>
                                  <w:bCs/>
                                  <w:sz w:val="20"/>
                                  <w:szCs w:val="20"/>
                                  <w:lang w:val="en-AU"/>
                                </w:rPr>
                                <w:t>Bulletin No. 158</w:t>
                              </w:r>
                            </w:p>
                            <w:p w:rsidR="00A429FE" w:rsidRPr="00A429FE" w:rsidRDefault="00A429FE" w:rsidP="00A429FE">
                              <w:pPr>
                                <w:spacing w:before="100" w:beforeAutospacing="1" w:after="100" w:afterAutospacing="1"/>
                                <w:rPr>
                                  <w:rFonts w:ascii="Times" w:hAnsi="Times" w:cs="Times New Roman"/>
                                  <w:sz w:val="20"/>
                                  <w:szCs w:val="20"/>
                                  <w:lang w:val="en-AU"/>
                                </w:rPr>
                              </w:pPr>
                              <w:r w:rsidRPr="00A429FE">
                                <w:rPr>
                                  <w:rFonts w:ascii="Times" w:hAnsi="Times" w:cs="Times New Roman"/>
                                  <w:sz w:val="20"/>
                                  <w:szCs w:val="20"/>
                                  <w:lang w:val="en-AU"/>
                                </w:rPr>
                                <w:t xml:space="preserve">Editor: </w:t>
                              </w:r>
                              <w:r w:rsidRPr="00A429FE">
                                <w:rPr>
                                  <w:rFonts w:ascii="Times" w:hAnsi="Times" w:cs="Times New Roman"/>
                                  <w:sz w:val="20"/>
                                  <w:szCs w:val="20"/>
                                  <w:lang w:val="en-AU"/>
                                </w:rPr>
                                <w:fldChar w:fldCharType="begin"/>
                              </w:r>
                              <w:r w:rsidRPr="00A429FE">
                                <w:rPr>
                                  <w:rFonts w:ascii="Times" w:hAnsi="Times" w:cs="Times New Roman"/>
                                  <w:sz w:val="20"/>
                                  <w:szCs w:val="20"/>
                                  <w:lang w:val="en-AU"/>
                                </w:rPr>
                                <w:instrText xml:space="preserve"> HYPERLINK "mailto:i.ramsay@unimelb.edu.au" \t "_new" </w:instrText>
                              </w:r>
                              <w:r w:rsidRPr="00A429FE">
                                <w:rPr>
                                  <w:rFonts w:ascii="Times" w:hAnsi="Times" w:cs="Times New Roman"/>
                                  <w:sz w:val="20"/>
                                  <w:szCs w:val="20"/>
                                  <w:lang w:val="en-AU"/>
                                </w:rPr>
                              </w:r>
                              <w:r w:rsidRPr="00A429FE">
                                <w:rPr>
                                  <w:rFonts w:ascii="Times" w:hAnsi="Times" w:cs="Times New Roman"/>
                                  <w:sz w:val="20"/>
                                  <w:szCs w:val="20"/>
                                  <w:lang w:val="en-AU"/>
                                </w:rPr>
                                <w:fldChar w:fldCharType="separate"/>
                              </w:r>
                              <w:r w:rsidRPr="00A429FE">
                                <w:rPr>
                                  <w:rFonts w:ascii="Times" w:hAnsi="Times" w:cs="Times New Roman"/>
                                  <w:color w:val="0000FF"/>
                                  <w:sz w:val="20"/>
                                  <w:szCs w:val="20"/>
                                  <w:u w:val="single"/>
                                  <w:lang w:val="en-AU"/>
                                </w:rPr>
                                <w:t>Professor Ian Ramsay</w:t>
                              </w:r>
                              <w:r w:rsidRPr="00A429FE">
                                <w:rPr>
                                  <w:rFonts w:ascii="Times" w:hAnsi="Times" w:cs="Times New Roman"/>
                                  <w:sz w:val="20"/>
                                  <w:szCs w:val="20"/>
                                  <w:lang w:val="en-AU"/>
                                </w:rPr>
                                <w:fldChar w:fldCharType="end"/>
                              </w:r>
                              <w:r w:rsidRPr="00A429FE">
                                <w:rPr>
                                  <w:rFonts w:ascii="Times" w:hAnsi="Times" w:cs="Times New Roman"/>
                                  <w:sz w:val="20"/>
                                  <w:szCs w:val="20"/>
                                  <w:lang w:val="en-AU"/>
                                </w:rPr>
                                <w:t xml:space="preserve">, Director, Centre for Corporate Law and Securities Regulation </w:t>
                              </w:r>
                            </w:p>
                            <w:p w:rsidR="00A429FE" w:rsidRPr="00A429FE" w:rsidRDefault="00A429FE" w:rsidP="00A429FE">
                              <w:pPr>
                                <w:spacing w:before="100" w:beforeAutospacing="1" w:after="100" w:afterAutospacing="1"/>
                                <w:rPr>
                                  <w:rFonts w:ascii="Times" w:hAnsi="Times" w:cs="Times New Roman"/>
                                  <w:sz w:val="20"/>
                                  <w:szCs w:val="20"/>
                                  <w:lang w:val="en-AU"/>
                                </w:rPr>
                              </w:pPr>
                              <w:r w:rsidRPr="00A429FE">
                                <w:rPr>
                                  <w:rFonts w:ascii="Times" w:hAnsi="Times" w:cs="Times New Roman"/>
                                  <w:sz w:val="20"/>
                                  <w:szCs w:val="20"/>
                                  <w:lang w:val="en-AU"/>
                                </w:rPr>
                                <w:t xml:space="preserve">Published by SAI Global on behalf of </w:t>
                              </w:r>
                              <w:r w:rsidRPr="00A429FE">
                                <w:rPr>
                                  <w:rFonts w:ascii="Times" w:hAnsi="Times" w:cs="Times New Roman"/>
                                  <w:sz w:val="20"/>
                                  <w:szCs w:val="20"/>
                                  <w:lang w:val="en-AU"/>
                                </w:rPr>
                                <w:fldChar w:fldCharType="begin"/>
                              </w:r>
                              <w:r w:rsidRPr="00A429FE">
                                <w:rPr>
                                  <w:rFonts w:ascii="Times" w:hAnsi="Times" w:cs="Times New Roman"/>
                                  <w:sz w:val="20"/>
                                  <w:szCs w:val="20"/>
                                  <w:lang w:val="en-AU"/>
                                </w:rPr>
                                <w:instrText xml:space="preserve"> HYPERLINK "http://cclsr.law.unimelb.edu.au/" \t "_new" </w:instrText>
                              </w:r>
                              <w:r w:rsidRPr="00A429FE">
                                <w:rPr>
                                  <w:rFonts w:ascii="Times" w:hAnsi="Times" w:cs="Times New Roman"/>
                                  <w:sz w:val="20"/>
                                  <w:szCs w:val="20"/>
                                  <w:lang w:val="en-AU"/>
                                </w:rPr>
                              </w:r>
                              <w:r w:rsidRPr="00A429FE">
                                <w:rPr>
                                  <w:rFonts w:ascii="Times" w:hAnsi="Times" w:cs="Times New Roman"/>
                                  <w:sz w:val="20"/>
                                  <w:szCs w:val="20"/>
                                  <w:lang w:val="en-AU"/>
                                </w:rPr>
                                <w:fldChar w:fldCharType="separate"/>
                              </w:r>
                              <w:r w:rsidRPr="00A429FE">
                                <w:rPr>
                                  <w:rFonts w:ascii="Times" w:hAnsi="Times" w:cs="Times New Roman"/>
                                  <w:color w:val="0000FF"/>
                                  <w:sz w:val="20"/>
                                  <w:szCs w:val="20"/>
                                  <w:u w:val="single"/>
                                  <w:lang w:val="en-AU"/>
                                </w:rPr>
                                <w:t>Centre for Corporate Law and Securities Regulation</w:t>
                              </w:r>
                              <w:r w:rsidRPr="00A429FE">
                                <w:rPr>
                                  <w:rFonts w:ascii="Times" w:hAnsi="Times" w:cs="Times New Roman"/>
                                  <w:sz w:val="20"/>
                                  <w:szCs w:val="20"/>
                                  <w:lang w:val="en-AU"/>
                                </w:rPr>
                                <w:fldChar w:fldCharType="end"/>
                              </w:r>
                              <w:r w:rsidRPr="00A429FE">
                                <w:rPr>
                                  <w:rFonts w:ascii="Times" w:hAnsi="Times" w:cs="Times New Roman"/>
                                  <w:sz w:val="20"/>
                                  <w:szCs w:val="20"/>
                                  <w:lang w:val="en-AU"/>
                                </w:rPr>
                                <w:t xml:space="preserve">, Faculty of Law, the University of Melbourne with the support of the </w:t>
                              </w:r>
                              <w:r w:rsidRPr="00A429FE">
                                <w:rPr>
                                  <w:rFonts w:ascii="Times" w:hAnsi="Times" w:cs="Times New Roman"/>
                                  <w:sz w:val="20"/>
                                  <w:szCs w:val="20"/>
                                  <w:lang w:val="en-AU"/>
                                </w:rPr>
                                <w:fldChar w:fldCharType="begin"/>
                              </w:r>
                              <w:r w:rsidRPr="00A429FE">
                                <w:rPr>
                                  <w:rFonts w:ascii="Times" w:hAnsi="Times" w:cs="Times New Roman"/>
                                  <w:sz w:val="20"/>
                                  <w:szCs w:val="20"/>
                                  <w:lang w:val="en-AU"/>
                                </w:rPr>
                                <w:instrText xml:space="preserve"> HYPERLINK "http://www.asic.gov.au/" \t "_new" </w:instrText>
                              </w:r>
                              <w:r w:rsidRPr="00A429FE">
                                <w:rPr>
                                  <w:rFonts w:ascii="Times" w:hAnsi="Times" w:cs="Times New Roman"/>
                                  <w:sz w:val="20"/>
                                  <w:szCs w:val="20"/>
                                  <w:lang w:val="en-AU"/>
                                </w:rPr>
                              </w:r>
                              <w:r w:rsidRPr="00A429FE">
                                <w:rPr>
                                  <w:rFonts w:ascii="Times" w:hAnsi="Times" w:cs="Times New Roman"/>
                                  <w:sz w:val="20"/>
                                  <w:szCs w:val="20"/>
                                  <w:lang w:val="en-AU"/>
                                </w:rPr>
                                <w:fldChar w:fldCharType="separate"/>
                              </w:r>
                              <w:r w:rsidRPr="00A429FE">
                                <w:rPr>
                                  <w:rFonts w:ascii="Times" w:hAnsi="Times" w:cs="Times New Roman"/>
                                  <w:color w:val="0000FF"/>
                                  <w:sz w:val="20"/>
                                  <w:szCs w:val="20"/>
                                  <w:u w:val="single"/>
                                  <w:lang w:val="en-AU"/>
                                </w:rPr>
                                <w:t>Australian Securities and Investments Commission</w:t>
                              </w:r>
                              <w:r w:rsidRPr="00A429FE">
                                <w:rPr>
                                  <w:rFonts w:ascii="Times" w:hAnsi="Times" w:cs="Times New Roman"/>
                                  <w:sz w:val="20"/>
                                  <w:szCs w:val="20"/>
                                  <w:lang w:val="en-AU"/>
                                </w:rPr>
                                <w:fldChar w:fldCharType="end"/>
                              </w:r>
                              <w:r w:rsidRPr="00A429FE">
                                <w:rPr>
                                  <w:rFonts w:ascii="Times" w:hAnsi="Times" w:cs="Times New Roman"/>
                                  <w:sz w:val="20"/>
                                  <w:szCs w:val="20"/>
                                  <w:lang w:val="en-AU"/>
                                </w:rPr>
                                <w:t xml:space="preserve">, the </w:t>
                              </w:r>
                              <w:r w:rsidRPr="00A429FE">
                                <w:rPr>
                                  <w:rFonts w:ascii="Times" w:hAnsi="Times" w:cs="Times New Roman"/>
                                  <w:sz w:val="20"/>
                                  <w:szCs w:val="20"/>
                                  <w:lang w:val="en-AU"/>
                                </w:rPr>
                                <w:fldChar w:fldCharType="begin"/>
                              </w:r>
                              <w:r w:rsidRPr="00A429FE">
                                <w:rPr>
                                  <w:rFonts w:ascii="Times" w:hAnsi="Times" w:cs="Times New Roman"/>
                                  <w:sz w:val="20"/>
                                  <w:szCs w:val="20"/>
                                  <w:lang w:val="en-AU"/>
                                </w:rPr>
                                <w:instrText xml:space="preserve"> HYPERLINK "http://www.asx.com.au/" \t "_new" </w:instrText>
                              </w:r>
                              <w:r w:rsidRPr="00A429FE">
                                <w:rPr>
                                  <w:rFonts w:ascii="Times" w:hAnsi="Times" w:cs="Times New Roman"/>
                                  <w:sz w:val="20"/>
                                  <w:szCs w:val="20"/>
                                  <w:lang w:val="en-AU"/>
                                </w:rPr>
                              </w:r>
                              <w:r w:rsidRPr="00A429FE">
                                <w:rPr>
                                  <w:rFonts w:ascii="Times" w:hAnsi="Times" w:cs="Times New Roman"/>
                                  <w:sz w:val="20"/>
                                  <w:szCs w:val="20"/>
                                  <w:lang w:val="en-AU"/>
                                </w:rPr>
                                <w:fldChar w:fldCharType="separate"/>
                              </w:r>
                              <w:r w:rsidRPr="00A429FE">
                                <w:rPr>
                                  <w:rFonts w:ascii="Times" w:hAnsi="Times" w:cs="Times New Roman"/>
                                  <w:color w:val="0000FF"/>
                                  <w:sz w:val="20"/>
                                  <w:szCs w:val="20"/>
                                  <w:u w:val="single"/>
                                  <w:lang w:val="en-AU"/>
                                </w:rPr>
                                <w:t>Australian Securities Exchange</w:t>
                              </w:r>
                              <w:r w:rsidRPr="00A429FE">
                                <w:rPr>
                                  <w:rFonts w:ascii="Times" w:hAnsi="Times" w:cs="Times New Roman"/>
                                  <w:sz w:val="20"/>
                                  <w:szCs w:val="20"/>
                                  <w:lang w:val="en-AU"/>
                                </w:rPr>
                                <w:fldChar w:fldCharType="end"/>
                              </w:r>
                              <w:r w:rsidRPr="00A429FE">
                                <w:rPr>
                                  <w:rFonts w:ascii="Times" w:hAnsi="Times" w:cs="Times New Roman"/>
                                  <w:sz w:val="20"/>
                                  <w:szCs w:val="20"/>
                                  <w:lang w:val="en-AU"/>
                                </w:rPr>
                                <w:t xml:space="preserve"> and the leading law firms: </w:t>
                              </w:r>
                              <w:r w:rsidRPr="00A429FE">
                                <w:rPr>
                                  <w:rFonts w:ascii="Times" w:hAnsi="Times" w:cs="Times New Roman"/>
                                  <w:sz w:val="20"/>
                                  <w:szCs w:val="20"/>
                                  <w:lang w:val="en-AU"/>
                                </w:rPr>
                                <w:fldChar w:fldCharType="begin"/>
                              </w:r>
                              <w:r w:rsidRPr="00A429FE">
                                <w:rPr>
                                  <w:rFonts w:ascii="Times" w:hAnsi="Times" w:cs="Times New Roman"/>
                                  <w:sz w:val="20"/>
                                  <w:szCs w:val="20"/>
                                  <w:lang w:val="en-AU"/>
                                </w:rPr>
                                <w:instrText xml:space="preserve"> HYPERLINK "http://www.blakedawson.com/" \t "_new" </w:instrText>
                              </w:r>
                              <w:r w:rsidRPr="00A429FE">
                                <w:rPr>
                                  <w:rFonts w:ascii="Times" w:hAnsi="Times" w:cs="Times New Roman"/>
                                  <w:sz w:val="20"/>
                                  <w:szCs w:val="20"/>
                                  <w:lang w:val="en-AU"/>
                                </w:rPr>
                              </w:r>
                              <w:r w:rsidRPr="00A429FE">
                                <w:rPr>
                                  <w:rFonts w:ascii="Times" w:hAnsi="Times" w:cs="Times New Roman"/>
                                  <w:sz w:val="20"/>
                                  <w:szCs w:val="20"/>
                                  <w:lang w:val="en-AU"/>
                                </w:rPr>
                                <w:fldChar w:fldCharType="separate"/>
                              </w:r>
                              <w:r w:rsidRPr="00A429FE">
                                <w:rPr>
                                  <w:rFonts w:ascii="Times" w:hAnsi="Times" w:cs="Times New Roman"/>
                                  <w:color w:val="0000FF"/>
                                  <w:sz w:val="20"/>
                                  <w:szCs w:val="20"/>
                                  <w:u w:val="single"/>
                                  <w:lang w:val="en-AU"/>
                                </w:rPr>
                                <w:t>Blake Dawson</w:t>
                              </w:r>
                              <w:r w:rsidRPr="00A429FE">
                                <w:rPr>
                                  <w:rFonts w:ascii="Times" w:hAnsi="Times" w:cs="Times New Roman"/>
                                  <w:sz w:val="20"/>
                                  <w:szCs w:val="20"/>
                                  <w:lang w:val="en-AU"/>
                                </w:rPr>
                                <w:fldChar w:fldCharType="end"/>
                              </w:r>
                              <w:r w:rsidRPr="00A429FE">
                                <w:rPr>
                                  <w:rFonts w:ascii="Times" w:hAnsi="Times" w:cs="Times New Roman"/>
                                  <w:sz w:val="20"/>
                                  <w:szCs w:val="20"/>
                                  <w:lang w:val="en-AU"/>
                                </w:rPr>
                                <w:t xml:space="preserve">, </w:t>
                              </w:r>
                              <w:r w:rsidRPr="00A429FE">
                                <w:rPr>
                                  <w:rFonts w:ascii="Times" w:hAnsi="Times" w:cs="Times New Roman"/>
                                  <w:sz w:val="20"/>
                                  <w:szCs w:val="20"/>
                                  <w:lang w:val="en-AU"/>
                                </w:rPr>
                                <w:fldChar w:fldCharType="begin"/>
                              </w:r>
                              <w:r w:rsidRPr="00A429FE">
                                <w:rPr>
                                  <w:rFonts w:ascii="Times" w:hAnsi="Times" w:cs="Times New Roman"/>
                                  <w:sz w:val="20"/>
                                  <w:szCs w:val="20"/>
                                  <w:lang w:val="en-AU"/>
                                </w:rPr>
                                <w:instrText xml:space="preserve"> HYPERLINK "http://www.claytonutz.com/" \t "_new" </w:instrText>
                              </w:r>
                              <w:r w:rsidRPr="00A429FE">
                                <w:rPr>
                                  <w:rFonts w:ascii="Times" w:hAnsi="Times" w:cs="Times New Roman"/>
                                  <w:sz w:val="20"/>
                                  <w:szCs w:val="20"/>
                                  <w:lang w:val="en-AU"/>
                                </w:rPr>
                              </w:r>
                              <w:r w:rsidRPr="00A429FE">
                                <w:rPr>
                                  <w:rFonts w:ascii="Times" w:hAnsi="Times" w:cs="Times New Roman"/>
                                  <w:sz w:val="20"/>
                                  <w:szCs w:val="20"/>
                                  <w:lang w:val="en-AU"/>
                                </w:rPr>
                                <w:fldChar w:fldCharType="separate"/>
                              </w:r>
                              <w:r w:rsidRPr="00A429FE">
                                <w:rPr>
                                  <w:rFonts w:ascii="Times" w:hAnsi="Times" w:cs="Times New Roman"/>
                                  <w:color w:val="0000FF"/>
                                  <w:sz w:val="20"/>
                                  <w:szCs w:val="20"/>
                                  <w:u w:val="single"/>
                                  <w:lang w:val="en-AU"/>
                                </w:rPr>
                                <w:t>Clayton Utz</w:t>
                              </w:r>
                              <w:r w:rsidRPr="00A429FE">
                                <w:rPr>
                                  <w:rFonts w:ascii="Times" w:hAnsi="Times" w:cs="Times New Roman"/>
                                  <w:sz w:val="20"/>
                                  <w:szCs w:val="20"/>
                                  <w:lang w:val="en-AU"/>
                                </w:rPr>
                                <w:fldChar w:fldCharType="end"/>
                              </w:r>
                              <w:r w:rsidRPr="00A429FE">
                                <w:rPr>
                                  <w:rFonts w:ascii="Times" w:hAnsi="Times" w:cs="Times New Roman"/>
                                  <w:sz w:val="20"/>
                                  <w:szCs w:val="20"/>
                                  <w:lang w:val="en-AU"/>
                                </w:rPr>
                                <w:t xml:space="preserve">, </w:t>
                              </w:r>
                              <w:r w:rsidRPr="00A429FE">
                                <w:rPr>
                                  <w:rFonts w:ascii="Times" w:hAnsi="Times" w:cs="Times New Roman"/>
                                  <w:sz w:val="20"/>
                                  <w:szCs w:val="20"/>
                                  <w:lang w:val="en-AU"/>
                                </w:rPr>
                                <w:fldChar w:fldCharType="begin"/>
                              </w:r>
                              <w:r w:rsidRPr="00A429FE">
                                <w:rPr>
                                  <w:rFonts w:ascii="Times" w:hAnsi="Times" w:cs="Times New Roman"/>
                                  <w:sz w:val="20"/>
                                  <w:szCs w:val="20"/>
                                  <w:lang w:val="en-AU"/>
                                </w:rPr>
                                <w:instrText xml:space="preserve"> HYPERLINK "http://www.corrs.com.au/" \t "_new" </w:instrText>
                              </w:r>
                              <w:r w:rsidRPr="00A429FE">
                                <w:rPr>
                                  <w:rFonts w:ascii="Times" w:hAnsi="Times" w:cs="Times New Roman"/>
                                  <w:sz w:val="20"/>
                                  <w:szCs w:val="20"/>
                                  <w:lang w:val="en-AU"/>
                                </w:rPr>
                              </w:r>
                              <w:r w:rsidRPr="00A429FE">
                                <w:rPr>
                                  <w:rFonts w:ascii="Times" w:hAnsi="Times" w:cs="Times New Roman"/>
                                  <w:sz w:val="20"/>
                                  <w:szCs w:val="20"/>
                                  <w:lang w:val="en-AU"/>
                                </w:rPr>
                                <w:fldChar w:fldCharType="separate"/>
                              </w:r>
                              <w:r w:rsidRPr="00A429FE">
                                <w:rPr>
                                  <w:rFonts w:ascii="Times" w:hAnsi="Times" w:cs="Times New Roman"/>
                                  <w:color w:val="0000FF"/>
                                  <w:sz w:val="20"/>
                                  <w:szCs w:val="20"/>
                                  <w:u w:val="single"/>
                                  <w:lang w:val="en-AU"/>
                                </w:rPr>
                                <w:t>Corrs Chambers Westgarth</w:t>
                              </w:r>
                              <w:r w:rsidRPr="00A429FE">
                                <w:rPr>
                                  <w:rFonts w:ascii="Times" w:hAnsi="Times" w:cs="Times New Roman"/>
                                  <w:sz w:val="20"/>
                                  <w:szCs w:val="20"/>
                                  <w:lang w:val="en-AU"/>
                                </w:rPr>
                                <w:fldChar w:fldCharType="end"/>
                              </w:r>
                              <w:r w:rsidRPr="00A429FE">
                                <w:rPr>
                                  <w:rFonts w:ascii="Times" w:hAnsi="Times" w:cs="Times New Roman"/>
                                  <w:sz w:val="20"/>
                                  <w:szCs w:val="20"/>
                                  <w:lang w:val="en-AU"/>
                                </w:rPr>
                                <w:t xml:space="preserve">, </w:t>
                              </w:r>
                              <w:r w:rsidRPr="00A429FE">
                                <w:rPr>
                                  <w:rFonts w:ascii="Times" w:hAnsi="Times" w:cs="Times New Roman"/>
                                  <w:sz w:val="20"/>
                                  <w:szCs w:val="20"/>
                                  <w:lang w:val="en-AU"/>
                                </w:rPr>
                                <w:fldChar w:fldCharType="begin"/>
                              </w:r>
                              <w:r w:rsidRPr="00A429FE">
                                <w:rPr>
                                  <w:rFonts w:ascii="Times" w:hAnsi="Times" w:cs="Times New Roman"/>
                                  <w:sz w:val="20"/>
                                  <w:szCs w:val="20"/>
                                  <w:lang w:val="en-AU"/>
                                </w:rPr>
                                <w:instrText xml:space="preserve"> HYPERLINK "http://www.dlaphillipsfox.com/" \t "_new" </w:instrText>
                              </w:r>
                              <w:r w:rsidRPr="00A429FE">
                                <w:rPr>
                                  <w:rFonts w:ascii="Times" w:hAnsi="Times" w:cs="Times New Roman"/>
                                  <w:sz w:val="20"/>
                                  <w:szCs w:val="20"/>
                                  <w:lang w:val="en-AU"/>
                                </w:rPr>
                              </w:r>
                              <w:r w:rsidRPr="00A429FE">
                                <w:rPr>
                                  <w:rFonts w:ascii="Times" w:hAnsi="Times" w:cs="Times New Roman"/>
                                  <w:sz w:val="20"/>
                                  <w:szCs w:val="20"/>
                                  <w:lang w:val="en-AU"/>
                                </w:rPr>
                                <w:fldChar w:fldCharType="separate"/>
                              </w:r>
                              <w:r w:rsidRPr="00A429FE">
                                <w:rPr>
                                  <w:rFonts w:ascii="Times" w:hAnsi="Times" w:cs="Times New Roman"/>
                                  <w:color w:val="0000FF"/>
                                  <w:sz w:val="20"/>
                                  <w:szCs w:val="20"/>
                                  <w:u w:val="single"/>
                                  <w:lang w:val="en-AU"/>
                                </w:rPr>
                                <w:t>DLA Phillips Fox</w:t>
                              </w:r>
                              <w:r w:rsidRPr="00A429FE">
                                <w:rPr>
                                  <w:rFonts w:ascii="Times" w:hAnsi="Times" w:cs="Times New Roman"/>
                                  <w:sz w:val="20"/>
                                  <w:szCs w:val="20"/>
                                  <w:lang w:val="en-AU"/>
                                </w:rPr>
                                <w:fldChar w:fldCharType="end"/>
                              </w:r>
                              <w:r w:rsidRPr="00A429FE">
                                <w:rPr>
                                  <w:rFonts w:ascii="Times" w:hAnsi="Times" w:cs="Times New Roman"/>
                                  <w:sz w:val="20"/>
                                  <w:szCs w:val="20"/>
                                  <w:lang w:val="en-AU"/>
                                </w:rPr>
                                <w:t xml:space="preserve">, </w:t>
                              </w:r>
                              <w:r w:rsidRPr="00A429FE">
                                <w:rPr>
                                  <w:rFonts w:ascii="Times" w:hAnsi="Times" w:cs="Times New Roman"/>
                                  <w:sz w:val="20"/>
                                  <w:szCs w:val="20"/>
                                  <w:lang w:val="en-AU"/>
                                </w:rPr>
                                <w:fldChar w:fldCharType="begin"/>
                              </w:r>
                              <w:r w:rsidRPr="00A429FE">
                                <w:rPr>
                                  <w:rFonts w:ascii="Times" w:hAnsi="Times" w:cs="Times New Roman"/>
                                  <w:sz w:val="20"/>
                                  <w:szCs w:val="20"/>
                                  <w:lang w:val="en-AU"/>
                                </w:rPr>
                                <w:instrText xml:space="preserve"> HYPERLINK "http://www.freehills.com/" \t "_new" </w:instrText>
                              </w:r>
                              <w:r w:rsidRPr="00A429FE">
                                <w:rPr>
                                  <w:rFonts w:ascii="Times" w:hAnsi="Times" w:cs="Times New Roman"/>
                                  <w:sz w:val="20"/>
                                  <w:szCs w:val="20"/>
                                  <w:lang w:val="en-AU"/>
                                </w:rPr>
                              </w:r>
                              <w:r w:rsidRPr="00A429FE">
                                <w:rPr>
                                  <w:rFonts w:ascii="Times" w:hAnsi="Times" w:cs="Times New Roman"/>
                                  <w:sz w:val="20"/>
                                  <w:szCs w:val="20"/>
                                  <w:lang w:val="en-AU"/>
                                </w:rPr>
                                <w:fldChar w:fldCharType="separate"/>
                              </w:r>
                              <w:r w:rsidRPr="00A429FE">
                                <w:rPr>
                                  <w:rFonts w:ascii="Times" w:hAnsi="Times" w:cs="Times New Roman"/>
                                  <w:color w:val="0000FF"/>
                                  <w:sz w:val="20"/>
                                  <w:szCs w:val="20"/>
                                  <w:u w:val="single"/>
                                  <w:lang w:val="en-AU"/>
                                </w:rPr>
                                <w:t>Freehills</w:t>
                              </w:r>
                              <w:r w:rsidRPr="00A429FE">
                                <w:rPr>
                                  <w:rFonts w:ascii="Times" w:hAnsi="Times" w:cs="Times New Roman"/>
                                  <w:sz w:val="20"/>
                                  <w:szCs w:val="20"/>
                                  <w:lang w:val="en-AU"/>
                                </w:rPr>
                                <w:fldChar w:fldCharType="end"/>
                              </w:r>
                              <w:r w:rsidRPr="00A429FE">
                                <w:rPr>
                                  <w:rFonts w:ascii="Times" w:hAnsi="Times" w:cs="Times New Roman"/>
                                  <w:sz w:val="20"/>
                                  <w:szCs w:val="20"/>
                                  <w:lang w:val="en-AU"/>
                                </w:rPr>
                                <w:t xml:space="preserve">, </w:t>
                              </w:r>
                              <w:r w:rsidRPr="00A429FE">
                                <w:rPr>
                                  <w:rFonts w:ascii="Times" w:hAnsi="Times" w:cs="Times New Roman"/>
                                  <w:sz w:val="20"/>
                                  <w:szCs w:val="20"/>
                                  <w:lang w:val="en-AU"/>
                                </w:rPr>
                                <w:fldChar w:fldCharType="begin"/>
                              </w:r>
                              <w:r w:rsidRPr="00A429FE">
                                <w:rPr>
                                  <w:rFonts w:ascii="Times" w:hAnsi="Times" w:cs="Times New Roman"/>
                                  <w:sz w:val="20"/>
                                  <w:szCs w:val="20"/>
                                  <w:lang w:val="en-AU"/>
                                </w:rPr>
                                <w:instrText xml:space="preserve"> HYPERLINK "http://www.mallesons.com/" \t "_new" </w:instrText>
                              </w:r>
                              <w:r w:rsidRPr="00A429FE">
                                <w:rPr>
                                  <w:rFonts w:ascii="Times" w:hAnsi="Times" w:cs="Times New Roman"/>
                                  <w:sz w:val="20"/>
                                  <w:szCs w:val="20"/>
                                  <w:lang w:val="en-AU"/>
                                </w:rPr>
                              </w:r>
                              <w:r w:rsidRPr="00A429FE">
                                <w:rPr>
                                  <w:rFonts w:ascii="Times" w:hAnsi="Times" w:cs="Times New Roman"/>
                                  <w:sz w:val="20"/>
                                  <w:szCs w:val="20"/>
                                  <w:lang w:val="en-AU"/>
                                </w:rPr>
                                <w:fldChar w:fldCharType="separate"/>
                              </w:r>
                              <w:r w:rsidRPr="00A429FE">
                                <w:rPr>
                                  <w:rFonts w:ascii="Times" w:hAnsi="Times" w:cs="Times New Roman"/>
                                  <w:color w:val="0000FF"/>
                                  <w:sz w:val="20"/>
                                  <w:szCs w:val="20"/>
                                  <w:u w:val="single"/>
                                  <w:lang w:val="en-AU"/>
                                </w:rPr>
                                <w:t>Mallesons Stephen Jaques</w:t>
                              </w:r>
                              <w:r w:rsidRPr="00A429FE">
                                <w:rPr>
                                  <w:rFonts w:ascii="Times" w:hAnsi="Times" w:cs="Times New Roman"/>
                                  <w:sz w:val="20"/>
                                  <w:szCs w:val="20"/>
                                  <w:lang w:val="en-AU"/>
                                </w:rPr>
                                <w:fldChar w:fldCharType="end"/>
                              </w:r>
                              <w:r w:rsidRPr="00A429FE">
                                <w:rPr>
                                  <w:rFonts w:ascii="Times" w:hAnsi="Times" w:cs="Times New Roman"/>
                                  <w:sz w:val="20"/>
                                  <w:szCs w:val="20"/>
                                  <w:lang w:val="en-AU"/>
                                </w:rPr>
                                <w:t>.</w:t>
                              </w:r>
                            </w:p>
                            <w:p w:rsidR="00A429FE" w:rsidRPr="00A429FE" w:rsidRDefault="00A429FE" w:rsidP="00A429FE">
                              <w:pPr>
                                <w:tabs>
                                  <w:tab w:val="num" w:pos="720"/>
                                </w:tabs>
                                <w:spacing w:before="100" w:beforeAutospacing="1" w:after="100" w:afterAutospacing="1"/>
                                <w:ind w:left="720" w:hanging="360"/>
                                <w:rPr>
                                  <w:rFonts w:ascii="Times" w:eastAsia="Times New Roman" w:hAnsi="Times" w:cs="Times New Roman"/>
                                  <w:sz w:val="20"/>
                                  <w:szCs w:val="20"/>
                                  <w:lang w:val="en-AU"/>
                                </w:rPr>
                              </w:pPr>
                              <w:hyperlink r:id="rId10" w:anchor="h1" w:history="1">
                                <w:r w:rsidRPr="00A429FE">
                                  <w:rPr>
                                    <w:rFonts w:ascii="Times" w:eastAsia="Times New Roman" w:hAnsi="Times" w:cs="Times New Roman"/>
                                    <w:color w:val="0000FF"/>
                                    <w:sz w:val="20"/>
                                    <w:szCs w:val="20"/>
                                    <w:u w:val="single"/>
                                    <w:lang w:val="en-AU"/>
                                  </w:rPr>
                                  <w:t>Recent Corporate Law and Corporate Governance Developments</w:t>
                                </w:r>
                              </w:hyperlink>
                              <w:r w:rsidRPr="00A429FE">
                                <w:rPr>
                                  <w:rFonts w:ascii="Times" w:eastAsia="Times New Roman" w:hAnsi="Times" w:cs="Times New Roman"/>
                                  <w:sz w:val="20"/>
                                  <w:szCs w:val="20"/>
                                  <w:lang w:val="en-AU"/>
                                </w:rPr>
                                <w:t xml:space="preserve"> </w:t>
                              </w:r>
                            </w:p>
                            <w:p w:rsidR="00A429FE" w:rsidRPr="00A429FE" w:rsidRDefault="00A429FE" w:rsidP="00A429FE">
                              <w:pPr>
                                <w:tabs>
                                  <w:tab w:val="num" w:pos="720"/>
                                </w:tabs>
                                <w:spacing w:before="100" w:beforeAutospacing="1" w:after="100" w:afterAutospacing="1"/>
                                <w:ind w:left="720" w:hanging="360"/>
                                <w:rPr>
                                  <w:rFonts w:ascii="Times" w:eastAsia="Times New Roman" w:hAnsi="Times" w:cs="Times New Roman"/>
                                  <w:sz w:val="20"/>
                                  <w:szCs w:val="20"/>
                                  <w:lang w:val="en-AU"/>
                                </w:rPr>
                              </w:pPr>
                              <w:hyperlink r:id="rId11" w:anchor="h2" w:history="1">
                                <w:r w:rsidRPr="00A429FE">
                                  <w:rPr>
                                    <w:rFonts w:ascii="Times" w:eastAsia="Times New Roman" w:hAnsi="Times" w:cs="Times New Roman"/>
                                    <w:color w:val="0000FF"/>
                                    <w:sz w:val="20"/>
                                    <w:szCs w:val="20"/>
                                    <w:u w:val="single"/>
                                    <w:lang w:val="en-AU"/>
                                  </w:rPr>
                                  <w:t>Recent ASIC Developments</w:t>
                                </w:r>
                              </w:hyperlink>
                              <w:r w:rsidRPr="00A429FE">
                                <w:rPr>
                                  <w:rFonts w:ascii="Times" w:eastAsia="Times New Roman" w:hAnsi="Times" w:cs="Times New Roman"/>
                                  <w:sz w:val="20"/>
                                  <w:szCs w:val="20"/>
                                  <w:lang w:val="en-AU"/>
                                </w:rPr>
                                <w:t xml:space="preserve"> </w:t>
                              </w:r>
                            </w:p>
                            <w:p w:rsidR="00A429FE" w:rsidRPr="00A429FE" w:rsidRDefault="00A429FE" w:rsidP="00A429FE">
                              <w:pPr>
                                <w:tabs>
                                  <w:tab w:val="num" w:pos="720"/>
                                </w:tabs>
                                <w:spacing w:before="100" w:beforeAutospacing="1" w:after="100" w:afterAutospacing="1"/>
                                <w:ind w:left="720" w:hanging="360"/>
                                <w:rPr>
                                  <w:rFonts w:ascii="Times" w:eastAsia="Times New Roman" w:hAnsi="Times" w:cs="Times New Roman"/>
                                  <w:sz w:val="20"/>
                                  <w:szCs w:val="20"/>
                                  <w:lang w:val="en-AU"/>
                                </w:rPr>
                              </w:pPr>
                              <w:hyperlink r:id="rId12" w:anchor="h3" w:history="1">
                                <w:r w:rsidRPr="00A429FE">
                                  <w:rPr>
                                    <w:rFonts w:ascii="Times" w:eastAsia="Times New Roman" w:hAnsi="Times" w:cs="Times New Roman"/>
                                    <w:color w:val="0000FF"/>
                                    <w:sz w:val="20"/>
                                    <w:szCs w:val="20"/>
                                    <w:u w:val="single"/>
                                    <w:lang w:val="en-AU"/>
                                  </w:rPr>
                                  <w:t>Recent ASX Developments</w:t>
                                </w:r>
                              </w:hyperlink>
                              <w:r w:rsidRPr="00A429FE">
                                <w:rPr>
                                  <w:rFonts w:ascii="Times" w:eastAsia="Times New Roman" w:hAnsi="Times" w:cs="Times New Roman"/>
                                  <w:sz w:val="20"/>
                                  <w:szCs w:val="20"/>
                                  <w:lang w:val="en-AU"/>
                                </w:rPr>
                                <w:t xml:space="preserve"> </w:t>
                              </w:r>
                            </w:p>
                            <w:p w:rsidR="00A429FE" w:rsidRPr="00A429FE" w:rsidRDefault="00A429FE" w:rsidP="00A429FE">
                              <w:pPr>
                                <w:tabs>
                                  <w:tab w:val="num" w:pos="720"/>
                                </w:tabs>
                                <w:spacing w:before="100" w:beforeAutospacing="1" w:after="100" w:afterAutospacing="1"/>
                                <w:ind w:left="720" w:hanging="360"/>
                                <w:rPr>
                                  <w:rFonts w:ascii="Times" w:eastAsia="Times New Roman" w:hAnsi="Times" w:cs="Times New Roman"/>
                                  <w:sz w:val="20"/>
                                  <w:szCs w:val="20"/>
                                  <w:lang w:val="en-AU"/>
                                </w:rPr>
                              </w:pPr>
                              <w:hyperlink r:id="rId13" w:anchor="h4" w:history="1">
                                <w:r w:rsidRPr="00A429FE">
                                  <w:rPr>
                                    <w:rFonts w:ascii="Times" w:eastAsia="Times New Roman" w:hAnsi="Times" w:cs="Times New Roman"/>
                                    <w:color w:val="0000FF"/>
                                    <w:sz w:val="20"/>
                                    <w:szCs w:val="20"/>
                                    <w:u w:val="single"/>
                                    <w:lang w:val="en-AU"/>
                                  </w:rPr>
                                  <w:t>Recent Takeovers Panel Developments</w:t>
                                </w:r>
                              </w:hyperlink>
                              <w:r w:rsidRPr="00A429FE">
                                <w:rPr>
                                  <w:rFonts w:ascii="Times" w:eastAsia="Times New Roman" w:hAnsi="Times" w:cs="Times New Roman"/>
                                  <w:sz w:val="20"/>
                                  <w:szCs w:val="20"/>
                                  <w:lang w:val="en-AU"/>
                                </w:rPr>
                                <w:t xml:space="preserve"> </w:t>
                              </w:r>
                            </w:p>
                            <w:p w:rsidR="00A429FE" w:rsidRPr="00A429FE" w:rsidRDefault="00A429FE" w:rsidP="00A429FE">
                              <w:pPr>
                                <w:tabs>
                                  <w:tab w:val="num" w:pos="720"/>
                                </w:tabs>
                                <w:spacing w:before="100" w:beforeAutospacing="1" w:after="100" w:afterAutospacing="1"/>
                                <w:ind w:left="720" w:hanging="360"/>
                                <w:rPr>
                                  <w:rFonts w:ascii="Times" w:eastAsia="Times New Roman" w:hAnsi="Times" w:cs="Times New Roman"/>
                                  <w:sz w:val="20"/>
                                  <w:szCs w:val="20"/>
                                  <w:lang w:val="en-AU"/>
                                </w:rPr>
                              </w:pPr>
                              <w:hyperlink r:id="rId14" w:anchor="h5" w:history="1">
                                <w:r w:rsidRPr="00A429FE">
                                  <w:rPr>
                                    <w:rFonts w:ascii="Times" w:eastAsia="Times New Roman" w:hAnsi="Times" w:cs="Times New Roman"/>
                                    <w:color w:val="0000FF"/>
                                    <w:sz w:val="20"/>
                                    <w:szCs w:val="20"/>
                                    <w:u w:val="single"/>
                                    <w:lang w:val="en-AU"/>
                                  </w:rPr>
                                  <w:t>Recent Corporate Law Decisions</w:t>
                                </w:r>
                              </w:hyperlink>
                              <w:r w:rsidRPr="00A429FE">
                                <w:rPr>
                                  <w:rFonts w:ascii="Times" w:eastAsia="Times New Roman" w:hAnsi="Times" w:cs="Times New Roman"/>
                                  <w:sz w:val="20"/>
                                  <w:szCs w:val="20"/>
                                  <w:lang w:val="en-AU"/>
                                </w:rPr>
                                <w:t xml:space="preserve"> </w:t>
                              </w:r>
                            </w:p>
                            <w:p w:rsidR="00A429FE" w:rsidRPr="00A429FE" w:rsidRDefault="00A429FE" w:rsidP="00A429FE">
                              <w:pPr>
                                <w:tabs>
                                  <w:tab w:val="num" w:pos="720"/>
                                </w:tabs>
                                <w:spacing w:before="100" w:beforeAutospacing="1" w:after="100" w:afterAutospacing="1"/>
                                <w:ind w:left="720" w:hanging="360"/>
                                <w:rPr>
                                  <w:rFonts w:ascii="Times" w:eastAsia="Times New Roman" w:hAnsi="Times" w:cs="Times New Roman"/>
                                  <w:sz w:val="20"/>
                                  <w:szCs w:val="20"/>
                                  <w:lang w:val="en-AU"/>
                                </w:rPr>
                              </w:pPr>
                              <w:hyperlink r:id="rId15" w:anchor="6" w:history="1">
                                <w:r w:rsidRPr="00A429FE">
                                  <w:rPr>
                                    <w:rFonts w:ascii="Times" w:eastAsia="Times New Roman" w:hAnsi="Times" w:cs="Times New Roman"/>
                                    <w:color w:val="0000FF"/>
                                    <w:sz w:val="20"/>
                                    <w:szCs w:val="20"/>
                                    <w:u w:val="single"/>
                                    <w:lang w:val="en-AU"/>
                                  </w:rPr>
                                  <w:t>Contributions</w:t>
                                </w:r>
                              </w:hyperlink>
                              <w:r w:rsidRPr="00A429FE">
                                <w:rPr>
                                  <w:rFonts w:ascii="Times" w:eastAsia="Times New Roman" w:hAnsi="Times" w:cs="Times New Roman"/>
                                  <w:sz w:val="20"/>
                                  <w:szCs w:val="20"/>
                                  <w:lang w:val="en-AU"/>
                                </w:rPr>
                                <w:t xml:space="preserve"> </w:t>
                              </w:r>
                            </w:p>
                            <w:p w:rsidR="00A429FE" w:rsidRPr="00A429FE" w:rsidRDefault="00A429FE" w:rsidP="00A429FE">
                              <w:pPr>
                                <w:tabs>
                                  <w:tab w:val="num" w:pos="720"/>
                                </w:tabs>
                                <w:spacing w:before="100" w:beforeAutospacing="1" w:after="100" w:afterAutospacing="1"/>
                                <w:ind w:left="720" w:hanging="360"/>
                                <w:rPr>
                                  <w:rFonts w:ascii="Times" w:eastAsia="Times New Roman" w:hAnsi="Times" w:cs="Times New Roman"/>
                                  <w:sz w:val="20"/>
                                  <w:szCs w:val="20"/>
                                  <w:lang w:val="en-AU"/>
                                </w:rPr>
                              </w:pPr>
                              <w:r w:rsidRPr="00A429FE">
                                <w:rPr>
                                  <w:rFonts w:ascii="Times" w:eastAsia="Times New Roman" w:hAnsi="Times" w:cs="Times New Roman"/>
                                  <w:sz w:val="20"/>
                                  <w:szCs w:val="20"/>
                                  <w:lang w:val="en-AU"/>
                                </w:rPr>
                                <w:fldChar w:fldCharType="begin"/>
                              </w:r>
                              <w:r w:rsidRPr="00A429FE">
                                <w:rPr>
                                  <w:rFonts w:ascii="Times" w:eastAsia="Times New Roman" w:hAnsi="Times" w:cs="Times New Roman"/>
                                  <w:sz w:val="20"/>
                                  <w:szCs w:val="20"/>
                                  <w:lang w:val="en-AU"/>
                                </w:rPr>
                                <w:instrText xml:space="preserve"> HYPERLINK "http://my.lawlex.com.au/default.asp?goto=previous_news&amp;indexid=7" \t "_new" </w:instrText>
                              </w:r>
                              <w:r w:rsidRPr="00A429FE">
                                <w:rPr>
                                  <w:rFonts w:ascii="Times" w:eastAsia="Times New Roman" w:hAnsi="Times" w:cs="Times New Roman"/>
                                  <w:sz w:val="20"/>
                                  <w:szCs w:val="20"/>
                                  <w:lang w:val="en-AU"/>
                                </w:rPr>
                              </w:r>
                              <w:r w:rsidRPr="00A429FE">
                                <w:rPr>
                                  <w:rFonts w:ascii="Times" w:eastAsia="Times New Roman" w:hAnsi="Times" w:cs="Times New Roman"/>
                                  <w:sz w:val="20"/>
                                  <w:szCs w:val="20"/>
                                  <w:lang w:val="en-AU"/>
                                </w:rPr>
                                <w:fldChar w:fldCharType="separate"/>
                              </w:r>
                              <w:r w:rsidRPr="00A429FE">
                                <w:rPr>
                                  <w:rFonts w:ascii="Times" w:eastAsia="Times New Roman" w:hAnsi="Times" w:cs="Times New Roman"/>
                                  <w:color w:val="0000FF"/>
                                  <w:sz w:val="20"/>
                                  <w:szCs w:val="20"/>
                                  <w:u w:val="single"/>
                                  <w:lang w:val="en-AU"/>
                                </w:rPr>
                                <w:t>Previous editions of the Corporate Law Bulletin</w:t>
                              </w:r>
                              <w:r w:rsidRPr="00A429FE">
                                <w:rPr>
                                  <w:rFonts w:ascii="Times" w:eastAsia="Times New Roman" w:hAnsi="Times" w:cs="Times New Roman"/>
                                  <w:sz w:val="20"/>
                                  <w:szCs w:val="20"/>
                                  <w:lang w:val="en-AU"/>
                                </w:rPr>
                                <w:fldChar w:fldCharType="end"/>
                              </w:r>
                              <w:r w:rsidRPr="00A429FE">
                                <w:rPr>
                                  <w:rFonts w:ascii="Times" w:eastAsia="Times New Roman" w:hAnsi="Times" w:cs="Times New Roman"/>
                                  <w:sz w:val="20"/>
                                  <w:szCs w:val="20"/>
                                  <w:lang w:val="en-AU"/>
                                </w:rPr>
                                <w:t xml:space="preserve"> </w:t>
                              </w:r>
                            </w:p>
                          </w:tc>
                        </w:tr>
                      </w:tbl>
                      <w:p w:rsidR="00A429FE" w:rsidRPr="00A429FE" w:rsidRDefault="00A429FE" w:rsidP="00A429FE">
                        <w:pPr>
                          <w:rPr>
                            <w:rFonts w:ascii="Times" w:eastAsia="Times New Roman" w:hAnsi="Times" w:cs="Times New Roman"/>
                            <w:sz w:val="20"/>
                            <w:szCs w:val="20"/>
                            <w:lang w:val="en-AU"/>
                          </w:rPr>
                        </w:pPr>
                      </w:p>
                    </w:tc>
                    <w:tc>
                      <w:tcPr>
                        <w:tcW w:w="2600" w:type="dxa"/>
                        <w:hideMark/>
                      </w:tcPr>
                      <w:p w:rsidR="00A429FE" w:rsidRPr="00A429FE" w:rsidRDefault="00A429FE" w:rsidP="00A429FE">
                        <w:pPr>
                          <w:rPr>
                            <w:rFonts w:ascii="Times" w:eastAsia="Times New Roman" w:hAnsi="Times" w:cs="Times New Roman"/>
                            <w:sz w:val="20"/>
                            <w:szCs w:val="20"/>
                            <w:lang w:val="en-AU"/>
                          </w:rPr>
                        </w:pPr>
                        <w:r>
                          <w:rPr>
                            <w:rFonts w:ascii="Times" w:eastAsia="Times New Roman" w:hAnsi="Times" w:cs="Times New Roman"/>
                            <w:noProof/>
                            <w:color w:val="0000FF"/>
                            <w:sz w:val="20"/>
                            <w:szCs w:val="20"/>
                          </w:rPr>
                          <w:drawing>
                            <wp:inline distT="0" distB="0" distL="0" distR="0">
                              <wp:extent cx="1640840" cy="393065"/>
                              <wp:effectExtent l="0" t="0" r="10160" b="0"/>
                              <wp:docPr id="17023" name="Picture 17023" descr="eview my Newsfeed selections">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23" descr="eview my Newsfeed selections">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r w:rsidRPr="00A429FE">
                          <w:rPr>
                            <w:rFonts w:ascii="Times" w:eastAsia="Times New Roman" w:hAnsi="Times" w:cs="Times New Roman"/>
                            <w:sz w:val="20"/>
                            <w:szCs w:val="20"/>
                            <w:lang w:val="en-AU"/>
                          </w:rPr>
                          <w:br/>
                        </w:r>
                        <w:r>
                          <w:rPr>
                            <w:rFonts w:ascii="Times" w:eastAsia="Times New Roman" w:hAnsi="Times" w:cs="Times New Roman"/>
                            <w:noProof/>
                            <w:color w:val="0000FF"/>
                            <w:sz w:val="20"/>
                            <w:szCs w:val="20"/>
                          </w:rPr>
                          <w:drawing>
                            <wp:inline distT="0" distB="0" distL="0" distR="0">
                              <wp:extent cx="1640840" cy="393065"/>
                              <wp:effectExtent l="0" t="0" r="10160" b="0"/>
                              <wp:docPr id="17024" name="Picture 17024" descr="iew past editions of Newsfeeds">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24" descr="iew past editions of Newsfeeds">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r w:rsidRPr="00A429FE">
                          <w:rPr>
                            <w:rFonts w:ascii="Times" w:eastAsia="Times New Roman" w:hAnsi="Times" w:cs="Times New Roman"/>
                            <w:sz w:val="20"/>
                            <w:szCs w:val="20"/>
                            <w:lang w:val="en-AU"/>
                          </w:rPr>
                          <w:br/>
                        </w:r>
                        <w:r>
                          <w:rPr>
                            <w:rFonts w:ascii="Times" w:eastAsia="Times New Roman" w:hAnsi="Times" w:cs="Times New Roman"/>
                            <w:noProof/>
                            <w:color w:val="0000FF"/>
                            <w:sz w:val="20"/>
                            <w:szCs w:val="20"/>
                          </w:rPr>
                          <w:drawing>
                            <wp:inline distT="0" distB="0" distL="0" distR="0">
                              <wp:extent cx="1640840" cy="393065"/>
                              <wp:effectExtent l="0" t="0" r="10160" b="0"/>
                              <wp:docPr id="17025" name="Picture 17025" descr="iew a list of related Standards">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25" descr="iew a list of related Standards">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r w:rsidRPr="00A429FE">
                          <w:rPr>
                            <w:rFonts w:ascii="Times" w:eastAsia="Times New Roman" w:hAnsi="Times" w:cs="Times New Roman"/>
                            <w:sz w:val="20"/>
                            <w:szCs w:val="20"/>
                            <w:lang w:val="en-AU"/>
                          </w:rPr>
                          <w:br/>
                        </w:r>
                        <w:r>
                          <w:rPr>
                            <w:rFonts w:ascii="Times" w:eastAsia="Times New Roman" w:hAnsi="Times" w:cs="Times New Roman"/>
                            <w:noProof/>
                            <w:color w:val="0000FF"/>
                            <w:sz w:val="20"/>
                            <w:szCs w:val="20"/>
                          </w:rPr>
                          <w:drawing>
                            <wp:inline distT="0" distB="0" distL="0" distR="0">
                              <wp:extent cx="1640840" cy="393065"/>
                              <wp:effectExtent l="0" t="0" r="10160" b="0"/>
                              <wp:docPr id="17026" name="Picture 17026" descr="earch all Australian legislation from one website">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26" descr="earch all Australian legislation from one website">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r w:rsidRPr="00A429FE">
                          <w:rPr>
                            <w:rFonts w:ascii="Times" w:eastAsia="Times New Roman" w:hAnsi="Times" w:cs="Times New Roman"/>
                            <w:sz w:val="20"/>
                            <w:szCs w:val="20"/>
                            <w:lang w:val="en-AU"/>
                          </w:rPr>
                          <w:br/>
                        </w:r>
                        <w:r>
                          <w:rPr>
                            <w:rFonts w:ascii="Times" w:eastAsia="Times New Roman" w:hAnsi="Times" w:cs="Times New Roman"/>
                            <w:noProof/>
                            <w:color w:val="0000FF"/>
                            <w:sz w:val="20"/>
                            <w:szCs w:val="20"/>
                          </w:rPr>
                          <w:drawing>
                            <wp:inline distT="0" distB="0" distL="0" distR="0">
                              <wp:extent cx="1640840" cy="393065"/>
                              <wp:effectExtent l="0" t="0" r="10160" b="0"/>
                              <wp:docPr id="17027" name="Picture 17027" descr="ree trial our Lawlex Legislative Alerts">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27" descr="ree trial our Lawlex Legislative Alerts">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r w:rsidRPr="00A429FE">
                          <w:rPr>
                            <w:rFonts w:ascii="Times" w:eastAsia="Times New Roman" w:hAnsi="Times" w:cs="Times New Roman"/>
                            <w:sz w:val="20"/>
                            <w:szCs w:val="20"/>
                            <w:lang w:val="en-AU"/>
                          </w:rPr>
                          <w:br/>
                        </w:r>
                        <w:r>
                          <w:rPr>
                            <w:rFonts w:ascii="Times" w:eastAsia="Times New Roman" w:hAnsi="Times" w:cs="Times New Roman"/>
                            <w:noProof/>
                            <w:color w:val="0000FF"/>
                            <w:sz w:val="20"/>
                            <w:szCs w:val="20"/>
                          </w:rPr>
                          <w:drawing>
                            <wp:inline distT="0" distB="0" distL="0" distR="0">
                              <wp:extent cx="1640840" cy="393065"/>
                              <wp:effectExtent l="0" t="0" r="10160" b="0"/>
                              <wp:docPr id="17028" name="Picture 17028" descr="ree trial our other regulatory products and services">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28" descr="ree trial our other regulatory products and services">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r w:rsidRPr="00A429FE">
                          <w:rPr>
                            <w:rFonts w:ascii="Times" w:eastAsia="Times New Roman" w:hAnsi="Times" w:cs="Times New Roman"/>
                            <w:sz w:val="20"/>
                            <w:szCs w:val="20"/>
                            <w:lang w:val="en-AU"/>
                          </w:rPr>
                          <w:br/>
                        </w:r>
                        <w:r>
                          <w:rPr>
                            <w:rFonts w:ascii="Times" w:eastAsia="Times New Roman" w:hAnsi="Times" w:cs="Times New Roman"/>
                            <w:noProof/>
                            <w:color w:val="0000FF"/>
                            <w:sz w:val="20"/>
                            <w:szCs w:val="20"/>
                          </w:rPr>
                          <w:drawing>
                            <wp:inline distT="0" distB="0" distL="0" distR="0">
                              <wp:extent cx="1640840" cy="393065"/>
                              <wp:effectExtent l="0" t="0" r="10160" b="0"/>
                              <wp:docPr id="17029" name="Picture 17029" descr="overnance, risk and compliance solutions">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29" descr="overnance, risk and compliance solutions">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p>
                    </w:tc>
                  </w:tr>
                  <w:tr w:rsidR="00A429FE" w:rsidRPr="00A429FE">
                    <w:trPr>
                      <w:tblCellSpacing w:w="0" w:type="dxa"/>
                    </w:trPr>
                    <w:tc>
                      <w:tcPr>
                        <w:tcW w:w="0" w:type="auto"/>
                        <w:vAlign w:val="bottom"/>
                        <w:hideMark/>
                      </w:tcPr>
                      <w:tbl>
                        <w:tblPr>
                          <w:tblW w:w="5000" w:type="pct"/>
                          <w:tblCellSpacing w:w="0" w:type="dxa"/>
                          <w:tblCellMar>
                            <w:top w:w="240" w:type="dxa"/>
                            <w:left w:w="240" w:type="dxa"/>
                            <w:bottom w:w="240" w:type="dxa"/>
                            <w:right w:w="240" w:type="dxa"/>
                          </w:tblCellMar>
                          <w:tblLook w:val="04A0" w:firstRow="1" w:lastRow="0" w:firstColumn="1" w:lastColumn="0" w:noHBand="0" w:noVBand="1"/>
                        </w:tblPr>
                        <w:tblGrid>
                          <w:gridCol w:w="4352"/>
                        </w:tblGrid>
                        <w:tr w:rsidR="00A429FE" w:rsidRPr="00A429FE">
                          <w:trPr>
                            <w:tblCellSpacing w:w="0" w:type="dxa"/>
                          </w:trPr>
                          <w:tc>
                            <w:tcPr>
                              <w:tcW w:w="0" w:type="auto"/>
                              <w:shd w:val="clear" w:color="auto" w:fill="E4E5E5"/>
                              <w:hideMark/>
                            </w:tcPr>
                            <w:p w:rsidR="00A429FE" w:rsidRPr="00A429FE" w:rsidRDefault="00A429FE" w:rsidP="00A429FE">
                              <w:pPr>
                                <w:rPr>
                                  <w:rFonts w:ascii="Times" w:eastAsia="Times New Roman" w:hAnsi="Times" w:cs="Times New Roman"/>
                                  <w:sz w:val="20"/>
                                  <w:szCs w:val="20"/>
                                  <w:lang w:val="en-AU"/>
                                </w:rPr>
                              </w:pPr>
                              <w:r w:rsidRPr="00A429FE">
                                <w:rPr>
                                  <w:rFonts w:ascii="Times" w:eastAsia="Times New Roman" w:hAnsi="Times" w:cs="Times New Roman"/>
                                  <w:sz w:val="20"/>
                                  <w:szCs w:val="20"/>
                                  <w:lang w:val="en-AU"/>
                                </w:rPr>
                                <w:t>COPYRIGHT WARNING</w:t>
                              </w:r>
                              <w:r w:rsidRPr="00A429FE">
                                <w:rPr>
                                  <w:rFonts w:ascii="Times" w:eastAsia="Times New Roman" w:hAnsi="Times" w:cs="Times New Roman"/>
                                  <w:sz w:val="20"/>
                                  <w:szCs w:val="20"/>
                                  <w:lang w:val="en-AU"/>
                                </w:rPr>
                                <w:br/>
                                <w:t xml:space="preserve">Use of this product must be in accordance with our licence agreement and the relevant licence fee paid by your organisation. We will vigorously pursue legal action against </w:t>
                              </w:r>
                              <w:r w:rsidRPr="00A429FE">
                                <w:rPr>
                                  <w:rFonts w:ascii="Times" w:eastAsia="Times New Roman" w:hAnsi="Times" w:cs="Times New Roman"/>
                                  <w:sz w:val="20"/>
                                  <w:szCs w:val="20"/>
                                  <w:lang w:val="en-AU"/>
                                </w:rPr>
                                <w:lastRenderedPageBreak/>
                                <w:t>organisations found to be in breach of these requirements, in particular where email content has been forwarded, copied or pasted in any way without prior authorisation. If you are uncertain about your organisation's licensing arrangements, please contact SAI Global on 1300 555 595.</w:t>
                              </w:r>
                            </w:p>
                          </w:tc>
                        </w:tr>
                      </w:tbl>
                      <w:p w:rsidR="00A429FE" w:rsidRPr="00A429FE" w:rsidRDefault="00A429FE" w:rsidP="00A429FE">
                        <w:pPr>
                          <w:rPr>
                            <w:rFonts w:ascii="Times" w:eastAsia="Times New Roman" w:hAnsi="Times" w:cs="Times New Roman"/>
                            <w:sz w:val="20"/>
                            <w:szCs w:val="20"/>
                            <w:lang w:val="en-AU"/>
                          </w:rPr>
                        </w:pPr>
                      </w:p>
                    </w:tc>
                    <w:tc>
                      <w:tcPr>
                        <w:tcW w:w="0" w:type="auto"/>
                        <w:vAlign w:val="center"/>
                        <w:hideMark/>
                      </w:tcPr>
                      <w:p w:rsidR="00A429FE" w:rsidRPr="00A429FE" w:rsidRDefault="00A429FE" w:rsidP="00A429FE">
                        <w:pPr>
                          <w:rPr>
                            <w:rFonts w:ascii="Times New Roman" w:eastAsia="Times New Roman" w:hAnsi="Times New Roman" w:cs="Times New Roman"/>
                            <w:sz w:val="20"/>
                            <w:szCs w:val="20"/>
                            <w:lang w:val="en-AU"/>
                          </w:rPr>
                        </w:pPr>
                      </w:p>
                    </w:tc>
                  </w:tr>
                </w:tbl>
                <w:p w:rsidR="00A429FE" w:rsidRPr="00A429FE" w:rsidRDefault="00A429FE" w:rsidP="00A429FE">
                  <w:pPr>
                    <w:rPr>
                      <w:rFonts w:ascii="Times" w:eastAsia="Times New Roman" w:hAnsi="Times" w:cs="Times New Roman"/>
                      <w:sz w:val="20"/>
                      <w:szCs w:val="20"/>
                      <w:lang w:val="en-AU"/>
                    </w:rPr>
                  </w:pPr>
                </w:p>
              </w:tc>
            </w:tr>
          </w:tbl>
          <w:p w:rsidR="00A429FE" w:rsidRPr="00A429FE" w:rsidRDefault="00A429FE" w:rsidP="00A429FE">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592"/>
            </w:tblGrid>
            <w:tr w:rsidR="00A429FE" w:rsidRPr="00A429FE">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7592"/>
                  </w:tblGrid>
                  <w:tr w:rsidR="00A429FE" w:rsidRPr="00A429FE">
                    <w:trPr>
                      <w:trHeight w:val="560"/>
                      <w:tblCellSpacing w:w="0" w:type="dxa"/>
                    </w:trPr>
                    <w:tc>
                      <w:tcPr>
                        <w:tcW w:w="0" w:type="auto"/>
                        <w:shd w:val="clear" w:color="auto" w:fill="C4262E"/>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7057"/>
                          <w:gridCol w:w="535"/>
                        </w:tblGrid>
                        <w:tr w:rsidR="00A429FE" w:rsidRPr="00A429FE">
                          <w:trPr>
                            <w:tblCellSpacing w:w="0" w:type="dxa"/>
                          </w:trPr>
                          <w:tc>
                            <w:tcPr>
                              <w:tcW w:w="4900" w:type="pct"/>
                              <w:vAlign w:val="center"/>
                              <w:hideMark/>
                            </w:tcPr>
                            <w:p w:rsidR="00A429FE" w:rsidRPr="00A429FE" w:rsidRDefault="00A429FE" w:rsidP="00A429FE">
                              <w:pPr>
                                <w:rPr>
                                  <w:rFonts w:ascii="Times" w:eastAsia="Times New Roman" w:hAnsi="Times" w:cs="Times New Roman"/>
                                  <w:sz w:val="20"/>
                                  <w:szCs w:val="20"/>
                                  <w:lang w:val="en-AU"/>
                                </w:rPr>
                              </w:pPr>
                              <w:r w:rsidRPr="00A429FE">
                                <w:rPr>
                                  <w:rFonts w:ascii="Times" w:eastAsia="Times New Roman" w:hAnsi="Times" w:cs="Times New Roman"/>
                                  <w:b/>
                                  <w:bCs/>
                                  <w:sz w:val="20"/>
                                  <w:szCs w:val="20"/>
                                  <w:lang w:val="en-AU"/>
                                </w:rPr>
                                <w:t xml:space="preserve">Detailed Contents </w:t>
                              </w:r>
                            </w:p>
                          </w:tc>
                          <w:tc>
                            <w:tcPr>
                              <w:tcW w:w="100" w:type="pct"/>
                              <w:vAlign w:val="center"/>
                              <w:hideMark/>
                            </w:tcPr>
                            <w:p w:rsidR="00A429FE" w:rsidRPr="00A429FE" w:rsidRDefault="00A429FE" w:rsidP="00A429FE">
                              <w:pPr>
                                <w:rPr>
                                  <w:rFonts w:ascii="Times" w:eastAsia="Times New Roman" w:hAnsi="Times" w:cs="Times New Roman"/>
                                  <w:sz w:val="20"/>
                                  <w:szCs w:val="20"/>
                                  <w:lang w:val="en-AU"/>
                                </w:rPr>
                              </w:pPr>
                              <w:r>
                                <w:rPr>
                                  <w:rFonts w:ascii="Times" w:eastAsia="Times New Roman" w:hAnsi="Times" w:cs="Times New Roman"/>
                                  <w:noProof/>
                                  <w:color w:val="0000FF"/>
                                  <w:sz w:val="20"/>
                                  <w:szCs w:val="20"/>
                                </w:rPr>
                                <w:drawing>
                                  <wp:inline distT="0" distB="0" distL="0" distR="0">
                                    <wp:extent cx="136525" cy="153670"/>
                                    <wp:effectExtent l="0" t="0" r="0" b="0"/>
                                    <wp:docPr id="17030" name="Picture 17030" descr="own">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30" descr="own">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A429FE" w:rsidRPr="00A429FE" w:rsidRDefault="00A429FE" w:rsidP="00A429FE">
                        <w:pPr>
                          <w:rPr>
                            <w:rFonts w:ascii="Times" w:eastAsia="Times New Roman" w:hAnsi="Times" w:cs="Times New Roman"/>
                            <w:sz w:val="20"/>
                            <w:szCs w:val="20"/>
                            <w:lang w:val="en-AU"/>
                          </w:rPr>
                        </w:pPr>
                      </w:p>
                    </w:tc>
                  </w:tr>
                  <w:tr w:rsidR="00A429FE" w:rsidRPr="00A429FE">
                    <w:trPr>
                      <w:tblCellSpacing w:w="0" w:type="dxa"/>
                    </w:trPr>
                    <w:tc>
                      <w:tcPr>
                        <w:tcW w:w="0" w:type="auto"/>
                        <w:vAlign w:val="center"/>
                        <w:hideMark/>
                      </w:tcPr>
                      <w:p w:rsidR="00A429FE" w:rsidRPr="00A429FE" w:rsidRDefault="00A429FE" w:rsidP="00A429FE">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6956425" cy="17145"/>
                              <wp:effectExtent l="0" t="0" r="0" b="0"/>
                              <wp:docPr id="17031" name="Picture 17031"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31"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6425" cy="17145"/>
                                      </a:xfrm>
                                      <a:prstGeom prst="rect">
                                        <a:avLst/>
                                      </a:prstGeom>
                                      <a:noFill/>
                                      <a:ln>
                                        <a:noFill/>
                                      </a:ln>
                                    </pic:spPr>
                                  </pic:pic>
                                </a:graphicData>
                              </a:graphic>
                            </wp:inline>
                          </w:drawing>
                        </w:r>
                      </w:p>
                    </w:tc>
                  </w:tr>
                </w:tbl>
                <w:p w:rsidR="00A429FE" w:rsidRPr="00A429FE" w:rsidRDefault="00A429FE" w:rsidP="00A429FE">
                  <w:pPr>
                    <w:rPr>
                      <w:rFonts w:ascii="Times" w:eastAsia="Times New Roman" w:hAnsi="Times" w:cs="Times New Roman"/>
                      <w:sz w:val="20"/>
                      <w:szCs w:val="20"/>
                      <w:lang w:val="en-AU"/>
                    </w:rPr>
                  </w:pPr>
                </w:p>
              </w:tc>
            </w:tr>
            <w:tr w:rsidR="00A429FE" w:rsidRPr="00A429FE">
              <w:trPr>
                <w:tblCellSpacing w:w="0" w:type="dxa"/>
              </w:trPr>
              <w:tc>
                <w:tcPr>
                  <w:tcW w:w="0" w:type="auto"/>
                  <w:vAlign w:val="center"/>
                  <w:hideMark/>
                </w:tcPr>
                <w:p w:rsidR="00A429FE" w:rsidRPr="00A429FE" w:rsidRDefault="00A429FE" w:rsidP="00A429FE">
                  <w:pPr>
                    <w:spacing w:before="100" w:beforeAutospacing="1" w:after="100" w:afterAutospacing="1"/>
                    <w:rPr>
                      <w:rFonts w:ascii="Times" w:hAnsi="Times" w:cs="Times New Roman"/>
                      <w:sz w:val="20"/>
                      <w:szCs w:val="20"/>
                      <w:lang w:val="en-AU"/>
                    </w:rPr>
                  </w:pPr>
                  <w:r w:rsidRPr="00A429FE">
                    <w:rPr>
                      <w:rFonts w:ascii="Times" w:hAnsi="Times" w:cs="Times New Roman"/>
                      <w:sz w:val="20"/>
                      <w:szCs w:val="20"/>
                      <w:lang w:val="en-AU"/>
                    </w:rPr>
                    <w:br/>
                  </w:r>
                  <w:hyperlink r:id="rId32" w:anchor="1" w:history="1">
                    <w:r w:rsidRPr="00A429FE">
                      <w:rPr>
                        <w:rFonts w:ascii="Times" w:hAnsi="Times" w:cs="Times New Roman"/>
                        <w:color w:val="0000FF"/>
                        <w:sz w:val="20"/>
                        <w:szCs w:val="20"/>
                        <w:u w:val="single"/>
                        <w:lang w:val="en-AU"/>
                      </w:rPr>
                      <w:t>1. Recent Corporate Law and Corporate Governance Developments</w:t>
                    </w:r>
                  </w:hyperlink>
                  <w:bookmarkStart w:id="0" w:name="h1"/>
                  <w:bookmarkEnd w:id="0"/>
                </w:p>
                <w:p w:rsidR="00A429FE" w:rsidRPr="00A429FE" w:rsidRDefault="00A429FE" w:rsidP="00A429FE">
                  <w:pPr>
                    <w:spacing w:beforeAutospacing="1" w:afterAutospacing="1"/>
                    <w:rPr>
                      <w:rFonts w:ascii="Times" w:hAnsi="Times" w:cs="Times New Roman"/>
                      <w:sz w:val="20"/>
                      <w:szCs w:val="20"/>
                      <w:lang w:val="en-AU"/>
                    </w:rPr>
                  </w:pPr>
                  <w:hyperlink r:id="rId33" w:anchor="011" w:history="1">
                    <w:r w:rsidRPr="00A429FE">
                      <w:rPr>
                        <w:rFonts w:ascii="Times" w:hAnsi="Times" w:cs="Times New Roman"/>
                        <w:color w:val="0000FF"/>
                        <w:sz w:val="20"/>
                        <w:szCs w:val="20"/>
                        <w:u w:val="single"/>
                        <w:lang w:val="en-AU"/>
                      </w:rPr>
                      <w:t>1.1 Financial Stability Board statement on financial regulatory reform</w:t>
                    </w:r>
                  </w:hyperlink>
                  <w:r w:rsidRPr="00A429FE">
                    <w:rPr>
                      <w:rFonts w:ascii="Times" w:hAnsi="Times" w:cs="Times New Roman"/>
                      <w:sz w:val="20"/>
                      <w:szCs w:val="20"/>
                      <w:lang w:val="en-AU"/>
                    </w:rPr>
                    <w:br/>
                  </w:r>
                  <w:hyperlink r:id="rId34" w:anchor="012" w:history="1">
                    <w:r w:rsidRPr="00A429FE">
                      <w:rPr>
                        <w:rFonts w:ascii="Times" w:hAnsi="Times" w:cs="Times New Roman"/>
                        <w:color w:val="0000FF"/>
                        <w:sz w:val="20"/>
                        <w:szCs w:val="20"/>
                        <w:u w:val="single"/>
                        <w:lang w:val="en-AU"/>
                      </w:rPr>
                      <w:t>1.2 Plans for a new EU framework for crisis management in the financial sector</w:t>
                    </w:r>
                  </w:hyperlink>
                  <w:r w:rsidRPr="00A429FE">
                    <w:rPr>
                      <w:rFonts w:ascii="Times" w:hAnsi="Times" w:cs="Times New Roman"/>
                      <w:sz w:val="20"/>
                      <w:szCs w:val="20"/>
                      <w:lang w:val="en-AU"/>
                    </w:rPr>
                    <w:br/>
                  </w:r>
                  <w:hyperlink r:id="rId35" w:anchor="013" w:history="1">
                    <w:r w:rsidRPr="00A429FE">
                      <w:rPr>
                        <w:rFonts w:ascii="Times" w:hAnsi="Times" w:cs="Times New Roman"/>
                        <w:color w:val="0000FF"/>
                        <w:sz w:val="20"/>
                        <w:szCs w:val="20"/>
                        <w:u w:val="single"/>
                        <w:lang w:val="en-AU"/>
                      </w:rPr>
                      <w:t xml:space="preserve">1.3 Report to the G20 on response to the financial crisis </w:t>
                    </w:r>
                  </w:hyperlink>
                  <w:r w:rsidRPr="00A429FE">
                    <w:rPr>
                      <w:rFonts w:ascii="Times" w:hAnsi="Times" w:cs="Times New Roman"/>
                      <w:sz w:val="20"/>
                      <w:szCs w:val="20"/>
                      <w:lang w:val="en-AU"/>
                    </w:rPr>
                    <w:br/>
                  </w:r>
                  <w:hyperlink r:id="rId36" w:anchor="014" w:history="1">
                    <w:r w:rsidRPr="00A429FE">
                      <w:rPr>
                        <w:rFonts w:ascii="Times" w:hAnsi="Times" w:cs="Times New Roman"/>
                        <w:color w:val="0000FF"/>
                        <w:sz w:val="20"/>
                        <w:szCs w:val="20"/>
                        <w:u w:val="single"/>
                        <w:lang w:val="en-AU"/>
                      </w:rPr>
                      <w:t>1.4 SEC proposes rules on "say on pay" and proxy vote reporting</w:t>
                    </w:r>
                  </w:hyperlink>
                  <w:r w:rsidRPr="00A429FE">
                    <w:rPr>
                      <w:rFonts w:ascii="Times" w:hAnsi="Times" w:cs="Times New Roman"/>
                      <w:sz w:val="20"/>
                      <w:szCs w:val="20"/>
                      <w:lang w:val="en-AU"/>
                    </w:rPr>
                    <w:br/>
                  </w:r>
                  <w:hyperlink r:id="rId37" w:anchor="015" w:history="1">
                    <w:r w:rsidRPr="00A429FE">
                      <w:rPr>
                        <w:rFonts w:ascii="Times" w:hAnsi="Times" w:cs="Times New Roman"/>
                        <w:color w:val="0000FF"/>
                        <w:sz w:val="20"/>
                        <w:szCs w:val="20"/>
                        <w:u w:val="single"/>
                        <w:lang w:val="en-AU"/>
                      </w:rPr>
                      <w:t>1.5 IOSCO publishes recommendations for market interventions and securitisation in emerging markets</w:t>
                    </w:r>
                  </w:hyperlink>
                  <w:r w:rsidRPr="00A429FE">
                    <w:rPr>
                      <w:rFonts w:ascii="Times" w:hAnsi="Times" w:cs="Times New Roman"/>
                      <w:sz w:val="20"/>
                      <w:szCs w:val="20"/>
                      <w:lang w:val="en-AU"/>
                    </w:rPr>
                    <w:br/>
                  </w:r>
                  <w:hyperlink r:id="rId38" w:anchor="016" w:history="1">
                    <w:r w:rsidRPr="00A429FE">
                      <w:rPr>
                        <w:rFonts w:ascii="Times" w:hAnsi="Times" w:cs="Times New Roman"/>
                        <w:color w:val="0000FF"/>
                        <w:sz w:val="20"/>
                        <w:szCs w:val="20"/>
                        <w:u w:val="single"/>
                        <w:lang w:val="en-AU"/>
                      </w:rPr>
                      <w:t>1.6 SEC proposes rules to require issuer review of assets underlying asset-backed securities</w:t>
                    </w:r>
                  </w:hyperlink>
                  <w:r w:rsidRPr="00A429FE">
                    <w:rPr>
                      <w:rFonts w:ascii="Times" w:hAnsi="Times" w:cs="Times New Roman"/>
                      <w:sz w:val="20"/>
                      <w:szCs w:val="20"/>
                      <w:lang w:val="en-AU"/>
                    </w:rPr>
                    <w:br/>
                  </w:r>
                  <w:hyperlink r:id="rId39" w:anchor="017" w:history="1">
                    <w:r w:rsidRPr="00A429FE">
                      <w:rPr>
                        <w:rFonts w:ascii="Times" w:hAnsi="Times" w:cs="Times New Roman"/>
                        <w:color w:val="0000FF"/>
                        <w:sz w:val="20"/>
                        <w:szCs w:val="20"/>
                        <w:u w:val="single"/>
                        <w:lang w:val="en-AU"/>
                      </w:rPr>
                      <w:t>1.7 SEC proposes rules to mitigate conflicts of interest involving security-based swaps</w:t>
                    </w:r>
                  </w:hyperlink>
                  <w:r w:rsidRPr="00A429FE">
                    <w:rPr>
                      <w:rFonts w:ascii="Times" w:hAnsi="Times" w:cs="Times New Roman"/>
                      <w:sz w:val="20"/>
                      <w:szCs w:val="20"/>
                      <w:lang w:val="en-AU"/>
                    </w:rPr>
                    <w:br/>
                  </w:r>
                  <w:hyperlink r:id="rId40" w:anchor="018" w:history="1">
                    <w:r w:rsidRPr="00A429FE">
                      <w:rPr>
                        <w:rFonts w:ascii="Times" w:hAnsi="Times" w:cs="Times New Roman"/>
                        <w:color w:val="0000FF"/>
                        <w:sz w:val="20"/>
                        <w:szCs w:val="20"/>
                        <w:u w:val="single"/>
                        <w:lang w:val="en-AU"/>
                      </w:rPr>
                      <w:t>1.8 European Commission consults on how the European audit market can be improved</w:t>
                    </w:r>
                  </w:hyperlink>
                  <w:r w:rsidRPr="00A429FE">
                    <w:rPr>
                      <w:rFonts w:ascii="Times" w:hAnsi="Times" w:cs="Times New Roman"/>
                      <w:sz w:val="20"/>
                      <w:szCs w:val="20"/>
                      <w:lang w:val="en-AU"/>
                    </w:rPr>
                    <w:br/>
                  </w:r>
                  <w:hyperlink r:id="rId41" w:anchor="019" w:history="1">
                    <w:r w:rsidRPr="00A429FE">
                      <w:rPr>
                        <w:rFonts w:ascii="Times" w:hAnsi="Times" w:cs="Times New Roman"/>
                        <w:color w:val="0000FF"/>
                        <w:sz w:val="20"/>
                        <w:szCs w:val="20"/>
                        <w:u w:val="single"/>
                        <w:lang w:val="en-AU"/>
                      </w:rPr>
                      <w:t>1.9 Board composition and non-executive director pay in the top 100 Australian companies</w:t>
                    </w:r>
                  </w:hyperlink>
                  <w:r w:rsidRPr="00A429FE">
                    <w:rPr>
                      <w:rFonts w:ascii="Times" w:hAnsi="Times" w:cs="Times New Roman"/>
                      <w:sz w:val="20"/>
                      <w:szCs w:val="20"/>
                      <w:lang w:val="en-AU"/>
                    </w:rPr>
                    <w:br/>
                  </w:r>
                  <w:hyperlink r:id="rId42" w:anchor="0110" w:history="1">
                    <w:r w:rsidRPr="00A429FE">
                      <w:rPr>
                        <w:rFonts w:ascii="Times" w:hAnsi="Times" w:cs="Times New Roman"/>
                        <w:color w:val="0000FF"/>
                        <w:sz w:val="20"/>
                        <w:szCs w:val="20"/>
                        <w:u w:val="single"/>
                        <w:lang w:val="en-AU"/>
                      </w:rPr>
                      <w:t>1.10 Draft guidelines on remuneration policies and practices</w:t>
                    </w:r>
                  </w:hyperlink>
                  <w:r w:rsidRPr="00A429FE">
                    <w:rPr>
                      <w:rFonts w:ascii="Times" w:hAnsi="Times" w:cs="Times New Roman"/>
                      <w:sz w:val="20"/>
                      <w:szCs w:val="20"/>
                      <w:lang w:val="en-AU"/>
                    </w:rPr>
                    <w:br/>
                  </w:r>
                  <w:hyperlink r:id="rId43" w:anchor="0111" w:history="1">
                    <w:r w:rsidRPr="00A429FE">
                      <w:rPr>
                        <w:rFonts w:ascii="Times" w:hAnsi="Times" w:cs="Times New Roman"/>
                        <w:color w:val="0000FF"/>
                        <w:sz w:val="20"/>
                        <w:szCs w:val="20"/>
                        <w:u w:val="single"/>
                        <w:lang w:val="en-AU"/>
                      </w:rPr>
                      <w:t>1.11 Report on deterring and detecting financial reporting fraud</w:t>
                    </w:r>
                  </w:hyperlink>
                  <w:r w:rsidRPr="00A429FE">
                    <w:rPr>
                      <w:rFonts w:ascii="Times" w:hAnsi="Times" w:cs="Times New Roman"/>
                      <w:sz w:val="20"/>
                      <w:szCs w:val="20"/>
                      <w:lang w:val="en-AU"/>
                    </w:rPr>
                    <w:br/>
                  </w:r>
                  <w:hyperlink r:id="rId44" w:anchor="0112" w:history="1">
                    <w:r w:rsidRPr="00A429FE">
                      <w:rPr>
                        <w:rFonts w:ascii="Times" w:hAnsi="Times" w:cs="Times New Roman"/>
                        <w:color w:val="0000FF"/>
                        <w:sz w:val="20"/>
                        <w:szCs w:val="20"/>
                        <w:u w:val="single"/>
                        <w:lang w:val="en-AU"/>
                      </w:rPr>
                      <w:t>1.12 Women in leadership census</w:t>
                    </w:r>
                  </w:hyperlink>
                  <w:r w:rsidRPr="00A429FE">
                    <w:rPr>
                      <w:rFonts w:ascii="Times" w:hAnsi="Times" w:cs="Times New Roman"/>
                      <w:sz w:val="20"/>
                      <w:szCs w:val="20"/>
                      <w:lang w:val="en-AU"/>
                    </w:rPr>
                    <w:br/>
                  </w:r>
                  <w:hyperlink r:id="rId45" w:anchor="0113" w:history="1">
                    <w:r w:rsidRPr="00A429FE">
                      <w:rPr>
                        <w:rFonts w:ascii="Times" w:hAnsi="Times" w:cs="Times New Roman"/>
                        <w:color w:val="0000FF"/>
                        <w:sz w:val="20"/>
                        <w:szCs w:val="20"/>
                        <w:u w:val="single"/>
                        <w:lang w:val="en-AU"/>
                      </w:rPr>
                      <w:t xml:space="preserve">1.13 SEC seeks public comment on asset-backed securities rule proposal </w:t>
                    </w:r>
                  </w:hyperlink>
                  <w:r w:rsidRPr="00A429FE">
                    <w:rPr>
                      <w:rFonts w:ascii="Times" w:hAnsi="Times" w:cs="Times New Roman"/>
                      <w:sz w:val="20"/>
                      <w:szCs w:val="20"/>
                      <w:lang w:val="en-AU"/>
                    </w:rPr>
                    <w:br/>
                  </w:r>
                  <w:hyperlink r:id="rId46" w:anchor="0114" w:history="1">
                    <w:r w:rsidRPr="00A429FE">
                      <w:rPr>
                        <w:rFonts w:ascii="Times" w:hAnsi="Times" w:cs="Times New Roman"/>
                        <w:color w:val="0000FF"/>
                        <w:sz w:val="20"/>
                        <w:szCs w:val="20"/>
                        <w:u w:val="single"/>
                        <w:lang w:val="en-AU"/>
                      </w:rPr>
                      <w:t>1.14 Principles for enhancing corporate governance issued by the Basel Committee</w:t>
                    </w:r>
                  </w:hyperlink>
                  <w:r w:rsidRPr="00A429FE">
                    <w:rPr>
                      <w:rFonts w:ascii="Times" w:hAnsi="Times" w:cs="Times New Roman"/>
                      <w:sz w:val="20"/>
                      <w:szCs w:val="20"/>
                      <w:lang w:val="en-AU"/>
                    </w:rPr>
                    <w:br/>
                  </w:r>
                  <w:hyperlink r:id="rId47" w:anchor="0115" w:history="1">
                    <w:r w:rsidRPr="00A429FE">
                      <w:rPr>
                        <w:rFonts w:ascii="Times" w:hAnsi="Times" w:cs="Times New Roman"/>
                        <w:color w:val="0000FF"/>
                        <w:sz w:val="20"/>
                        <w:szCs w:val="20"/>
                        <w:u w:val="single"/>
                        <w:lang w:val="en-AU"/>
                      </w:rPr>
                      <w:t>1.15 IMF financial stability report</w:t>
                    </w:r>
                  </w:hyperlink>
                  <w:r w:rsidRPr="00A429FE">
                    <w:rPr>
                      <w:rFonts w:ascii="Times" w:hAnsi="Times" w:cs="Times New Roman"/>
                      <w:sz w:val="20"/>
                      <w:szCs w:val="20"/>
                      <w:lang w:val="en-AU"/>
                    </w:rPr>
                    <w:br/>
                  </w:r>
                  <w:hyperlink r:id="rId48" w:anchor="0116" w:history="1">
                    <w:r w:rsidRPr="00A429FE">
                      <w:rPr>
                        <w:rFonts w:ascii="Times" w:hAnsi="Times" w:cs="Times New Roman"/>
                        <w:color w:val="0000FF"/>
                        <w:sz w:val="20"/>
                        <w:szCs w:val="20"/>
                        <w:u w:val="single"/>
                        <w:lang w:val="en-AU"/>
                      </w:rPr>
                      <w:t>1.16 IMF urges more comprehensive reform of the global financial system</w:t>
                    </w:r>
                  </w:hyperlink>
                  <w:r w:rsidRPr="00A429FE">
                    <w:rPr>
                      <w:rFonts w:ascii="Times" w:hAnsi="Times" w:cs="Times New Roman"/>
                      <w:sz w:val="20"/>
                      <w:szCs w:val="20"/>
                      <w:lang w:val="en-AU"/>
                    </w:rPr>
                    <w:br/>
                  </w:r>
                  <w:hyperlink r:id="rId49" w:anchor="0117" w:history="1">
                    <w:r w:rsidRPr="00A429FE">
                      <w:rPr>
                        <w:rFonts w:ascii="Times" w:hAnsi="Times" w:cs="Times New Roman"/>
                        <w:color w:val="0000FF"/>
                        <w:sz w:val="20"/>
                        <w:szCs w:val="20"/>
                        <w:u w:val="single"/>
                        <w:lang w:val="en-AU"/>
                      </w:rPr>
                      <w:t>1.17 Reintroduction of corporate law legislation into Parliament</w:t>
                    </w:r>
                  </w:hyperlink>
                  <w:r w:rsidRPr="00A429FE">
                    <w:rPr>
                      <w:rFonts w:ascii="Times" w:hAnsi="Times" w:cs="Times New Roman"/>
                      <w:sz w:val="20"/>
                      <w:szCs w:val="20"/>
                      <w:lang w:val="en-AU"/>
                    </w:rPr>
                    <w:br/>
                  </w:r>
                  <w:hyperlink r:id="rId50" w:anchor="0118" w:history="1">
                    <w:r w:rsidRPr="00A429FE">
                      <w:rPr>
                        <w:rFonts w:ascii="Times" w:hAnsi="Times" w:cs="Times New Roman"/>
                        <w:color w:val="0000FF"/>
                        <w:sz w:val="20"/>
                        <w:szCs w:val="20"/>
                        <w:u w:val="single"/>
                        <w:lang w:val="en-AU"/>
                      </w:rPr>
                      <w:t>1.18 EC/US joint statement on regulation of the OTC derivatives markets</w:t>
                    </w:r>
                  </w:hyperlink>
                  <w:r w:rsidRPr="00A429FE">
                    <w:rPr>
                      <w:rFonts w:ascii="Times" w:hAnsi="Times" w:cs="Times New Roman"/>
                      <w:sz w:val="20"/>
                      <w:szCs w:val="20"/>
                      <w:lang w:val="en-AU"/>
                    </w:rPr>
                    <w:br/>
                  </w:r>
                  <w:hyperlink r:id="rId51" w:anchor="0119" w:history="1">
                    <w:r w:rsidRPr="00A429FE">
                      <w:rPr>
                        <w:rFonts w:ascii="Times" w:hAnsi="Times" w:cs="Times New Roman"/>
                        <w:color w:val="0000FF"/>
                        <w:sz w:val="20"/>
                        <w:szCs w:val="20"/>
                        <w:u w:val="single"/>
                        <w:lang w:val="en-AU"/>
                      </w:rPr>
                      <w:t>1.19 PCAOB issues report on inspection observations of auditing during the economic crisis</w:t>
                    </w:r>
                  </w:hyperlink>
                  <w:r w:rsidRPr="00A429FE">
                    <w:rPr>
                      <w:rFonts w:ascii="Times" w:hAnsi="Times" w:cs="Times New Roman"/>
                      <w:sz w:val="20"/>
                      <w:szCs w:val="20"/>
                      <w:lang w:val="en-AU"/>
                    </w:rPr>
                    <w:br/>
                  </w:r>
                  <w:hyperlink r:id="rId52" w:anchor="0120" w:history="1">
                    <w:r w:rsidRPr="00A429FE">
                      <w:rPr>
                        <w:rFonts w:ascii="Times" w:hAnsi="Times" w:cs="Times New Roman"/>
                        <w:color w:val="0000FF"/>
                        <w:sz w:val="20"/>
                        <w:szCs w:val="20"/>
                        <w:u w:val="single"/>
                        <w:lang w:val="en-AU"/>
                      </w:rPr>
                      <w:t>1.20 US Chamber of Commerce joins Business Roundtable in lawsuit challenging Securities and Exchange Commission</w:t>
                    </w:r>
                  </w:hyperlink>
                  <w:r w:rsidRPr="00A429FE">
                    <w:rPr>
                      <w:rFonts w:ascii="Times" w:hAnsi="Times" w:cs="Times New Roman"/>
                      <w:sz w:val="20"/>
                      <w:szCs w:val="20"/>
                      <w:lang w:val="en-AU"/>
                    </w:rPr>
                    <w:br/>
                  </w:r>
                  <w:hyperlink r:id="rId53" w:anchor="0121" w:history="1">
                    <w:r w:rsidRPr="00A429FE">
                      <w:rPr>
                        <w:rFonts w:ascii="Times" w:hAnsi="Times" w:cs="Times New Roman"/>
                        <w:color w:val="0000FF"/>
                        <w:sz w:val="20"/>
                        <w:szCs w:val="20"/>
                        <w:u w:val="single"/>
                        <w:lang w:val="en-AU"/>
                      </w:rPr>
                      <w:t>1.21 Australian financial services benchmark report</w:t>
                    </w:r>
                  </w:hyperlink>
                  <w:r w:rsidRPr="00A429FE">
                    <w:rPr>
                      <w:rFonts w:ascii="Times" w:hAnsi="Times" w:cs="Times New Roman"/>
                      <w:sz w:val="20"/>
                      <w:szCs w:val="20"/>
                      <w:lang w:val="en-AU"/>
                    </w:rPr>
                    <w:br/>
                  </w:r>
                  <w:hyperlink r:id="rId54" w:anchor="0122" w:history="1">
                    <w:r w:rsidRPr="00A429FE">
                      <w:rPr>
                        <w:rFonts w:ascii="Times" w:hAnsi="Times" w:cs="Times New Roman"/>
                        <w:color w:val="0000FF"/>
                        <w:sz w:val="20"/>
                        <w:szCs w:val="20"/>
                        <w:u w:val="single"/>
                        <w:lang w:val="en-AU"/>
                      </w:rPr>
                      <w:t>1.22 Independent Commission on Banking: publication of issues paper</w:t>
                    </w:r>
                  </w:hyperlink>
                  <w:r w:rsidRPr="00A429FE">
                    <w:rPr>
                      <w:rFonts w:ascii="Times" w:hAnsi="Times" w:cs="Times New Roman"/>
                      <w:sz w:val="20"/>
                      <w:szCs w:val="20"/>
                      <w:lang w:val="en-AU"/>
                    </w:rPr>
                    <w:br/>
                  </w:r>
                  <w:hyperlink r:id="rId55" w:anchor="0123" w:history="1">
                    <w:r w:rsidRPr="00A429FE">
                      <w:rPr>
                        <w:rFonts w:ascii="Times" w:hAnsi="Times" w:cs="Times New Roman"/>
                        <w:color w:val="0000FF"/>
                        <w:sz w:val="20"/>
                        <w:szCs w:val="20"/>
                        <w:u w:val="single"/>
                        <w:lang w:val="en-AU"/>
                      </w:rPr>
                      <w:t>1.23 Federal Court of Australia Practice Note on schemes of arrangement</w:t>
                    </w:r>
                  </w:hyperlink>
                  <w:r w:rsidRPr="00A429FE">
                    <w:rPr>
                      <w:rFonts w:ascii="Times" w:hAnsi="Times" w:cs="Times New Roman"/>
                      <w:sz w:val="20"/>
                      <w:szCs w:val="20"/>
                      <w:lang w:val="en-AU"/>
                    </w:rPr>
                    <w:br/>
                  </w:r>
                  <w:hyperlink r:id="rId56" w:anchor="0124" w:history="1">
                    <w:r w:rsidRPr="00A429FE">
                      <w:rPr>
                        <w:rFonts w:ascii="Times" w:hAnsi="Times" w:cs="Times New Roman"/>
                        <w:color w:val="0000FF"/>
                        <w:sz w:val="20"/>
                        <w:szCs w:val="20"/>
                        <w:u w:val="single"/>
                        <w:lang w:val="en-AU"/>
                      </w:rPr>
                      <w:t>1.24 Recommendations for handling inside information</w:t>
                    </w:r>
                  </w:hyperlink>
                  <w:r w:rsidRPr="00A429FE">
                    <w:rPr>
                      <w:rFonts w:ascii="Times" w:hAnsi="Times" w:cs="Times New Roman"/>
                      <w:sz w:val="20"/>
                      <w:szCs w:val="20"/>
                      <w:lang w:val="en-AU"/>
                    </w:rPr>
                    <w:br/>
                  </w:r>
                  <w:hyperlink r:id="rId57" w:anchor="0125" w:history="1">
                    <w:r w:rsidRPr="00A429FE">
                      <w:rPr>
                        <w:rFonts w:ascii="Times" w:hAnsi="Times" w:cs="Times New Roman"/>
                        <w:color w:val="0000FF"/>
                        <w:sz w:val="20"/>
                        <w:szCs w:val="20"/>
                        <w:u w:val="single"/>
                        <w:lang w:val="en-AU"/>
                      </w:rPr>
                      <w:t>1.25 NYSE-Sponsored "Commission on Corporate Governance" outlines key governance principles</w:t>
                    </w:r>
                  </w:hyperlink>
                  <w:r w:rsidRPr="00A429FE">
                    <w:rPr>
                      <w:rFonts w:ascii="Times" w:hAnsi="Times" w:cs="Times New Roman"/>
                      <w:sz w:val="20"/>
                      <w:szCs w:val="20"/>
                      <w:lang w:val="en-AU"/>
                    </w:rPr>
                    <w:br/>
                  </w:r>
                  <w:hyperlink r:id="rId58" w:anchor="0126" w:history="1">
                    <w:r w:rsidRPr="00A429FE">
                      <w:rPr>
                        <w:rFonts w:ascii="Times" w:hAnsi="Times" w:cs="Times New Roman"/>
                        <w:color w:val="0000FF"/>
                        <w:sz w:val="20"/>
                        <w:szCs w:val="20"/>
                        <w:u w:val="single"/>
                        <w:lang w:val="en-AU"/>
                      </w:rPr>
                      <w:t>1.26 Draft revised OECD guidelines on insurer governance</w:t>
                    </w:r>
                  </w:hyperlink>
                  <w:r w:rsidRPr="00A429FE">
                    <w:rPr>
                      <w:rFonts w:ascii="Times" w:hAnsi="Times" w:cs="Times New Roman"/>
                      <w:sz w:val="20"/>
                      <w:szCs w:val="20"/>
                      <w:lang w:val="en-AU"/>
                    </w:rPr>
                    <w:br/>
                  </w:r>
                  <w:hyperlink r:id="rId59" w:anchor="0127" w:history="1">
                    <w:r w:rsidRPr="00A429FE">
                      <w:rPr>
                        <w:rFonts w:ascii="Times" w:hAnsi="Times" w:cs="Times New Roman"/>
                        <w:color w:val="0000FF"/>
                        <w:sz w:val="20"/>
                        <w:szCs w:val="20"/>
                        <w:u w:val="single"/>
                        <w:lang w:val="en-AU"/>
                      </w:rPr>
                      <w:t>1.27 SEC proposes measures to enhance short-term borrowing disclosure to investors</w:t>
                    </w:r>
                  </w:hyperlink>
                  <w:r w:rsidRPr="00A429FE">
                    <w:rPr>
                      <w:rFonts w:ascii="Times" w:hAnsi="Times" w:cs="Times New Roman"/>
                      <w:sz w:val="20"/>
                      <w:szCs w:val="20"/>
                      <w:lang w:val="en-AU"/>
                    </w:rPr>
                    <w:br/>
                  </w:r>
                  <w:hyperlink r:id="rId60" w:anchor="0128" w:history="1">
                    <w:r w:rsidRPr="00A429FE">
                      <w:rPr>
                        <w:rFonts w:ascii="Times" w:hAnsi="Times" w:cs="Times New Roman"/>
                        <w:color w:val="0000FF"/>
                        <w:sz w:val="20"/>
                        <w:szCs w:val="20"/>
                        <w:u w:val="single"/>
                        <w:lang w:val="en-AU"/>
                      </w:rPr>
                      <w:t xml:space="preserve">1.28 EU regulation of short selling </w:t>
                    </w:r>
                  </w:hyperlink>
                  <w:r w:rsidRPr="00A429FE">
                    <w:rPr>
                      <w:rFonts w:ascii="Times" w:hAnsi="Times" w:cs="Times New Roman"/>
                      <w:sz w:val="20"/>
                      <w:szCs w:val="20"/>
                      <w:lang w:val="en-AU"/>
                    </w:rPr>
                    <w:br/>
                  </w:r>
                  <w:hyperlink r:id="rId61" w:anchor="0129" w:history="1">
                    <w:r w:rsidRPr="00A429FE">
                      <w:rPr>
                        <w:rFonts w:ascii="Times" w:hAnsi="Times" w:cs="Times New Roman"/>
                        <w:color w:val="0000FF"/>
                        <w:sz w:val="20"/>
                        <w:szCs w:val="20"/>
                        <w:u w:val="single"/>
                        <w:lang w:val="en-AU"/>
                      </w:rPr>
                      <w:t xml:space="preserve">1.29 EU regulation of derivatives markets </w:t>
                    </w:r>
                  </w:hyperlink>
                  <w:r w:rsidRPr="00A429FE">
                    <w:rPr>
                      <w:rFonts w:ascii="Times" w:hAnsi="Times" w:cs="Times New Roman"/>
                      <w:sz w:val="20"/>
                      <w:szCs w:val="20"/>
                      <w:lang w:val="en-AU"/>
                    </w:rPr>
                    <w:br/>
                  </w:r>
                  <w:hyperlink r:id="rId62" w:anchor="0130" w:history="1">
                    <w:r w:rsidRPr="00A429FE">
                      <w:rPr>
                        <w:rFonts w:ascii="Times" w:hAnsi="Times" w:cs="Times New Roman"/>
                        <w:color w:val="0000FF"/>
                        <w:sz w:val="20"/>
                        <w:szCs w:val="20"/>
                        <w:u w:val="single"/>
                        <w:lang w:val="en-AU"/>
                      </w:rPr>
                      <w:t>1.30 Report on insolvency practitioners</w:t>
                    </w:r>
                  </w:hyperlink>
                  <w:r w:rsidRPr="00A429FE">
                    <w:rPr>
                      <w:rFonts w:ascii="Times" w:hAnsi="Times" w:cs="Times New Roman"/>
                      <w:sz w:val="20"/>
                      <w:szCs w:val="20"/>
                      <w:lang w:val="en-AU"/>
                    </w:rPr>
                    <w:br/>
                  </w:r>
                  <w:hyperlink r:id="rId63" w:anchor="0131" w:history="1">
                    <w:r w:rsidRPr="00A429FE">
                      <w:rPr>
                        <w:rFonts w:ascii="Times" w:hAnsi="Times" w:cs="Times New Roman"/>
                        <w:color w:val="0000FF"/>
                        <w:sz w:val="20"/>
                        <w:szCs w:val="20"/>
                        <w:u w:val="single"/>
                        <w:lang w:val="en-AU"/>
                      </w:rPr>
                      <w:t xml:space="preserve">1.31 Compensation for US corporate directors remained flat in 2009 </w:t>
                    </w:r>
                  </w:hyperlink>
                  <w:r w:rsidRPr="00A429FE">
                    <w:rPr>
                      <w:rFonts w:ascii="Times" w:hAnsi="Times" w:cs="Times New Roman"/>
                      <w:sz w:val="20"/>
                      <w:szCs w:val="20"/>
                      <w:lang w:val="en-AU"/>
                    </w:rPr>
                    <w:br/>
                  </w:r>
                  <w:hyperlink r:id="rId64" w:anchor="0132" w:history="1">
                    <w:r w:rsidRPr="00A429FE">
                      <w:rPr>
                        <w:rFonts w:ascii="Times" w:hAnsi="Times" w:cs="Times New Roman"/>
                        <w:color w:val="0000FF"/>
                        <w:sz w:val="20"/>
                        <w:szCs w:val="20"/>
                        <w:u w:val="single"/>
                        <w:lang w:val="en-AU"/>
                      </w:rPr>
                      <w:t>1.32 CEO pay in the top 100 Australian companies</w:t>
                    </w:r>
                  </w:hyperlink>
                </w:p>
                <w:p w:rsidR="00A429FE" w:rsidRPr="00A429FE" w:rsidRDefault="00A429FE" w:rsidP="00A429FE">
                  <w:pPr>
                    <w:spacing w:before="100" w:beforeAutospacing="1" w:after="100" w:afterAutospacing="1"/>
                    <w:rPr>
                      <w:rFonts w:ascii="Times" w:hAnsi="Times" w:cs="Times New Roman"/>
                      <w:sz w:val="20"/>
                      <w:szCs w:val="20"/>
                      <w:lang w:val="en-AU"/>
                    </w:rPr>
                  </w:pPr>
                  <w:hyperlink r:id="rId65" w:anchor="2" w:history="1">
                    <w:r w:rsidRPr="00A429FE">
                      <w:rPr>
                        <w:rFonts w:ascii="Times" w:hAnsi="Times" w:cs="Times New Roman"/>
                        <w:color w:val="0000FF"/>
                        <w:sz w:val="20"/>
                        <w:szCs w:val="20"/>
                        <w:u w:val="single"/>
                        <w:lang w:val="en-AU"/>
                      </w:rPr>
                      <w:t>2. Recent ASIC Developments</w:t>
                    </w:r>
                  </w:hyperlink>
                  <w:bookmarkStart w:id="1" w:name="h2"/>
                  <w:bookmarkEnd w:id="1"/>
                </w:p>
                <w:p w:rsidR="00A429FE" w:rsidRPr="00A429FE" w:rsidRDefault="00A429FE" w:rsidP="00A429FE">
                  <w:pPr>
                    <w:spacing w:beforeAutospacing="1" w:afterAutospacing="1"/>
                    <w:rPr>
                      <w:rFonts w:ascii="Times" w:hAnsi="Times" w:cs="Times New Roman"/>
                      <w:sz w:val="20"/>
                      <w:szCs w:val="20"/>
                      <w:lang w:val="en-AU"/>
                    </w:rPr>
                  </w:pPr>
                  <w:hyperlink r:id="rId66" w:anchor="021" w:history="1">
                    <w:r w:rsidRPr="00A429FE">
                      <w:rPr>
                        <w:rFonts w:ascii="Times" w:hAnsi="Times" w:cs="Times New Roman"/>
                        <w:color w:val="0000FF"/>
                        <w:sz w:val="20"/>
                        <w:szCs w:val="20"/>
                        <w:u w:val="single"/>
                        <w:lang w:val="en-AU"/>
                      </w:rPr>
                      <w:t>2.1 ASIC seeks comment on proposed guidance for independent experts' reports and related party transactions</w:t>
                    </w:r>
                  </w:hyperlink>
                  <w:r w:rsidRPr="00A429FE">
                    <w:rPr>
                      <w:rFonts w:ascii="Times" w:hAnsi="Times" w:cs="Times New Roman"/>
                      <w:sz w:val="20"/>
                      <w:szCs w:val="20"/>
                      <w:lang w:val="en-AU"/>
                    </w:rPr>
                    <w:br/>
                  </w:r>
                  <w:hyperlink r:id="rId67" w:anchor="022" w:history="1">
                    <w:r w:rsidRPr="00A429FE">
                      <w:rPr>
                        <w:rFonts w:ascii="Times" w:hAnsi="Times" w:cs="Times New Roman"/>
                        <w:color w:val="0000FF"/>
                        <w:sz w:val="20"/>
                        <w:szCs w:val="20"/>
                        <w:u w:val="single"/>
                        <w:lang w:val="en-AU"/>
                      </w:rPr>
                      <w:t>2.2 Preventing insolvent trading: new ASIC report</w:t>
                    </w:r>
                  </w:hyperlink>
                  <w:r w:rsidRPr="00A429FE">
                    <w:rPr>
                      <w:rFonts w:ascii="Times" w:hAnsi="Times" w:cs="Times New Roman"/>
                      <w:sz w:val="20"/>
                      <w:szCs w:val="20"/>
                      <w:lang w:val="en-AU"/>
                    </w:rPr>
                    <w:br/>
                  </w:r>
                  <w:hyperlink r:id="rId68" w:anchor="023" w:history="1">
                    <w:r w:rsidRPr="00A429FE">
                      <w:rPr>
                        <w:rFonts w:ascii="Times" w:hAnsi="Times" w:cs="Times New Roman"/>
                        <w:color w:val="0000FF"/>
                        <w:sz w:val="20"/>
                        <w:szCs w:val="20"/>
                        <w:u w:val="single"/>
                        <w:lang w:val="en-AU"/>
                      </w:rPr>
                      <w:t>2.3 ASIC releases proposals to strengthen disclosure by unlisted mortgage schemes</w:t>
                    </w:r>
                  </w:hyperlink>
                  <w:r w:rsidRPr="00A429FE">
                    <w:rPr>
                      <w:rFonts w:ascii="Times" w:hAnsi="Times" w:cs="Times New Roman"/>
                      <w:sz w:val="20"/>
                      <w:szCs w:val="20"/>
                      <w:lang w:val="en-AU"/>
                    </w:rPr>
                    <w:br/>
                  </w:r>
                  <w:hyperlink r:id="rId69" w:anchor="024" w:history="1">
                    <w:r w:rsidRPr="00A429FE">
                      <w:rPr>
                        <w:rFonts w:ascii="Times" w:hAnsi="Times" w:cs="Times New Roman"/>
                        <w:color w:val="0000FF"/>
                        <w:sz w:val="20"/>
                        <w:szCs w:val="20"/>
                        <w:u w:val="single"/>
                        <w:lang w:val="en-AU"/>
                      </w:rPr>
                      <w:t>2.4 ASIC issues consultation paper on financial requirements for managed investment scheme responsible entities</w:t>
                    </w:r>
                  </w:hyperlink>
                  <w:r w:rsidRPr="00A429FE">
                    <w:rPr>
                      <w:rFonts w:ascii="Times" w:hAnsi="Times" w:cs="Times New Roman"/>
                      <w:sz w:val="20"/>
                      <w:szCs w:val="20"/>
                      <w:lang w:val="en-AU"/>
                    </w:rPr>
                    <w:br/>
                  </w:r>
                  <w:hyperlink r:id="rId70" w:anchor="025" w:history="1">
                    <w:r w:rsidRPr="00A429FE">
                      <w:rPr>
                        <w:rFonts w:ascii="Times" w:hAnsi="Times" w:cs="Times New Roman"/>
                        <w:color w:val="0000FF"/>
                        <w:sz w:val="20"/>
                        <w:szCs w:val="20"/>
                        <w:u w:val="single"/>
                        <w:lang w:val="en-AU"/>
                      </w:rPr>
                      <w:t>2.5 ASIC begins nationwide surveillance activities under national consumer credit regime</w:t>
                    </w:r>
                  </w:hyperlink>
                  <w:r w:rsidRPr="00A429FE">
                    <w:rPr>
                      <w:rFonts w:ascii="Times" w:hAnsi="Times" w:cs="Times New Roman"/>
                      <w:sz w:val="20"/>
                      <w:szCs w:val="20"/>
                      <w:lang w:val="en-AU"/>
                    </w:rPr>
                    <w:br/>
                  </w:r>
                  <w:hyperlink r:id="rId71" w:anchor="026" w:history="1">
                    <w:r w:rsidRPr="00A429FE">
                      <w:rPr>
                        <w:rFonts w:ascii="Times" w:hAnsi="Times" w:cs="Times New Roman"/>
                        <w:color w:val="0000FF"/>
                        <w:sz w:val="20"/>
                        <w:szCs w:val="20"/>
                        <w:u w:val="single"/>
                        <w:lang w:val="en-AU"/>
                      </w:rPr>
                      <w:t>2.6 ASIC consults on compensation requirements for traditional trustee company services</w:t>
                    </w:r>
                  </w:hyperlink>
                </w:p>
                <w:p w:rsidR="00A429FE" w:rsidRPr="00A429FE" w:rsidRDefault="00A429FE" w:rsidP="00A429FE">
                  <w:pPr>
                    <w:spacing w:before="100" w:beforeAutospacing="1" w:after="100" w:afterAutospacing="1"/>
                    <w:rPr>
                      <w:rFonts w:ascii="Times" w:hAnsi="Times" w:cs="Times New Roman"/>
                      <w:sz w:val="20"/>
                      <w:szCs w:val="20"/>
                      <w:lang w:val="en-AU"/>
                    </w:rPr>
                  </w:pPr>
                  <w:hyperlink r:id="rId72" w:anchor="3" w:history="1">
                    <w:r w:rsidRPr="00A429FE">
                      <w:rPr>
                        <w:rFonts w:ascii="Times" w:hAnsi="Times" w:cs="Times New Roman"/>
                        <w:color w:val="0000FF"/>
                        <w:sz w:val="20"/>
                        <w:szCs w:val="20"/>
                        <w:u w:val="single"/>
                        <w:lang w:val="en-AU"/>
                      </w:rPr>
                      <w:t>3. Recent ASX Developments</w:t>
                    </w:r>
                  </w:hyperlink>
                  <w:bookmarkStart w:id="2" w:name="h3"/>
                  <w:bookmarkEnd w:id="2"/>
                </w:p>
                <w:p w:rsidR="00A429FE" w:rsidRPr="00A429FE" w:rsidRDefault="00A429FE" w:rsidP="00A429FE">
                  <w:pPr>
                    <w:spacing w:beforeAutospacing="1" w:afterAutospacing="1"/>
                    <w:rPr>
                      <w:rFonts w:ascii="Times" w:hAnsi="Times" w:cs="Times New Roman"/>
                      <w:sz w:val="20"/>
                      <w:szCs w:val="20"/>
                      <w:lang w:val="en-AU"/>
                    </w:rPr>
                  </w:pPr>
                  <w:hyperlink r:id="rId73" w:anchor="031" w:history="1">
                    <w:r w:rsidRPr="00A429FE">
                      <w:rPr>
                        <w:rFonts w:ascii="Times" w:hAnsi="Times" w:cs="Times New Roman"/>
                        <w:color w:val="0000FF"/>
                        <w:sz w:val="20"/>
                        <w:szCs w:val="20"/>
                        <w:u w:val="single"/>
                        <w:lang w:val="en-AU"/>
                      </w:rPr>
                      <w:t>3.1 Trade cancellation policy consultation paper</w:t>
                    </w:r>
                  </w:hyperlink>
                  <w:r w:rsidRPr="00A429FE">
                    <w:rPr>
                      <w:rFonts w:ascii="Times" w:hAnsi="Times" w:cs="Times New Roman"/>
                      <w:sz w:val="20"/>
                      <w:szCs w:val="20"/>
                      <w:lang w:val="en-AU"/>
                    </w:rPr>
                    <w:br/>
                  </w:r>
                  <w:hyperlink r:id="rId74" w:anchor="032" w:history="1">
                    <w:r w:rsidRPr="00A429FE">
                      <w:rPr>
                        <w:rFonts w:ascii="Times" w:hAnsi="Times" w:cs="Times New Roman"/>
                        <w:color w:val="0000FF"/>
                        <w:sz w:val="20"/>
                        <w:szCs w:val="20"/>
                        <w:u w:val="single"/>
                        <w:lang w:val="en-AU"/>
                      </w:rPr>
                      <w:t>3.2 Reports</w:t>
                    </w:r>
                  </w:hyperlink>
                  <w:r w:rsidRPr="00A429FE">
                    <w:rPr>
                      <w:rFonts w:ascii="Times" w:hAnsi="Times" w:cs="Times New Roman"/>
                      <w:sz w:val="20"/>
                      <w:szCs w:val="20"/>
                      <w:lang w:val="en-AU"/>
                    </w:rPr>
                    <w:br/>
                  </w:r>
                  <w:hyperlink r:id="rId75" w:anchor="033" w:history="1">
                    <w:r w:rsidRPr="00A429FE">
                      <w:rPr>
                        <w:rFonts w:ascii="Times" w:hAnsi="Times" w:cs="Times New Roman"/>
                        <w:color w:val="0000FF"/>
                        <w:sz w:val="20"/>
                        <w:szCs w:val="20"/>
                        <w:u w:val="single"/>
                        <w:lang w:val="en-AU"/>
                      </w:rPr>
                      <w:t>3.3 Launch of equity volatility index</w:t>
                    </w:r>
                  </w:hyperlink>
                  <w:r w:rsidRPr="00A429FE">
                    <w:rPr>
                      <w:rFonts w:ascii="Times" w:hAnsi="Times" w:cs="Times New Roman"/>
                      <w:sz w:val="20"/>
                      <w:szCs w:val="20"/>
                      <w:lang w:val="en-AU"/>
                    </w:rPr>
                    <w:br/>
                  </w:r>
                  <w:hyperlink r:id="rId76" w:anchor="034" w:history="1">
                    <w:r w:rsidRPr="00A429FE">
                      <w:rPr>
                        <w:rFonts w:ascii="Times" w:hAnsi="Times" w:cs="Times New Roman"/>
                        <w:color w:val="0000FF"/>
                        <w:sz w:val="20"/>
                        <w:szCs w:val="20"/>
                        <w:u w:val="single"/>
                        <w:lang w:val="en-AU"/>
                      </w:rPr>
                      <w:t>3.4 ASX and SGX proposed merger</w:t>
                    </w:r>
                  </w:hyperlink>
                </w:p>
                <w:p w:rsidR="00A429FE" w:rsidRPr="00A429FE" w:rsidRDefault="00A429FE" w:rsidP="00A429FE">
                  <w:pPr>
                    <w:spacing w:before="100" w:beforeAutospacing="1" w:after="100" w:afterAutospacing="1"/>
                    <w:rPr>
                      <w:rFonts w:ascii="Times" w:hAnsi="Times" w:cs="Times New Roman"/>
                      <w:sz w:val="20"/>
                      <w:szCs w:val="20"/>
                      <w:lang w:val="en-AU"/>
                    </w:rPr>
                  </w:pPr>
                  <w:hyperlink r:id="rId77" w:anchor="4" w:history="1">
                    <w:r w:rsidRPr="00A429FE">
                      <w:rPr>
                        <w:rFonts w:ascii="Times" w:hAnsi="Times" w:cs="Times New Roman"/>
                        <w:color w:val="0000FF"/>
                        <w:sz w:val="20"/>
                        <w:szCs w:val="20"/>
                        <w:u w:val="single"/>
                        <w:lang w:val="en-AU"/>
                      </w:rPr>
                      <w:t>4. Recent Takeovers Panel Developments</w:t>
                    </w:r>
                  </w:hyperlink>
                  <w:bookmarkStart w:id="3" w:name="h4"/>
                  <w:bookmarkEnd w:id="3"/>
                </w:p>
                <w:p w:rsidR="00A429FE" w:rsidRPr="00A429FE" w:rsidRDefault="00A429FE" w:rsidP="00A429FE">
                  <w:pPr>
                    <w:spacing w:beforeAutospacing="1" w:afterAutospacing="1"/>
                    <w:rPr>
                      <w:rFonts w:ascii="Times" w:hAnsi="Times" w:cs="Times New Roman"/>
                      <w:sz w:val="20"/>
                      <w:szCs w:val="20"/>
                      <w:lang w:val="en-AU"/>
                    </w:rPr>
                  </w:pPr>
                  <w:hyperlink r:id="rId78" w:anchor="041" w:history="1">
                    <w:r w:rsidRPr="00A429FE">
                      <w:rPr>
                        <w:rFonts w:ascii="Times" w:hAnsi="Times" w:cs="Times New Roman"/>
                        <w:color w:val="0000FF"/>
                        <w:sz w:val="20"/>
                        <w:szCs w:val="20"/>
                        <w:u w:val="single"/>
                        <w:lang w:val="en-AU"/>
                      </w:rPr>
                      <w:t>4.1 Declaration of unacceptable circumstances and orders: NGM Resources Ltd</w:t>
                    </w:r>
                  </w:hyperlink>
                  <w:r w:rsidRPr="00A429FE">
                    <w:rPr>
                      <w:rFonts w:ascii="Times" w:hAnsi="Times" w:cs="Times New Roman"/>
                      <w:sz w:val="20"/>
                      <w:szCs w:val="20"/>
                      <w:lang w:val="en-AU"/>
                    </w:rPr>
                    <w:br/>
                  </w:r>
                  <w:hyperlink r:id="rId79" w:anchor="042" w:history="1">
                    <w:r w:rsidRPr="00A429FE">
                      <w:rPr>
                        <w:rFonts w:ascii="Times" w:hAnsi="Times" w:cs="Times New Roman"/>
                        <w:color w:val="0000FF"/>
                        <w:sz w:val="20"/>
                        <w:szCs w:val="20"/>
                        <w:u w:val="single"/>
                        <w:lang w:val="en-AU"/>
                      </w:rPr>
                      <w:t>4.2 Takeovers Panel revises Guidance Note 1 and releases Guidance Note 22</w:t>
                    </w:r>
                  </w:hyperlink>
                </w:p>
                <w:p w:rsidR="00A429FE" w:rsidRPr="00A429FE" w:rsidRDefault="00A429FE" w:rsidP="00A429FE">
                  <w:pPr>
                    <w:spacing w:before="100" w:beforeAutospacing="1" w:after="100" w:afterAutospacing="1"/>
                    <w:rPr>
                      <w:rFonts w:ascii="Times" w:hAnsi="Times" w:cs="Times New Roman"/>
                      <w:sz w:val="20"/>
                      <w:szCs w:val="20"/>
                      <w:lang w:val="en-AU"/>
                    </w:rPr>
                  </w:pPr>
                  <w:hyperlink r:id="rId80" w:anchor="5" w:history="1">
                    <w:r w:rsidRPr="00A429FE">
                      <w:rPr>
                        <w:rFonts w:ascii="Times" w:hAnsi="Times" w:cs="Times New Roman"/>
                        <w:color w:val="0000FF"/>
                        <w:sz w:val="20"/>
                        <w:szCs w:val="20"/>
                        <w:u w:val="single"/>
                        <w:lang w:val="en-AU"/>
                      </w:rPr>
                      <w:t>5. Recent Corporate Law Decisions</w:t>
                    </w:r>
                  </w:hyperlink>
                  <w:r w:rsidRPr="00A429FE">
                    <w:rPr>
                      <w:rFonts w:ascii="Times" w:hAnsi="Times" w:cs="Times New Roman"/>
                      <w:sz w:val="20"/>
                      <w:szCs w:val="20"/>
                      <w:lang w:val="en-AU"/>
                    </w:rPr>
                    <w:t xml:space="preserve"> </w:t>
                  </w:r>
                  <w:bookmarkStart w:id="4" w:name="h5"/>
                  <w:bookmarkEnd w:id="4"/>
                </w:p>
                <w:p w:rsidR="00A429FE" w:rsidRPr="00A429FE" w:rsidRDefault="00A429FE" w:rsidP="00A429FE">
                  <w:pPr>
                    <w:spacing w:beforeAutospacing="1" w:afterAutospacing="1"/>
                    <w:rPr>
                      <w:rFonts w:ascii="Times" w:hAnsi="Times" w:cs="Times New Roman"/>
                      <w:sz w:val="20"/>
                      <w:szCs w:val="20"/>
                      <w:lang w:val="en-AU"/>
                    </w:rPr>
                  </w:pPr>
                  <w:hyperlink r:id="rId81" w:anchor="051" w:history="1">
                    <w:r w:rsidRPr="00A429FE">
                      <w:rPr>
                        <w:rFonts w:ascii="Times" w:hAnsi="Times" w:cs="Times New Roman"/>
                        <w:color w:val="0000FF"/>
                        <w:sz w:val="20"/>
                        <w:szCs w:val="20"/>
                        <w:u w:val="single"/>
                        <w:lang w:val="en-AU"/>
                      </w:rPr>
                      <w:t>5.1 Determining a special purpose liquidator's entitlement to remuneration claimed</w:t>
                    </w:r>
                  </w:hyperlink>
                  <w:r w:rsidRPr="00A429FE">
                    <w:rPr>
                      <w:rFonts w:ascii="Times" w:hAnsi="Times" w:cs="Times New Roman"/>
                      <w:sz w:val="20"/>
                      <w:szCs w:val="20"/>
                      <w:lang w:val="en-AU"/>
                    </w:rPr>
                    <w:br/>
                  </w:r>
                  <w:hyperlink r:id="rId82" w:anchor="052" w:history="1">
                    <w:r w:rsidRPr="00A429FE">
                      <w:rPr>
                        <w:rFonts w:ascii="Times" w:hAnsi="Times" w:cs="Times New Roman"/>
                        <w:color w:val="0000FF"/>
                        <w:sz w:val="20"/>
                        <w:szCs w:val="20"/>
                        <w:u w:val="single"/>
                        <w:lang w:val="en-AU"/>
                      </w:rPr>
                      <w:t>5.2 Rights of former responsible entity not transferred to new responsible entity</w:t>
                    </w:r>
                  </w:hyperlink>
                  <w:r w:rsidRPr="00A429FE">
                    <w:rPr>
                      <w:rFonts w:ascii="Times" w:hAnsi="Times" w:cs="Times New Roman"/>
                      <w:sz w:val="20"/>
                      <w:szCs w:val="20"/>
                      <w:lang w:val="en-AU"/>
                    </w:rPr>
                    <w:br/>
                  </w:r>
                  <w:hyperlink r:id="rId83" w:anchor="053" w:history="1">
                    <w:r w:rsidRPr="00A429FE">
                      <w:rPr>
                        <w:rFonts w:ascii="Times" w:hAnsi="Times" w:cs="Times New Roman"/>
                        <w:color w:val="0000FF"/>
                        <w:sz w:val="20"/>
                        <w:szCs w:val="20"/>
                        <w:u w:val="single"/>
                        <w:lang w:val="en-AU"/>
                      </w:rPr>
                      <w:t xml:space="preserve">5.3 Promissory notes and disclosure document requirements under the Corporations Act </w:t>
                    </w:r>
                  </w:hyperlink>
                  <w:r w:rsidRPr="00A429FE">
                    <w:rPr>
                      <w:rFonts w:ascii="Times" w:hAnsi="Times" w:cs="Times New Roman"/>
                      <w:sz w:val="20"/>
                      <w:szCs w:val="20"/>
                      <w:lang w:val="en-AU"/>
                    </w:rPr>
                    <w:br/>
                  </w:r>
                  <w:hyperlink r:id="rId84" w:anchor="054" w:history="1">
                    <w:r w:rsidRPr="00A429FE">
                      <w:rPr>
                        <w:rFonts w:ascii="Times" w:hAnsi="Times" w:cs="Times New Roman"/>
                        <w:color w:val="0000FF"/>
                        <w:sz w:val="20"/>
                        <w:szCs w:val="20"/>
                        <w:u w:val="single"/>
                        <w:lang w:val="en-AU"/>
                      </w:rPr>
                      <w:t xml:space="preserve">5.4 Purported redemption of redeemable preference shares void </w:t>
                    </w:r>
                  </w:hyperlink>
                  <w:r w:rsidRPr="00A429FE">
                    <w:rPr>
                      <w:rFonts w:ascii="Times" w:hAnsi="Times" w:cs="Times New Roman"/>
                      <w:sz w:val="20"/>
                      <w:szCs w:val="20"/>
                      <w:lang w:val="en-AU"/>
                    </w:rPr>
                    <w:br/>
                  </w:r>
                  <w:hyperlink r:id="rId85" w:anchor="055" w:history="1">
                    <w:r w:rsidRPr="00A429FE">
                      <w:rPr>
                        <w:rFonts w:ascii="Times" w:hAnsi="Times" w:cs="Times New Roman"/>
                        <w:color w:val="0000FF"/>
                        <w:sz w:val="20"/>
                        <w:szCs w:val="20"/>
                        <w:u w:val="single"/>
                        <w:lang w:val="en-AU"/>
                      </w:rPr>
                      <w:t>5.5 A deed indeed</w:t>
                    </w:r>
                  </w:hyperlink>
                  <w:r w:rsidRPr="00A429FE">
                    <w:rPr>
                      <w:rFonts w:ascii="Times" w:hAnsi="Times" w:cs="Times New Roman"/>
                      <w:sz w:val="20"/>
                      <w:szCs w:val="20"/>
                      <w:lang w:val="en-AU"/>
                    </w:rPr>
                    <w:br/>
                  </w:r>
                  <w:hyperlink r:id="rId86" w:anchor="056" w:history="1">
                    <w:r w:rsidRPr="00A429FE">
                      <w:rPr>
                        <w:rFonts w:ascii="Times" w:hAnsi="Times" w:cs="Times New Roman"/>
                        <w:color w:val="0000FF"/>
                        <w:sz w:val="20"/>
                        <w:szCs w:val="20"/>
                        <w:u w:val="single"/>
                        <w:lang w:val="en-AU"/>
                      </w:rPr>
                      <w:t>5.6 Unitholders' meeting proceedings - application for injunction to prevent managed investment funds' unitholders meeting to vote on removal of responsible entity dismissed</w:t>
                    </w:r>
                  </w:hyperlink>
                  <w:r w:rsidRPr="00A429FE">
                    <w:rPr>
                      <w:rFonts w:ascii="Times" w:hAnsi="Times" w:cs="Times New Roman"/>
                      <w:sz w:val="20"/>
                      <w:szCs w:val="20"/>
                      <w:lang w:val="en-AU"/>
                    </w:rPr>
                    <w:br/>
                  </w:r>
                  <w:hyperlink r:id="rId87" w:anchor="057" w:history="1">
                    <w:r w:rsidRPr="00A429FE">
                      <w:rPr>
                        <w:rFonts w:ascii="Times" w:hAnsi="Times" w:cs="Times New Roman"/>
                        <w:color w:val="0000FF"/>
                        <w:sz w:val="20"/>
                        <w:szCs w:val="20"/>
                        <w:u w:val="single"/>
                        <w:lang w:val="en-AU"/>
                      </w:rPr>
                      <w:t xml:space="preserve">5.7 Indemnification of corporate trustee for losses incurred after it becomes a bare trustee </w:t>
                    </w:r>
                  </w:hyperlink>
                  <w:r w:rsidRPr="00A429FE">
                    <w:rPr>
                      <w:rFonts w:ascii="Times" w:hAnsi="Times" w:cs="Times New Roman"/>
                      <w:sz w:val="20"/>
                      <w:szCs w:val="20"/>
                      <w:lang w:val="en-AU"/>
                    </w:rPr>
                    <w:br/>
                  </w:r>
                  <w:hyperlink r:id="rId88" w:anchor="058" w:history="1">
                    <w:r w:rsidRPr="00A429FE">
                      <w:rPr>
                        <w:rFonts w:ascii="Times" w:hAnsi="Times" w:cs="Times New Roman"/>
                        <w:color w:val="0000FF"/>
                        <w:sz w:val="20"/>
                        <w:szCs w:val="20"/>
                        <w:u w:val="single"/>
                        <w:lang w:val="en-AU"/>
                      </w:rPr>
                      <w:t xml:space="preserve">5.8 The objectives of Part 5.3D are vital to an application under section 440C of the Corporations Act </w:t>
                    </w:r>
                  </w:hyperlink>
                  <w:r w:rsidRPr="00A429FE">
                    <w:rPr>
                      <w:rFonts w:ascii="Times" w:hAnsi="Times" w:cs="Times New Roman"/>
                      <w:sz w:val="20"/>
                      <w:szCs w:val="20"/>
                      <w:lang w:val="en-AU"/>
                    </w:rPr>
                    <w:br/>
                  </w:r>
                  <w:hyperlink r:id="rId89" w:anchor="059" w:history="1">
                    <w:r w:rsidRPr="00A429FE">
                      <w:rPr>
                        <w:rFonts w:ascii="Times" w:hAnsi="Times" w:cs="Times New Roman"/>
                        <w:color w:val="0000FF"/>
                        <w:sz w:val="20"/>
                        <w:szCs w:val="20"/>
                        <w:u w:val="single"/>
                        <w:lang w:val="en-AU"/>
                      </w:rPr>
                      <w:t>5.9 Variations to charges and ASIC registration requirements</w:t>
                    </w:r>
                  </w:hyperlink>
                  <w:r w:rsidRPr="00A429FE">
                    <w:rPr>
                      <w:rFonts w:ascii="Times" w:hAnsi="Times" w:cs="Times New Roman"/>
                      <w:sz w:val="20"/>
                      <w:szCs w:val="20"/>
                      <w:lang w:val="en-AU"/>
                    </w:rPr>
                    <w:br/>
                  </w:r>
                  <w:hyperlink r:id="rId90" w:anchor="0510" w:history="1">
                    <w:r w:rsidRPr="00A429FE">
                      <w:rPr>
                        <w:rFonts w:ascii="Times" w:hAnsi="Times" w:cs="Times New Roman"/>
                        <w:color w:val="0000FF"/>
                        <w:sz w:val="20"/>
                        <w:szCs w:val="20"/>
                        <w:u w:val="single"/>
                        <w:lang w:val="en-AU"/>
                      </w:rPr>
                      <w:t xml:space="preserve">5.10 The scope of the court's statutory jurisdiction to inquire into a liquidator's conduct under section 536 of the Corporations Act </w:t>
                    </w:r>
                  </w:hyperlink>
                  <w:r w:rsidRPr="00A429FE">
                    <w:rPr>
                      <w:rFonts w:ascii="Times" w:hAnsi="Times" w:cs="Times New Roman"/>
                      <w:sz w:val="20"/>
                      <w:szCs w:val="20"/>
                      <w:lang w:val="en-AU"/>
                    </w:rPr>
                    <w:br/>
                  </w:r>
                  <w:hyperlink r:id="rId91" w:anchor="0511" w:history="1">
                    <w:r w:rsidRPr="00A429FE">
                      <w:rPr>
                        <w:rFonts w:ascii="Times" w:hAnsi="Times" w:cs="Times New Roman"/>
                        <w:color w:val="0000FF"/>
                        <w:sz w:val="20"/>
                        <w:szCs w:val="20"/>
                        <w:u w:val="single"/>
                        <w:lang w:val="en-AU"/>
                      </w:rPr>
                      <w:t>5.11 Legality of tape recordings of management committee meetings</w:t>
                    </w:r>
                  </w:hyperlink>
                </w:p>
                <w:p w:rsidR="00A429FE" w:rsidRPr="00A429FE" w:rsidRDefault="00A429FE" w:rsidP="00A429FE">
                  <w:pPr>
                    <w:spacing w:before="100" w:beforeAutospacing="1" w:after="100" w:afterAutospacing="1"/>
                    <w:rPr>
                      <w:rFonts w:ascii="Times" w:hAnsi="Times" w:cs="Times New Roman"/>
                      <w:sz w:val="20"/>
                      <w:szCs w:val="20"/>
                      <w:lang w:val="en-AU"/>
                    </w:rPr>
                  </w:pPr>
                  <w:r w:rsidRPr="00A429FE">
                    <w:rPr>
                      <w:rFonts w:ascii="Times" w:hAnsi="Times" w:cs="Times New Roman"/>
                      <w:sz w:val="20"/>
                      <w:szCs w:val="20"/>
                      <w:lang w:val="en-AU"/>
                    </w:rPr>
                    <w:t> </w:t>
                  </w:r>
                </w:p>
              </w:tc>
            </w:tr>
          </w:tbl>
          <w:p w:rsidR="00A429FE" w:rsidRPr="00A429FE" w:rsidRDefault="00A429FE" w:rsidP="00A429FE">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592"/>
            </w:tblGrid>
            <w:tr w:rsidR="00A429FE" w:rsidRPr="00A429FE">
              <w:trPr>
                <w:trHeight w:val="560"/>
                <w:tblCellSpacing w:w="0" w:type="dxa"/>
              </w:trPr>
              <w:tc>
                <w:tcPr>
                  <w:tcW w:w="0" w:type="auto"/>
                  <w:shd w:val="clear" w:color="auto" w:fill="E4E5E5"/>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6457"/>
                    <w:gridCol w:w="600"/>
                    <w:gridCol w:w="535"/>
                  </w:tblGrid>
                  <w:tr w:rsidR="00A429FE" w:rsidRPr="00A429FE">
                    <w:trPr>
                      <w:tblCellSpacing w:w="0" w:type="dxa"/>
                    </w:trPr>
                    <w:tc>
                      <w:tcPr>
                        <w:tcW w:w="0" w:type="auto"/>
                        <w:vAlign w:val="center"/>
                        <w:hideMark/>
                      </w:tcPr>
                      <w:p w:rsidR="00A429FE" w:rsidRPr="00A429FE" w:rsidRDefault="00A429FE" w:rsidP="00A429FE">
                        <w:pPr>
                          <w:rPr>
                            <w:rFonts w:ascii="Times" w:eastAsia="Times New Roman" w:hAnsi="Times" w:cs="Times New Roman"/>
                            <w:sz w:val="20"/>
                            <w:szCs w:val="20"/>
                            <w:lang w:val="en-AU"/>
                          </w:rPr>
                        </w:pPr>
                        <w:bookmarkStart w:id="5" w:name="1"/>
                        <w:bookmarkEnd w:id="5"/>
                        <w:r w:rsidRPr="00A429FE">
                          <w:rPr>
                            <w:rFonts w:ascii="Times" w:eastAsia="Times New Roman" w:hAnsi="Times" w:cs="Times New Roman"/>
                            <w:b/>
                            <w:bCs/>
                            <w:sz w:val="20"/>
                            <w:szCs w:val="20"/>
                            <w:lang w:val="en-AU"/>
                          </w:rPr>
                          <w:t xml:space="preserve">1. Recent Corporate Law and Corporate Governance Developments </w:t>
                        </w:r>
                      </w:p>
                    </w:tc>
                    <w:tc>
                      <w:tcPr>
                        <w:tcW w:w="600" w:type="dxa"/>
                        <w:vAlign w:val="center"/>
                        <w:hideMark/>
                      </w:tcPr>
                      <w:p w:rsidR="00A429FE" w:rsidRPr="00A429FE" w:rsidRDefault="00A429FE" w:rsidP="00A429FE">
                        <w:pPr>
                          <w:rPr>
                            <w:rFonts w:ascii="Times" w:eastAsia="Times New Roman" w:hAnsi="Times" w:cs="Times New Roman"/>
                            <w:sz w:val="20"/>
                            <w:szCs w:val="20"/>
                            <w:lang w:val="en-AU"/>
                          </w:rPr>
                        </w:pPr>
                      </w:p>
                    </w:tc>
                    <w:tc>
                      <w:tcPr>
                        <w:tcW w:w="240" w:type="dxa"/>
                        <w:vAlign w:val="center"/>
                        <w:hideMark/>
                      </w:tcPr>
                      <w:p w:rsidR="00A429FE" w:rsidRPr="00A429FE" w:rsidRDefault="00A429FE" w:rsidP="00A429FE">
                        <w:pPr>
                          <w:rPr>
                            <w:rFonts w:ascii="Times" w:eastAsia="Times New Roman" w:hAnsi="Times" w:cs="Times New Roman"/>
                            <w:sz w:val="20"/>
                            <w:szCs w:val="20"/>
                            <w:lang w:val="en-AU"/>
                          </w:rPr>
                        </w:pPr>
                        <w:r>
                          <w:rPr>
                            <w:rFonts w:ascii="Times" w:eastAsia="Times New Roman" w:hAnsi="Times" w:cs="Times New Roman"/>
                            <w:noProof/>
                            <w:color w:val="0000FF"/>
                            <w:sz w:val="20"/>
                            <w:szCs w:val="20"/>
                          </w:rPr>
                          <w:drawing>
                            <wp:inline distT="0" distB="0" distL="0" distR="0">
                              <wp:extent cx="136525" cy="153670"/>
                              <wp:effectExtent l="0" t="0" r="0" b="0"/>
                              <wp:docPr id="17032" name="Picture 17032" descr="ext Section">
                                <a:hlinkClick xmlns:a="http://schemas.openxmlformats.org/drawingml/2006/main" r:id="rId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32" descr="ext Section">
                                        <a:hlinkClick r:id="rId92"/>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A429FE" w:rsidRPr="00A429FE" w:rsidRDefault="00A429FE" w:rsidP="00A429FE">
                  <w:pPr>
                    <w:rPr>
                      <w:rFonts w:ascii="Times" w:eastAsia="Times New Roman" w:hAnsi="Times" w:cs="Times New Roman"/>
                      <w:sz w:val="20"/>
                      <w:szCs w:val="20"/>
                      <w:lang w:val="en-AU"/>
                    </w:rPr>
                  </w:pPr>
                </w:p>
              </w:tc>
            </w:tr>
            <w:tr w:rsidR="00A429FE" w:rsidRPr="00A429FE">
              <w:trPr>
                <w:tblCellSpacing w:w="0" w:type="dxa"/>
              </w:trPr>
              <w:tc>
                <w:tcPr>
                  <w:tcW w:w="0" w:type="auto"/>
                  <w:vAlign w:val="center"/>
                  <w:hideMark/>
                </w:tcPr>
                <w:p w:rsidR="00A429FE" w:rsidRPr="00A429FE" w:rsidRDefault="00A429FE" w:rsidP="00A429FE">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6956425" cy="17145"/>
                        <wp:effectExtent l="0" t="0" r="0" b="0"/>
                        <wp:docPr id="17033" name="Picture 17033"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33"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6425" cy="17145"/>
                                </a:xfrm>
                                <a:prstGeom prst="rect">
                                  <a:avLst/>
                                </a:prstGeom>
                                <a:noFill/>
                                <a:ln>
                                  <a:noFill/>
                                </a:ln>
                              </pic:spPr>
                            </pic:pic>
                          </a:graphicData>
                        </a:graphic>
                      </wp:inline>
                    </w:drawing>
                  </w:r>
                </w:p>
              </w:tc>
            </w:tr>
            <w:tr w:rsidR="00A429FE" w:rsidRPr="00A429FE">
              <w:trPr>
                <w:tblCellSpacing w:w="0" w:type="dxa"/>
              </w:trPr>
              <w:tc>
                <w:tcPr>
                  <w:tcW w:w="0" w:type="auto"/>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7592"/>
                  </w:tblGrid>
                  <w:tr w:rsidR="00A429FE" w:rsidRPr="00A429FE">
                    <w:trPr>
                      <w:tblCellSpacing w:w="0" w:type="dxa"/>
                    </w:trPr>
                    <w:tc>
                      <w:tcPr>
                        <w:tcW w:w="0" w:type="auto"/>
                        <w:hideMark/>
                      </w:tcPr>
                      <w:p w:rsidR="00A429FE" w:rsidRPr="00A429FE" w:rsidRDefault="00A429FE" w:rsidP="00A429FE">
                        <w:pPr>
                          <w:spacing w:before="100" w:beforeAutospacing="1" w:after="100" w:afterAutospacing="1"/>
                          <w:rPr>
                            <w:rFonts w:ascii="Times" w:hAnsi="Times" w:cs="Times New Roman"/>
                            <w:sz w:val="20"/>
                            <w:szCs w:val="20"/>
                            <w:lang w:val="en-AU"/>
                          </w:rPr>
                        </w:pPr>
                        <w:bookmarkStart w:id="6" w:name="011"/>
                        <w:bookmarkEnd w:id="6"/>
                        <w:r w:rsidRPr="00A429FE">
                          <w:rPr>
                            <w:rFonts w:ascii="Times" w:hAnsi="Times" w:cs="Times New Roman"/>
                            <w:b/>
                            <w:bCs/>
                            <w:sz w:val="20"/>
                            <w:szCs w:val="20"/>
                            <w:lang w:val="en-AU"/>
                          </w:rPr>
                          <w:t>1.1 Financial Stability Board statement on financial regulatory reform</w:t>
                        </w:r>
                        <w:r w:rsidRPr="00A429FE">
                          <w:rPr>
                            <w:rFonts w:ascii="Times" w:hAnsi="Times" w:cs="Times New Roman"/>
                            <w:sz w:val="20"/>
                            <w:szCs w:val="20"/>
                            <w:lang w:val="en-AU"/>
                          </w:rPr>
                          <w:br/>
                          <w:t> </w:t>
                        </w:r>
                        <w:r w:rsidRPr="00A429FE">
                          <w:rPr>
                            <w:rFonts w:ascii="Times" w:hAnsi="Times" w:cs="Times New Roman"/>
                            <w:sz w:val="20"/>
                            <w:szCs w:val="20"/>
                            <w:lang w:val="en-AU"/>
                          </w:rPr>
                          <w:br/>
                          <w:t>On 20 October 2010, the Financial Stability Board (FSB) issued a statement on key elements of financial reforms ahead of the G20 Summit in Seoul. The FSB welcomed the Basel Committee's global bank capital and liquidity standards; agreed on a framework for addressing systemically important financial institutions; endorsed recommendations for increasing the intensity and effectiveness of financial supervision; approved recommendations for implementing central clearing and trade reporting of over-the-counter (OTC) derivatives; and endorsed principles for reducing reliance on credit rating agency ratings.</w:t>
                        </w:r>
                        <w:r w:rsidRPr="00A429FE">
                          <w:rPr>
                            <w:rFonts w:ascii="Times" w:hAnsi="Times" w:cs="Times New Roman"/>
                            <w:sz w:val="20"/>
                            <w:szCs w:val="20"/>
                            <w:lang w:val="en-AU"/>
                          </w:rPr>
                          <w:br/>
                          <w:t> </w:t>
                        </w:r>
                        <w:r w:rsidRPr="00A429FE">
                          <w:rPr>
                            <w:rFonts w:ascii="Times" w:hAnsi="Times" w:cs="Times New Roman"/>
                            <w:sz w:val="20"/>
                            <w:szCs w:val="20"/>
                            <w:lang w:val="en-AU"/>
                          </w:rPr>
                          <w:br/>
                          <w:t>The FSB also reviewed progress on other elements of the financial regulatory reform agenda, including accounting convergence, established FSB regional outreach arrangements, and discussed the future work program.</w:t>
                        </w:r>
                        <w:r w:rsidRPr="00A429FE">
                          <w:rPr>
                            <w:rFonts w:ascii="Times" w:hAnsi="Times" w:cs="Times New Roman"/>
                            <w:sz w:val="20"/>
                            <w:szCs w:val="20"/>
                            <w:lang w:val="en-AU"/>
                          </w:rPr>
                          <w:br/>
                          <w:t> </w:t>
                        </w:r>
                        <w:r w:rsidRPr="00A429FE">
                          <w:rPr>
                            <w:rFonts w:ascii="Times" w:hAnsi="Times" w:cs="Times New Roman"/>
                            <w:sz w:val="20"/>
                            <w:szCs w:val="20"/>
                            <w:lang w:val="en-AU"/>
                          </w:rPr>
                          <w:br/>
                          <w:t xml:space="preserve">The statement focuses on the following elements of the program of financial regulatory reform agreed by the G20 economies and coordinated by the FSB in the wake of the financial crisis. </w:t>
                        </w:r>
                        <w:r w:rsidRPr="00A429FE">
                          <w:rPr>
                            <w:rFonts w:ascii="Times" w:hAnsi="Times" w:cs="Times New Roman"/>
                            <w:sz w:val="20"/>
                            <w:szCs w:val="20"/>
                            <w:lang w:val="en-AU"/>
                          </w:rPr>
                          <w:br/>
                        </w:r>
                        <w:r w:rsidRPr="00A429FE">
                          <w:rPr>
                            <w:rFonts w:ascii="Times" w:hAnsi="Times" w:cs="Times New Roman"/>
                            <w:sz w:val="20"/>
                            <w:szCs w:val="20"/>
                            <w:lang w:val="en-AU"/>
                          </w:rPr>
                          <w:br/>
                        </w:r>
                        <w:r w:rsidRPr="00A429FE">
                          <w:rPr>
                            <w:rFonts w:ascii="Times" w:hAnsi="Times" w:cs="Times New Roman"/>
                            <w:b/>
                            <w:bCs/>
                            <w:sz w:val="20"/>
                            <w:szCs w:val="20"/>
                            <w:lang w:val="en-AU"/>
                          </w:rPr>
                          <w:t xml:space="preserve">(a) New bank capital and liquidity standards </w:t>
                        </w:r>
                        <w:r w:rsidRPr="00A429FE">
                          <w:rPr>
                            <w:rFonts w:ascii="Times" w:hAnsi="Times" w:cs="Times New Roman"/>
                            <w:sz w:val="20"/>
                            <w:szCs w:val="20"/>
                            <w:lang w:val="en-AU"/>
                          </w:rPr>
                          <w:br/>
                          <w:t> </w:t>
                        </w:r>
                        <w:r w:rsidRPr="00A429FE">
                          <w:rPr>
                            <w:rFonts w:ascii="Times" w:hAnsi="Times" w:cs="Times New Roman"/>
                            <w:sz w:val="20"/>
                            <w:szCs w:val="20"/>
                            <w:lang w:val="en-AU"/>
                          </w:rPr>
                          <w:br/>
                          <w:t>The new standards developed by the Basel Committee on Banking Supervision have been designed to markedly increase the resilience of the global banking system by raising the quality, quantity and international consistency of bank capital and liquidity, constrain the build up of leverage and maturity mismatches, and introduce capital buffers above the minimum requirements that can be drawn upon in bad times. The new standards will reduce the likelihood and severity of future financial crises and create a less procyclical banking system that is better able to support long-term economic growth.</w:t>
                        </w:r>
                        <w:r w:rsidRPr="00A429FE">
                          <w:rPr>
                            <w:rFonts w:ascii="Times" w:hAnsi="Times" w:cs="Times New Roman"/>
                            <w:sz w:val="20"/>
                            <w:szCs w:val="20"/>
                            <w:lang w:val="en-AU"/>
                          </w:rPr>
                          <w:br/>
                          <w:t> </w:t>
                        </w:r>
                        <w:r w:rsidRPr="00A429FE">
                          <w:rPr>
                            <w:rFonts w:ascii="Times" w:hAnsi="Times" w:cs="Times New Roman"/>
                            <w:sz w:val="20"/>
                            <w:szCs w:val="20"/>
                            <w:lang w:val="en-AU"/>
                          </w:rPr>
                          <w:br/>
                          <w:t>The FSB and the Basel Committee, in close collaboration with the BIS and IMF, have assessed the macroeconomic impact of the transition to the stronger capital and liquidity standards. The implementation horizon and transition arrangements have been designed to ensure that implementation does not harm the recovery. National implementation of the risk-based capital requirements by member countries will begin on 1 January 2013. Member countries will translate the capital rules into national laws and regulations before that date. From that point forward, the capital standards rise each year, reaching their new level on 1 January 2019.</w:t>
                        </w:r>
                        <w:r w:rsidRPr="00A429FE">
                          <w:rPr>
                            <w:rFonts w:ascii="Times" w:hAnsi="Times" w:cs="Times New Roman"/>
                            <w:sz w:val="20"/>
                            <w:szCs w:val="20"/>
                            <w:lang w:val="en-AU"/>
                          </w:rPr>
                          <w:br/>
                          <w:t> </w:t>
                        </w:r>
                        <w:r w:rsidRPr="00A429FE">
                          <w:rPr>
                            <w:rFonts w:ascii="Times" w:hAnsi="Times" w:cs="Times New Roman"/>
                            <w:sz w:val="20"/>
                            <w:szCs w:val="20"/>
                            <w:lang w:val="en-AU"/>
                          </w:rPr>
                          <w:br/>
                        </w:r>
                        <w:r w:rsidRPr="00A429FE">
                          <w:rPr>
                            <w:rFonts w:ascii="Times" w:hAnsi="Times" w:cs="Times New Roman"/>
                            <w:b/>
                            <w:bCs/>
                            <w:sz w:val="20"/>
                            <w:szCs w:val="20"/>
                            <w:lang w:val="en-AU"/>
                          </w:rPr>
                          <w:t xml:space="preserve">(b) Addressing systemically important financial institutions </w:t>
                        </w:r>
                        <w:r w:rsidRPr="00A429FE">
                          <w:rPr>
                            <w:rFonts w:ascii="Times" w:hAnsi="Times" w:cs="Times New Roman"/>
                            <w:sz w:val="20"/>
                            <w:szCs w:val="20"/>
                            <w:lang w:val="en-AU"/>
                          </w:rPr>
                          <w:br/>
                        </w:r>
                        <w:r w:rsidRPr="00A429FE">
                          <w:rPr>
                            <w:rFonts w:ascii="Times" w:hAnsi="Times" w:cs="Times New Roman"/>
                            <w:sz w:val="20"/>
                            <w:szCs w:val="20"/>
                            <w:lang w:val="en-AU"/>
                          </w:rPr>
                          <w:br/>
                          <w:t xml:space="preserve">The FSB agreed a policy framework, work processes and timelines to address the "too big to fail" problem associated with systemically important financial institutions (SIFIs). </w:t>
                        </w:r>
                        <w:r w:rsidRPr="00A429FE">
                          <w:rPr>
                            <w:rFonts w:ascii="Times" w:hAnsi="Times" w:cs="Times New Roman"/>
                            <w:sz w:val="20"/>
                            <w:szCs w:val="20"/>
                            <w:lang w:val="en-AU"/>
                          </w:rPr>
                          <w:br/>
                          <w:t> </w:t>
                        </w:r>
                        <w:r w:rsidRPr="00A429FE">
                          <w:rPr>
                            <w:rFonts w:ascii="Times" w:hAnsi="Times" w:cs="Times New Roman"/>
                            <w:sz w:val="20"/>
                            <w:szCs w:val="20"/>
                            <w:lang w:val="en-AU"/>
                          </w:rPr>
                          <w:br/>
                          <w:t>The framework calls for jurisdictions to put in place:</w:t>
                        </w:r>
                      </w:p>
                      <w:p w:rsidR="00A429FE" w:rsidRPr="00A429FE" w:rsidRDefault="00A429FE" w:rsidP="00A429FE">
                        <w:pPr>
                          <w:tabs>
                            <w:tab w:val="num" w:pos="720"/>
                          </w:tabs>
                          <w:spacing w:before="100" w:beforeAutospacing="1" w:after="100" w:afterAutospacing="1"/>
                          <w:ind w:left="720" w:hanging="360"/>
                          <w:rPr>
                            <w:rFonts w:ascii="Times" w:eastAsia="Times New Roman" w:hAnsi="Times" w:cs="Times New Roman"/>
                            <w:sz w:val="20"/>
                            <w:szCs w:val="20"/>
                            <w:lang w:val="en-AU"/>
                          </w:rPr>
                        </w:pPr>
                        <w:r w:rsidRPr="00A429FE">
                          <w:rPr>
                            <w:rFonts w:ascii="Times" w:eastAsia="Times New Roman" w:hAnsi="Times" w:cs="Times New Roman"/>
                            <w:sz w:val="20"/>
                            <w:szCs w:val="20"/>
                            <w:lang w:val="en-AU"/>
                          </w:rPr>
                          <w:t xml:space="preserve">Capacity to resolve national and global SIFIs without disruption to the financial system and without taxpayer support; </w:t>
                        </w:r>
                      </w:p>
                      <w:p w:rsidR="00A429FE" w:rsidRPr="00A429FE" w:rsidRDefault="00A429FE" w:rsidP="00A429FE">
                        <w:pPr>
                          <w:tabs>
                            <w:tab w:val="num" w:pos="720"/>
                          </w:tabs>
                          <w:spacing w:before="100" w:beforeAutospacing="1" w:after="100" w:afterAutospacing="1"/>
                          <w:ind w:left="720" w:hanging="360"/>
                          <w:rPr>
                            <w:rFonts w:ascii="Times" w:eastAsia="Times New Roman" w:hAnsi="Times" w:cs="Times New Roman"/>
                            <w:sz w:val="20"/>
                            <w:szCs w:val="20"/>
                            <w:lang w:val="en-AU"/>
                          </w:rPr>
                        </w:pPr>
                        <w:r w:rsidRPr="00A429FE">
                          <w:rPr>
                            <w:rFonts w:ascii="Times" w:eastAsia="Times New Roman" w:hAnsi="Times" w:cs="Times New Roman"/>
                            <w:sz w:val="20"/>
                            <w:szCs w:val="20"/>
                            <w:lang w:val="en-AU"/>
                          </w:rPr>
                          <w:t xml:space="preserve">A requirement that SIFIs and initially in particular global SIFIs (G-SIFIs) have higher loss absorbency capacity to reflect the greater risks that these institutions pose to the global financial system; </w:t>
                        </w:r>
                      </w:p>
                      <w:p w:rsidR="00A429FE" w:rsidRPr="00A429FE" w:rsidRDefault="00A429FE" w:rsidP="00A429FE">
                        <w:pPr>
                          <w:tabs>
                            <w:tab w:val="num" w:pos="720"/>
                          </w:tabs>
                          <w:spacing w:before="100" w:beforeAutospacing="1" w:after="100" w:afterAutospacing="1"/>
                          <w:ind w:left="720" w:hanging="360"/>
                          <w:rPr>
                            <w:rFonts w:ascii="Times" w:eastAsia="Times New Roman" w:hAnsi="Times" w:cs="Times New Roman"/>
                            <w:sz w:val="20"/>
                            <w:szCs w:val="20"/>
                            <w:lang w:val="en-AU"/>
                          </w:rPr>
                        </w:pPr>
                        <w:r w:rsidRPr="00A429FE">
                          <w:rPr>
                            <w:rFonts w:ascii="Times" w:eastAsia="Times New Roman" w:hAnsi="Times" w:cs="Times New Roman"/>
                            <w:sz w:val="20"/>
                            <w:szCs w:val="20"/>
                            <w:lang w:val="en-AU"/>
                          </w:rPr>
                          <w:t xml:space="preserve">Supplementary prudential and other requirements to reduce the probability and impact of SIFI failure; </w:t>
                        </w:r>
                      </w:p>
                      <w:p w:rsidR="00A429FE" w:rsidRPr="00A429FE" w:rsidRDefault="00A429FE" w:rsidP="00A429FE">
                        <w:pPr>
                          <w:tabs>
                            <w:tab w:val="num" w:pos="720"/>
                          </w:tabs>
                          <w:spacing w:before="100" w:beforeAutospacing="1" w:after="100" w:afterAutospacing="1"/>
                          <w:ind w:left="720" w:hanging="360"/>
                          <w:rPr>
                            <w:rFonts w:ascii="Times" w:eastAsia="Times New Roman" w:hAnsi="Times" w:cs="Times New Roman"/>
                            <w:sz w:val="20"/>
                            <w:szCs w:val="20"/>
                            <w:lang w:val="en-AU"/>
                          </w:rPr>
                        </w:pPr>
                        <w:r w:rsidRPr="00A429FE">
                          <w:rPr>
                            <w:rFonts w:ascii="Times" w:eastAsia="Times New Roman" w:hAnsi="Times" w:cs="Times New Roman"/>
                            <w:sz w:val="20"/>
                            <w:szCs w:val="20"/>
                            <w:lang w:val="en-AU"/>
                          </w:rPr>
                          <w:t xml:space="preserve">Increased intensity of SIFI supervision; and </w:t>
                        </w:r>
                      </w:p>
                      <w:p w:rsidR="00A429FE" w:rsidRPr="00A429FE" w:rsidRDefault="00A429FE" w:rsidP="00A429FE">
                        <w:pPr>
                          <w:tabs>
                            <w:tab w:val="num" w:pos="720"/>
                          </w:tabs>
                          <w:spacing w:before="100" w:beforeAutospacing="1" w:after="100" w:afterAutospacing="1"/>
                          <w:ind w:left="720" w:hanging="360"/>
                          <w:rPr>
                            <w:rFonts w:ascii="Times" w:eastAsia="Times New Roman" w:hAnsi="Times" w:cs="Times New Roman"/>
                            <w:sz w:val="20"/>
                            <w:szCs w:val="20"/>
                            <w:lang w:val="en-AU"/>
                          </w:rPr>
                        </w:pPr>
                        <w:r w:rsidRPr="00A429FE">
                          <w:rPr>
                            <w:rFonts w:ascii="Times" w:eastAsia="Times New Roman" w:hAnsi="Times" w:cs="Times New Roman"/>
                            <w:sz w:val="20"/>
                            <w:szCs w:val="20"/>
                            <w:lang w:val="en-AU"/>
                          </w:rPr>
                          <w:t xml:space="preserve">Updated standards for more robust core market infrastructures, including central counterparties in the OTC derivatives market. </w:t>
                        </w:r>
                      </w:p>
                      <w:p w:rsidR="00A429FE" w:rsidRPr="00A429FE" w:rsidRDefault="00A429FE" w:rsidP="00A429FE">
                        <w:pPr>
                          <w:spacing w:before="100" w:beforeAutospacing="1" w:after="100" w:afterAutospacing="1"/>
                          <w:rPr>
                            <w:rFonts w:ascii="Times" w:hAnsi="Times" w:cs="Times New Roman"/>
                            <w:sz w:val="20"/>
                            <w:szCs w:val="20"/>
                            <w:lang w:val="en-AU"/>
                          </w:rPr>
                        </w:pPr>
                        <w:r w:rsidRPr="00A429FE">
                          <w:rPr>
                            <w:rFonts w:ascii="Times" w:hAnsi="Times" w:cs="Times New Roman"/>
                            <w:sz w:val="20"/>
                            <w:szCs w:val="20"/>
                            <w:lang w:val="en-AU"/>
                          </w:rPr>
                          <w:t>The effectiveness and consistency of national policy measures for G-SIFIs will be subject to review by an FSB Peer Review Council.</w:t>
                        </w:r>
                        <w:r w:rsidRPr="00A429FE">
                          <w:rPr>
                            <w:rFonts w:ascii="Times" w:hAnsi="Times" w:cs="Times New Roman"/>
                            <w:sz w:val="20"/>
                            <w:szCs w:val="20"/>
                            <w:lang w:val="en-AU"/>
                          </w:rPr>
                          <w:br/>
                        </w:r>
                        <w:r w:rsidRPr="00A429FE">
                          <w:rPr>
                            <w:rFonts w:ascii="Times" w:hAnsi="Times" w:cs="Times New Roman"/>
                            <w:sz w:val="20"/>
                            <w:szCs w:val="20"/>
                            <w:lang w:val="en-AU"/>
                          </w:rPr>
                          <w:br/>
                        </w:r>
                        <w:r w:rsidRPr="00A429FE">
                          <w:rPr>
                            <w:rFonts w:ascii="Times" w:hAnsi="Times" w:cs="Times New Roman"/>
                            <w:b/>
                            <w:bCs/>
                            <w:sz w:val="20"/>
                            <w:szCs w:val="20"/>
                            <w:lang w:val="en-AU"/>
                          </w:rPr>
                          <w:t>(c) Increasing supervisory intensity and effectiveness</w:t>
                        </w:r>
                        <w:r w:rsidRPr="00A429FE">
                          <w:rPr>
                            <w:rFonts w:ascii="Times" w:hAnsi="Times" w:cs="Times New Roman"/>
                            <w:sz w:val="20"/>
                            <w:szCs w:val="20"/>
                            <w:lang w:val="en-AU"/>
                          </w:rPr>
                          <w:br/>
                          <w:t> </w:t>
                        </w:r>
                        <w:r w:rsidRPr="00A429FE">
                          <w:rPr>
                            <w:rFonts w:ascii="Times" w:hAnsi="Times" w:cs="Times New Roman"/>
                            <w:sz w:val="20"/>
                            <w:szCs w:val="20"/>
                            <w:lang w:val="en-AU"/>
                          </w:rPr>
                          <w:br/>
                          <w:t>The FSB endorsed recommendations to increase supervisory intensity and effectiveness. Strong supervision is a necessary complement to stronger rules. Supervisors are expected to detect problems proactively, intervene early to reduce the impact of potential stresses on individual firms and therefore on the financial system as a whole. The actions and processes endorsed cover the following elements necessary to deliver greater supervisory intensity and effectiveness:</w:t>
                        </w:r>
                      </w:p>
                      <w:p w:rsidR="00A429FE" w:rsidRPr="00A429FE" w:rsidRDefault="00A429FE" w:rsidP="00A429FE">
                        <w:pPr>
                          <w:tabs>
                            <w:tab w:val="num" w:pos="720"/>
                          </w:tabs>
                          <w:spacing w:before="100" w:beforeAutospacing="1" w:after="100" w:afterAutospacing="1"/>
                          <w:ind w:left="720" w:hanging="360"/>
                          <w:rPr>
                            <w:rFonts w:ascii="Times" w:eastAsia="Times New Roman" w:hAnsi="Times" w:cs="Times New Roman"/>
                            <w:sz w:val="20"/>
                            <w:szCs w:val="20"/>
                            <w:lang w:val="en-AU"/>
                          </w:rPr>
                        </w:pPr>
                        <w:r w:rsidRPr="00A429FE">
                          <w:rPr>
                            <w:rFonts w:ascii="Times" w:eastAsia="Times New Roman" w:hAnsi="Times" w:cs="Times New Roman"/>
                            <w:sz w:val="20"/>
                            <w:szCs w:val="20"/>
                            <w:lang w:val="en-AU"/>
                          </w:rPr>
                          <w:t xml:space="preserve">Ensuring that supervisors have unambiguous mandates, sufficient independence and appropriate resources; </w:t>
                        </w:r>
                      </w:p>
                      <w:p w:rsidR="00A429FE" w:rsidRPr="00A429FE" w:rsidRDefault="00A429FE" w:rsidP="00A429FE">
                        <w:pPr>
                          <w:tabs>
                            <w:tab w:val="num" w:pos="720"/>
                          </w:tabs>
                          <w:spacing w:before="100" w:beforeAutospacing="1" w:after="100" w:afterAutospacing="1"/>
                          <w:ind w:left="720" w:hanging="360"/>
                          <w:rPr>
                            <w:rFonts w:ascii="Times" w:eastAsia="Times New Roman" w:hAnsi="Times" w:cs="Times New Roman"/>
                            <w:sz w:val="20"/>
                            <w:szCs w:val="20"/>
                            <w:lang w:val="en-AU"/>
                          </w:rPr>
                        </w:pPr>
                        <w:r w:rsidRPr="00A429FE">
                          <w:rPr>
                            <w:rFonts w:ascii="Times" w:eastAsia="Times New Roman" w:hAnsi="Times" w:cs="Times New Roman"/>
                            <w:sz w:val="20"/>
                            <w:szCs w:val="20"/>
                            <w:lang w:val="en-AU"/>
                          </w:rPr>
                          <w:t xml:space="preserve">Providing supervisors with the full suite of powers necessary for effective early intervention; </w:t>
                        </w:r>
                      </w:p>
                      <w:p w:rsidR="00A429FE" w:rsidRPr="00A429FE" w:rsidRDefault="00A429FE" w:rsidP="00A429FE">
                        <w:pPr>
                          <w:tabs>
                            <w:tab w:val="num" w:pos="720"/>
                          </w:tabs>
                          <w:spacing w:before="100" w:beforeAutospacing="1" w:after="100" w:afterAutospacing="1"/>
                          <w:ind w:left="720" w:hanging="360"/>
                          <w:rPr>
                            <w:rFonts w:ascii="Times" w:eastAsia="Times New Roman" w:hAnsi="Times" w:cs="Times New Roman"/>
                            <w:sz w:val="20"/>
                            <w:szCs w:val="20"/>
                            <w:lang w:val="en-AU"/>
                          </w:rPr>
                        </w:pPr>
                        <w:r w:rsidRPr="00A429FE">
                          <w:rPr>
                            <w:rFonts w:ascii="Times" w:eastAsia="Times New Roman" w:hAnsi="Times" w:cs="Times New Roman"/>
                            <w:sz w:val="20"/>
                            <w:szCs w:val="20"/>
                            <w:lang w:val="en-AU"/>
                          </w:rPr>
                          <w:t xml:space="preserve">Improving supervisory standards to reflect the complexity of financial institutions and the system as a whole; and </w:t>
                        </w:r>
                      </w:p>
                      <w:p w:rsidR="00A429FE" w:rsidRPr="00A429FE" w:rsidRDefault="00A429FE" w:rsidP="00A429FE">
                        <w:pPr>
                          <w:tabs>
                            <w:tab w:val="num" w:pos="720"/>
                          </w:tabs>
                          <w:spacing w:before="100" w:beforeAutospacing="1" w:after="100" w:afterAutospacing="1"/>
                          <w:ind w:left="720" w:hanging="360"/>
                          <w:rPr>
                            <w:rFonts w:ascii="Times" w:eastAsia="Times New Roman" w:hAnsi="Times" w:cs="Times New Roman"/>
                            <w:sz w:val="20"/>
                            <w:szCs w:val="20"/>
                            <w:lang w:val="en-AU"/>
                          </w:rPr>
                        </w:pPr>
                        <w:r w:rsidRPr="00A429FE">
                          <w:rPr>
                            <w:rFonts w:ascii="Times" w:eastAsia="Times New Roman" w:hAnsi="Times" w:cs="Times New Roman"/>
                            <w:sz w:val="20"/>
                            <w:szCs w:val="20"/>
                            <w:lang w:val="en-AU"/>
                          </w:rPr>
                          <w:t xml:space="preserve">Increasing the frequency of assessments of supervisory regimes.  </w:t>
                        </w:r>
                      </w:p>
                      <w:p w:rsidR="00A429FE" w:rsidRPr="00A429FE" w:rsidRDefault="00A429FE" w:rsidP="00A429FE">
                        <w:pPr>
                          <w:spacing w:before="100" w:beforeAutospacing="1" w:after="100" w:afterAutospacing="1"/>
                          <w:rPr>
                            <w:rFonts w:ascii="Times" w:hAnsi="Times" w:cs="Times New Roman"/>
                            <w:sz w:val="20"/>
                            <w:szCs w:val="20"/>
                            <w:lang w:val="en-AU"/>
                          </w:rPr>
                        </w:pPr>
                        <w:r w:rsidRPr="00A429FE">
                          <w:rPr>
                            <w:rFonts w:ascii="Times" w:hAnsi="Times" w:cs="Times New Roman"/>
                            <w:sz w:val="20"/>
                            <w:szCs w:val="20"/>
                            <w:lang w:val="en-AU"/>
                          </w:rPr>
                          <w:t>National authorities and standard setters will follow up on these recommendations as they make improvements to their core principles. FSB thematic peer reviews and IMF/World Bank FSAP assessments will assess national implementation.</w:t>
                        </w:r>
                        <w:r w:rsidRPr="00A429FE">
                          <w:rPr>
                            <w:rFonts w:ascii="Times" w:hAnsi="Times" w:cs="Times New Roman"/>
                            <w:sz w:val="20"/>
                            <w:szCs w:val="20"/>
                            <w:lang w:val="en-AU"/>
                          </w:rPr>
                          <w:br/>
                          <w:t> </w:t>
                        </w:r>
                        <w:r w:rsidRPr="00A429FE">
                          <w:rPr>
                            <w:rFonts w:ascii="Times" w:hAnsi="Times" w:cs="Times New Roman"/>
                            <w:sz w:val="20"/>
                            <w:szCs w:val="20"/>
                            <w:lang w:val="en-AU"/>
                          </w:rPr>
                          <w:br/>
                        </w:r>
                        <w:r w:rsidRPr="00A429FE">
                          <w:rPr>
                            <w:rFonts w:ascii="Times" w:hAnsi="Times" w:cs="Times New Roman"/>
                            <w:b/>
                            <w:bCs/>
                            <w:sz w:val="20"/>
                            <w:szCs w:val="20"/>
                            <w:lang w:val="en-AU"/>
                          </w:rPr>
                          <w:t>(d) Implementing central clearing and trade reporting of OTC derivatives</w:t>
                        </w:r>
                        <w:r w:rsidRPr="00A429FE">
                          <w:rPr>
                            <w:rFonts w:ascii="Times" w:hAnsi="Times" w:cs="Times New Roman"/>
                            <w:sz w:val="20"/>
                            <w:szCs w:val="20"/>
                            <w:lang w:val="en-AU"/>
                          </w:rPr>
                          <w:br/>
                          <w:t> </w:t>
                        </w:r>
                        <w:r w:rsidRPr="00A429FE">
                          <w:rPr>
                            <w:rFonts w:ascii="Times" w:hAnsi="Times" w:cs="Times New Roman"/>
                            <w:sz w:val="20"/>
                            <w:szCs w:val="20"/>
                            <w:lang w:val="en-AU"/>
                          </w:rPr>
                          <w:br/>
                          <w:t>The FSB approved a report containing recommendations to promote consistent implementation of the G20 commitments concerning:</w:t>
                        </w:r>
                      </w:p>
                      <w:p w:rsidR="00A429FE" w:rsidRPr="00A429FE" w:rsidRDefault="00A429FE" w:rsidP="00A429FE">
                        <w:pPr>
                          <w:tabs>
                            <w:tab w:val="num" w:pos="720"/>
                          </w:tabs>
                          <w:spacing w:before="100" w:beforeAutospacing="1" w:after="100" w:afterAutospacing="1"/>
                          <w:ind w:left="720" w:hanging="360"/>
                          <w:rPr>
                            <w:rFonts w:ascii="Times" w:eastAsia="Times New Roman" w:hAnsi="Times" w:cs="Times New Roman"/>
                            <w:sz w:val="20"/>
                            <w:szCs w:val="20"/>
                            <w:lang w:val="en-AU"/>
                          </w:rPr>
                        </w:pPr>
                        <w:r w:rsidRPr="00A429FE">
                          <w:rPr>
                            <w:rFonts w:ascii="Times" w:eastAsia="Times New Roman" w:hAnsi="Times" w:cs="Times New Roman"/>
                            <w:sz w:val="20"/>
                            <w:szCs w:val="20"/>
                            <w:lang w:val="en-AU"/>
                          </w:rPr>
                          <w:t xml:space="preserve">Increasing the proportion of the market that is standardised; </w:t>
                        </w:r>
                      </w:p>
                      <w:p w:rsidR="00A429FE" w:rsidRPr="00A429FE" w:rsidRDefault="00A429FE" w:rsidP="00A429FE">
                        <w:pPr>
                          <w:tabs>
                            <w:tab w:val="num" w:pos="720"/>
                          </w:tabs>
                          <w:spacing w:before="100" w:beforeAutospacing="1" w:after="100" w:afterAutospacing="1"/>
                          <w:ind w:left="720" w:hanging="360"/>
                          <w:rPr>
                            <w:rFonts w:ascii="Times" w:eastAsia="Times New Roman" w:hAnsi="Times" w:cs="Times New Roman"/>
                            <w:sz w:val="20"/>
                            <w:szCs w:val="20"/>
                            <w:lang w:val="en-AU"/>
                          </w:rPr>
                        </w:pPr>
                        <w:r w:rsidRPr="00A429FE">
                          <w:rPr>
                            <w:rFonts w:ascii="Times" w:eastAsia="Times New Roman" w:hAnsi="Times" w:cs="Times New Roman"/>
                            <w:sz w:val="20"/>
                            <w:szCs w:val="20"/>
                            <w:lang w:val="en-AU"/>
                          </w:rPr>
                          <w:t xml:space="preserve">Moving to central clearing of OTC derivatives by implementing mandatory clearing requirements strengthening oversight and regulation of central counterparties (CCPs), and introducing robust risk management requirements for the remaining non-centrally cleared markets; </w:t>
                        </w:r>
                      </w:p>
                      <w:p w:rsidR="00A429FE" w:rsidRPr="00A429FE" w:rsidRDefault="00A429FE" w:rsidP="00A429FE">
                        <w:pPr>
                          <w:tabs>
                            <w:tab w:val="num" w:pos="720"/>
                          </w:tabs>
                          <w:spacing w:before="100" w:beforeAutospacing="1" w:after="100" w:afterAutospacing="1"/>
                          <w:ind w:left="720" w:hanging="360"/>
                          <w:rPr>
                            <w:rFonts w:ascii="Times" w:eastAsia="Times New Roman" w:hAnsi="Times" w:cs="Times New Roman"/>
                            <w:sz w:val="20"/>
                            <w:szCs w:val="20"/>
                            <w:lang w:val="en-AU"/>
                          </w:rPr>
                        </w:pPr>
                        <w:r w:rsidRPr="00A429FE">
                          <w:rPr>
                            <w:rFonts w:ascii="Times" w:eastAsia="Times New Roman" w:hAnsi="Times" w:cs="Times New Roman"/>
                            <w:sz w:val="20"/>
                            <w:szCs w:val="20"/>
                            <w:lang w:val="en-AU"/>
                          </w:rPr>
                          <w:t xml:space="preserve">Trading on exchanges or electronic platforms, where appropriate, by asking IOSCO to complete an analysis by end-January 2011; and </w:t>
                        </w:r>
                      </w:p>
                      <w:p w:rsidR="00A429FE" w:rsidRPr="00A429FE" w:rsidRDefault="00A429FE" w:rsidP="00A429FE">
                        <w:pPr>
                          <w:tabs>
                            <w:tab w:val="num" w:pos="720"/>
                          </w:tabs>
                          <w:spacing w:before="100" w:beforeAutospacing="1" w:after="100" w:afterAutospacing="1"/>
                          <w:ind w:left="720" w:hanging="360"/>
                          <w:rPr>
                            <w:rFonts w:ascii="Times" w:eastAsia="Times New Roman" w:hAnsi="Times" w:cs="Times New Roman"/>
                            <w:sz w:val="20"/>
                            <w:szCs w:val="20"/>
                            <w:lang w:val="en-AU"/>
                          </w:rPr>
                        </w:pPr>
                        <w:r w:rsidRPr="00A429FE">
                          <w:rPr>
                            <w:rFonts w:ascii="Times" w:eastAsia="Times New Roman" w:hAnsi="Times" w:cs="Times New Roman"/>
                            <w:sz w:val="20"/>
                            <w:szCs w:val="20"/>
                            <w:lang w:val="en-AU"/>
                          </w:rPr>
                          <w:t xml:space="preserve">Ensuring that OTC derivatives transactions are reported to trade repositories.  </w:t>
                        </w:r>
                      </w:p>
                      <w:p w:rsidR="00A429FE" w:rsidRPr="00A429FE" w:rsidRDefault="00A429FE" w:rsidP="00A429FE">
                        <w:pPr>
                          <w:spacing w:before="100" w:beforeAutospacing="1" w:after="100" w:afterAutospacing="1"/>
                          <w:rPr>
                            <w:rFonts w:ascii="Times" w:hAnsi="Times" w:cs="Times New Roman"/>
                            <w:sz w:val="20"/>
                            <w:szCs w:val="20"/>
                            <w:lang w:val="en-AU"/>
                          </w:rPr>
                        </w:pPr>
                        <w:r w:rsidRPr="00A429FE">
                          <w:rPr>
                            <w:rFonts w:ascii="Times" w:hAnsi="Times" w:cs="Times New Roman"/>
                            <w:sz w:val="20"/>
                            <w:szCs w:val="20"/>
                            <w:lang w:val="en-AU"/>
                          </w:rPr>
                          <w:t>The FSB will assess implementation of these recommendations, and monitor progress to identify if further work on the international level is needed, on a regular basis.</w:t>
                        </w:r>
                        <w:r w:rsidRPr="00A429FE">
                          <w:rPr>
                            <w:rFonts w:ascii="Times" w:hAnsi="Times" w:cs="Times New Roman"/>
                            <w:sz w:val="20"/>
                            <w:szCs w:val="20"/>
                            <w:lang w:val="en-AU"/>
                          </w:rPr>
                          <w:br/>
                        </w:r>
                        <w:r w:rsidRPr="00A429FE">
                          <w:rPr>
                            <w:rFonts w:ascii="Times" w:hAnsi="Times" w:cs="Times New Roman"/>
                            <w:sz w:val="20"/>
                            <w:szCs w:val="20"/>
                            <w:lang w:val="en-AU"/>
                          </w:rPr>
                          <w:br/>
                        </w:r>
                        <w:r w:rsidRPr="00A429FE">
                          <w:rPr>
                            <w:rFonts w:ascii="Times" w:hAnsi="Times" w:cs="Times New Roman"/>
                            <w:b/>
                            <w:bCs/>
                            <w:sz w:val="20"/>
                            <w:szCs w:val="20"/>
                            <w:lang w:val="en-AU"/>
                          </w:rPr>
                          <w:t>(e) Reducing reliance on CRA ratings</w:t>
                        </w:r>
                        <w:r w:rsidRPr="00A429FE">
                          <w:rPr>
                            <w:rFonts w:ascii="Times" w:hAnsi="Times" w:cs="Times New Roman"/>
                            <w:sz w:val="20"/>
                            <w:szCs w:val="20"/>
                            <w:lang w:val="en-AU"/>
                          </w:rPr>
                          <w:br/>
                        </w:r>
                        <w:r w:rsidRPr="00A429FE">
                          <w:rPr>
                            <w:rFonts w:ascii="Times" w:hAnsi="Times" w:cs="Times New Roman"/>
                            <w:sz w:val="20"/>
                            <w:szCs w:val="20"/>
                            <w:lang w:val="en-AU"/>
                          </w:rPr>
                          <w:br/>
                          <w:t>The FSB endorsed principles to reduce authorities' and financial institutions' reliance on credit rating agency (CRA) ratings. The principles cover five types of financial market activity: prudential supervision of banks; policies of investment managers and institutional investors; central bank operations; private sector margin requirements; and disclosure requirements for issuers of securities. The goal of the principles is to reduce the cliff effects from CRA ratings that can amplify procyclicality and cause systemic disruption. The principles call on authorities to do this through:</w:t>
                        </w:r>
                      </w:p>
                      <w:p w:rsidR="00A429FE" w:rsidRPr="00A429FE" w:rsidRDefault="00A429FE" w:rsidP="00A429FE">
                        <w:pPr>
                          <w:tabs>
                            <w:tab w:val="num" w:pos="720"/>
                          </w:tabs>
                          <w:spacing w:before="100" w:beforeAutospacing="1" w:after="100" w:afterAutospacing="1"/>
                          <w:ind w:left="720" w:hanging="360"/>
                          <w:rPr>
                            <w:rFonts w:ascii="Times" w:eastAsia="Times New Roman" w:hAnsi="Times" w:cs="Times New Roman"/>
                            <w:sz w:val="20"/>
                            <w:szCs w:val="20"/>
                            <w:lang w:val="en-AU"/>
                          </w:rPr>
                        </w:pPr>
                        <w:r w:rsidRPr="00A429FE">
                          <w:rPr>
                            <w:rFonts w:ascii="Times" w:eastAsia="Times New Roman" w:hAnsi="Times" w:cs="Times New Roman"/>
                            <w:sz w:val="20"/>
                            <w:szCs w:val="20"/>
                            <w:lang w:val="en-AU"/>
                          </w:rPr>
                          <w:t xml:space="preserve">Removing or replacing references to CRA ratings in laws and regulations, wherever possible, with suitable alternative standards of creditworthiness assessment; and </w:t>
                        </w:r>
                      </w:p>
                      <w:p w:rsidR="00A429FE" w:rsidRPr="00A429FE" w:rsidRDefault="00A429FE" w:rsidP="00A429FE">
                        <w:pPr>
                          <w:tabs>
                            <w:tab w:val="num" w:pos="720"/>
                          </w:tabs>
                          <w:spacing w:before="100" w:beforeAutospacing="1" w:after="100" w:afterAutospacing="1"/>
                          <w:ind w:left="720" w:hanging="360"/>
                          <w:rPr>
                            <w:rFonts w:ascii="Times" w:eastAsia="Times New Roman" w:hAnsi="Times" w:cs="Times New Roman"/>
                            <w:sz w:val="20"/>
                            <w:szCs w:val="20"/>
                            <w:lang w:val="en-AU"/>
                          </w:rPr>
                        </w:pPr>
                        <w:r w:rsidRPr="00A429FE">
                          <w:rPr>
                            <w:rFonts w:ascii="Times" w:eastAsia="Times New Roman" w:hAnsi="Times" w:cs="Times New Roman"/>
                            <w:sz w:val="20"/>
                            <w:szCs w:val="20"/>
                            <w:lang w:val="en-AU"/>
                          </w:rPr>
                          <w:t xml:space="preserve">Expecting that banks, market participants and institutional investors make their own credit assessments, and not rely solely or mechanistically on CRA ratings.  </w:t>
                        </w:r>
                      </w:p>
                      <w:p w:rsidR="00A429FE" w:rsidRPr="00A429FE" w:rsidRDefault="00A429FE" w:rsidP="00A429FE">
                        <w:pPr>
                          <w:spacing w:before="100" w:beforeAutospacing="1" w:after="100" w:afterAutospacing="1"/>
                          <w:rPr>
                            <w:rFonts w:ascii="Times" w:hAnsi="Times" w:cs="Times New Roman"/>
                            <w:sz w:val="20"/>
                            <w:szCs w:val="20"/>
                            <w:lang w:val="en-AU"/>
                          </w:rPr>
                        </w:pPr>
                        <w:r w:rsidRPr="00A429FE">
                          <w:rPr>
                            <w:rFonts w:ascii="Times" w:hAnsi="Times" w:cs="Times New Roman"/>
                            <w:sz w:val="20"/>
                            <w:szCs w:val="20"/>
                            <w:lang w:val="en-AU"/>
                          </w:rPr>
                          <w:t>The FSB has asked standard setters and regulators to consider next steps that could be taken to translate the principles into policy approaches tailored to specific financial sectors and market participants. As market participants need to build up their own risk management capabilities, clear milestones should be set to achieve a transition to a reduced reliance on CRA ratings over a reasonable timeframe into the medium term.</w:t>
                        </w:r>
                        <w:r w:rsidRPr="00A429FE">
                          <w:rPr>
                            <w:rFonts w:ascii="Times" w:hAnsi="Times" w:cs="Times New Roman"/>
                            <w:sz w:val="20"/>
                            <w:szCs w:val="20"/>
                            <w:lang w:val="en-AU"/>
                          </w:rPr>
                          <w:br/>
                          <w:t> </w:t>
                        </w:r>
                        <w:r w:rsidRPr="00A429FE">
                          <w:rPr>
                            <w:rFonts w:ascii="Times" w:hAnsi="Times" w:cs="Times New Roman"/>
                            <w:sz w:val="20"/>
                            <w:szCs w:val="20"/>
                            <w:lang w:val="en-AU"/>
                          </w:rPr>
                          <w:br/>
                        </w:r>
                        <w:r w:rsidRPr="00A429FE">
                          <w:rPr>
                            <w:rFonts w:ascii="Times" w:hAnsi="Times" w:cs="Times New Roman"/>
                            <w:b/>
                            <w:bCs/>
                            <w:sz w:val="20"/>
                            <w:szCs w:val="20"/>
                            <w:lang w:val="en-AU"/>
                          </w:rPr>
                          <w:t xml:space="preserve">(f) Accounting convergence </w:t>
                        </w:r>
                        <w:r w:rsidRPr="00A429FE">
                          <w:rPr>
                            <w:rFonts w:ascii="Times" w:hAnsi="Times" w:cs="Times New Roman"/>
                            <w:sz w:val="20"/>
                            <w:szCs w:val="20"/>
                            <w:lang w:val="en-AU"/>
                          </w:rPr>
                          <w:br/>
                          <w:t> </w:t>
                        </w:r>
                        <w:r w:rsidRPr="00A429FE">
                          <w:rPr>
                            <w:rFonts w:ascii="Times" w:hAnsi="Times" w:cs="Times New Roman"/>
                            <w:sz w:val="20"/>
                            <w:szCs w:val="20"/>
                            <w:lang w:val="en-AU"/>
                          </w:rPr>
                          <w:br/>
                          <w:t>The FSB recognised progress toward improved, converged accounting standards in four main areas:</w:t>
                        </w:r>
                      </w:p>
                      <w:p w:rsidR="00A429FE" w:rsidRPr="00A429FE" w:rsidRDefault="00A429FE" w:rsidP="00A429FE">
                        <w:pPr>
                          <w:tabs>
                            <w:tab w:val="num" w:pos="720"/>
                          </w:tabs>
                          <w:spacing w:before="100" w:beforeAutospacing="1" w:after="100" w:afterAutospacing="1"/>
                          <w:ind w:left="720" w:hanging="360"/>
                          <w:rPr>
                            <w:rFonts w:ascii="Times" w:eastAsia="Times New Roman" w:hAnsi="Times" w:cs="Times New Roman"/>
                            <w:sz w:val="20"/>
                            <w:szCs w:val="20"/>
                            <w:lang w:val="en-AU"/>
                          </w:rPr>
                        </w:pPr>
                        <w:r w:rsidRPr="00A429FE">
                          <w:rPr>
                            <w:rFonts w:ascii="Times" w:eastAsia="Times New Roman" w:hAnsi="Times" w:cs="Times New Roman"/>
                            <w:sz w:val="20"/>
                            <w:szCs w:val="20"/>
                            <w:lang w:val="en-AU"/>
                          </w:rPr>
                          <w:t xml:space="preserve">impairment of financial assets; </w:t>
                        </w:r>
                      </w:p>
                      <w:p w:rsidR="00A429FE" w:rsidRPr="00A429FE" w:rsidRDefault="00A429FE" w:rsidP="00A429FE">
                        <w:pPr>
                          <w:tabs>
                            <w:tab w:val="num" w:pos="720"/>
                          </w:tabs>
                          <w:spacing w:before="100" w:beforeAutospacing="1" w:after="100" w:afterAutospacing="1"/>
                          <w:ind w:left="720" w:hanging="360"/>
                          <w:rPr>
                            <w:rFonts w:ascii="Times" w:eastAsia="Times New Roman" w:hAnsi="Times" w:cs="Times New Roman"/>
                            <w:sz w:val="20"/>
                            <w:szCs w:val="20"/>
                            <w:lang w:val="en-AU"/>
                          </w:rPr>
                        </w:pPr>
                        <w:r w:rsidRPr="00A429FE">
                          <w:rPr>
                            <w:rFonts w:ascii="Times" w:eastAsia="Times New Roman" w:hAnsi="Times" w:cs="Times New Roman"/>
                            <w:sz w:val="20"/>
                            <w:szCs w:val="20"/>
                            <w:lang w:val="en-AU"/>
                          </w:rPr>
                          <w:t xml:space="preserve">derecognition; </w:t>
                        </w:r>
                      </w:p>
                      <w:p w:rsidR="00A429FE" w:rsidRPr="00A429FE" w:rsidRDefault="00A429FE" w:rsidP="00A429FE">
                        <w:pPr>
                          <w:tabs>
                            <w:tab w:val="num" w:pos="720"/>
                          </w:tabs>
                          <w:spacing w:before="100" w:beforeAutospacing="1" w:after="100" w:afterAutospacing="1"/>
                          <w:ind w:left="720" w:hanging="360"/>
                          <w:rPr>
                            <w:rFonts w:ascii="Times" w:eastAsia="Times New Roman" w:hAnsi="Times" w:cs="Times New Roman"/>
                            <w:sz w:val="20"/>
                            <w:szCs w:val="20"/>
                            <w:lang w:val="en-AU"/>
                          </w:rPr>
                        </w:pPr>
                        <w:r w:rsidRPr="00A429FE">
                          <w:rPr>
                            <w:rFonts w:ascii="Times" w:eastAsia="Times New Roman" w:hAnsi="Times" w:cs="Times New Roman"/>
                            <w:sz w:val="20"/>
                            <w:szCs w:val="20"/>
                            <w:lang w:val="en-AU"/>
                          </w:rPr>
                          <w:t xml:space="preserve">addressing valuation uncertainty in fair value measurement guidance; and </w:t>
                        </w:r>
                      </w:p>
                      <w:p w:rsidR="00A429FE" w:rsidRPr="00A429FE" w:rsidRDefault="00A429FE" w:rsidP="00A429FE">
                        <w:pPr>
                          <w:tabs>
                            <w:tab w:val="num" w:pos="720"/>
                          </w:tabs>
                          <w:spacing w:before="100" w:beforeAutospacing="1" w:after="100" w:afterAutospacing="1"/>
                          <w:ind w:left="720" w:hanging="360"/>
                          <w:rPr>
                            <w:rFonts w:ascii="Times" w:eastAsia="Times New Roman" w:hAnsi="Times" w:cs="Times New Roman"/>
                            <w:sz w:val="20"/>
                            <w:szCs w:val="20"/>
                            <w:lang w:val="en-AU"/>
                          </w:rPr>
                        </w:pPr>
                        <w:r w:rsidRPr="00A429FE">
                          <w:rPr>
                            <w:rFonts w:ascii="Times" w:eastAsia="Times New Roman" w:hAnsi="Times" w:cs="Times New Roman"/>
                            <w:sz w:val="20"/>
                            <w:szCs w:val="20"/>
                            <w:lang w:val="en-AU"/>
                          </w:rPr>
                          <w:t xml:space="preserve">netting/offsetting of financial instruments. </w:t>
                        </w:r>
                      </w:p>
                      <w:p w:rsidR="00A429FE" w:rsidRPr="00A429FE" w:rsidRDefault="00A429FE" w:rsidP="00A429FE">
                        <w:pPr>
                          <w:spacing w:before="100" w:beforeAutospacing="1" w:after="100" w:afterAutospacing="1"/>
                          <w:rPr>
                            <w:rFonts w:ascii="Times" w:hAnsi="Times" w:cs="Times New Roman"/>
                            <w:sz w:val="20"/>
                            <w:szCs w:val="20"/>
                            <w:lang w:val="en-AU"/>
                          </w:rPr>
                        </w:pPr>
                        <w:r w:rsidRPr="00A429FE">
                          <w:rPr>
                            <w:rFonts w:ascii="Times" w:hAnsi="Times" w:cs="Times New Roman"/>
                            <w:sz w:val="20"/>
                            <w:szCs w:val="20"/>
                            <w:lang w:val="en-AU"/>
                          </w:rPr>
                          <w:t>The FSB reaffirmed its support of standards that do not expand the use of fair value measurement recognition for lending activities, a position echoed by the comments of many investors and other stakeholders, and expressed hope that the FASB and IASB consideration of stakeholders' comments on proposed standards will result in improved and converged approaches. More generally, the FSB encourages the IASB and FASB to continue their efforts to achieve improved converged financial instrument accounting standards by June 2011.</w:t>
                        </w:r>
                        <w:r w:rsidRPr="00A429FE">
                          <w:rPr>
                            <w:rFonts w:ascii="Times" w:hAnsi="Times" w:cs="Times New Roman"/>
                            <w:sz w:val="20"/>
                            <w:szCs w:val="20"/>
                            <w:lang w:val="en-AU"/>
                          </w:rPr>
                          <w:br/>
                          <w:t> </w:t>
                        </w:r>
                        <w:r w:rsidRPr="00A429FE">
                          <w:rPr>
                            <w:rFonts w:ascii="Times" w:hAnsi="Times" w:cs="Times New Roman"/>
                            <w:sz w:val="20"/>
                            <w:szCs w:val="20"/>
                            <w:lang w:val="en-AU"/>
                          </w:rPr>
                          <w:br/>
                        </w:r>
                        <w:r w:rsidRPr="00A429FE">
                          <w:rPr>
                            <w:rFonts w:ascii="Times" w:hAnsi="Times" w:cs="Times New Roman"/>
                            <w:b/>
                            <w:bCs/>
                            <w:sz w:val="20"/>
                            <w:szCs w:val="20"/>
                            <w:lang w:val="en-AU"/>
                          </w:rPr>
                          <w:t>(g) Future work program</w:t>
                        </w:r>
                        <w:r w:rsidRPr="00A429FE">
                          <w:rPr>
                            <w:rFonts w:ascii="Times" w:hAnsi="Times" w:cs="Times New Roman"/>
                            <w:b/>
                            <w:bCs/>
                            <w:sz w:val="20"/>
                            <w:szCs w:val="20"/>
                            <w:lang w:val="en-AU"/>
                          </w:rPr>
                          <w:br/>
                        </w:r>
                        <w:r w:rsidRPr="00A429FE">
                          <w:rPr>
                            <w:rFonts w:ascii="Times" w:hAnsi="Times" w:cs="Times New Roman"/>
                            <w:sz w:val="20"/>
                            <w:szCs w:val="20"/>
                            <w:lang w:val="en-AU"/>
                          </w:rPr>
                          <w:br/>
                          <w:t>The FSB discussed its forward work program. In addition to the follow-up work described in the reports submitted to the G20 and monitoring implementation of overall financial regulatory reform, in cooperation with all the relevant bodies, it will focus attention on the shadow banking sector, macroprudential frameworks and emerging markets' financial stability issues, as well as commodity derivatives markets and market integrity.</w:t>
                        </w:r>
                      </w:p>
                      <w:p w:rsidR="00A429FE" w:rsidRPr="00A429FE" w:rsidRDefault="00A429FE" w:rsidP="00A429F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7034" name="Picture 17034" descr="etailed Contents">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34" descr="etailed Contents">
                                        <a:hlinkClick r:id="rId93"/>
                                      </pic:cNvPr>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A429FE" w:rsidRPr="00A429FE" w:rsidRDefault="00A429FE" w:rsidP="00A429FE">
                        <w:pPr>
                          <w:rPr>
                            <w:rFonts w:ascii="Times" w:eastAsia="Times New Roman" w:hAnsi="Times" w:cs="Times New Roman"/>
                            <w:sz w:val="20"/>
                            <w:szCs w:val="20"/>
                            <w:lang w:val="en-AU"/>
                          </w:rPr>
                        </w:pPr>
                        <w:r w:rsidRPr="00A429FE">
                          <w:rPr>
                            <w:rFonts w:ascii="Times" w:eastAsia="Times New Roman" w:hAnsi="Times" w:cs="Times New Roman"/>
                            <w:sz w:val="20"/>
                            <w:szCs w:val="20"/>
                            <w:lang w:val="en-AU"/>
                          </w:rPr>
                          <w:pict>
                            <v:rect id="_x0000_i18059" style="width:0;height:1.5pt" o:hralign="center" o:hrstd="t" o:hr="t" fillcolor="#aaa" stroked="f"/>
                          </w:pict>
                        </w:r>
                      </w:p>
                      <w:p w:rsidR="00A429FE" w:rsidRPr="00A429FE" w:rsidRDefault="00A429FE" w:rsidP="00A429FE">
                        <w:pPr>
                          <w:spacing w:before="100" w:beforeAutospacing="1" w:after="100" w:afterAutospacing="1"/>
                          <w:rPr>
                            <w:rFonts w:ascii="Times" w:hAnsi="Times" w:cs="Times New Roman"/>
                            <w:sz w:val="20"/>
                            <w:szCs w:val="20"/>
                            <w:lang w:val="en-AU"/>
                          </w:rPr>
                        </w:pPr>
                        <w:bookmarkStart w:id="7" w:name="012"/>
                        <w:bookmarkEnd w:id="7"/>
                        <w:r w:rsidRPr="00A429FE">
                          <w:rPr>
                            <w:rFonts w:ascii="Times" w:hAnsi="Times" w:cs="Times New Roman"/>
                            <w:b/>
                            <w:bCs/>
                            <w:sz w:val="20"/>
                            <w:szCs w:val="20"/>
                            <w:lang w:val="en-AU"/>
                          </w:rPr>
                          <w:t>1.2 Plans for a new EU framework for crisis management in the financial sector</w:t>
                        </w:r>
                        <w:r w:rsidRPr="00A429FE">
                          <w:rPr>
                            <w:rFonts w:ascii="Times" w:hAnsi="Times" w:cs="Times New Roman"/>
                            <w:sz w:val="20"/>
                            <w:szCs w:val="20"/>
                            <w:lang w:val="en-AU"/>
                          </w:rPr>
                          <w:br/>
                          <w:t> </w:t>
                        </w:r>
                        <w:r w:rsidRPr="00A429FE">
                          <w:rPr>
                            <w:rFonts w:ascii="Times" w:hAnsi="Times" w:cs="Times New Roman"/>
                            <w:sz w:val="20"/>
                            <w:szCs w:val="20"/>
                            <w:lang w:val="en-AU"/>
                          </w:rPr>
                          <w:br/>
                          <w:t>On 20 October 2010, the European Commission published its plans for an EU framework for crisis management in the financial sector. These plans pave the way for legislation which will create a crisis management framework for banks and investment firms.</w:t>
                        </w:r>
                        <w:r w:rsidRPr="00A429FE">
                          <w:rPr>
                            <w:rFonts w:ascii="Times" w:hAnsi="Times" w:cs="Times New Roman"/>
                            <w:sz w:val="20"/>
                            <w:szCs w:val="20"/>
                            <w:lang w:val="en-AU"/>
                          </w:rPr>
                          <w:br/>
                          <w:t> </w:t>
                        </w:r>
                        <w:r w:rsidRPr="00A429FE">
                          <w:rPr>
                            <w:rFonts w:ascii="Times" w:hAnsi="Times" w:cs="Times New Roman"/>
                            <w:sz w:val="20"/>
                            <w:szCs w:val="20"/>
                            <w:lang w:val="en-AU"/>
                          </w:rPr>
                          <w:br/>
                          <w:t>The new framework aims to equip authorities with tools and powers to tackle bank crises at the earliest possible moment, and minimise costs for taxpayers. The toolbox of measures will include:</w:t>
                        </w:r>
                      </w:p>
                      <w:p w:rsidR="00A429FE" w:rsidRPr="00A429FE" w:rsidRDefault="00A429FE" w:rsidP="00A429FE">
                        <w:pPr>
                          <w:tabs>
                            <w:tab w:val="num" w:pos="720"/>
                          </w:tabs>
                          <w:spacing w:before="100" w:beforeAutospacing="1" w:after="100" w:afterAutospacing="1"/>
                          <w:ind w:left="720" w:hanging="360"/>
                          <w:rPr>
                            <w:rFonts w:ascii="Times" w:eastAsia="Times New Roman" w:hAnsi="Times" w:cs="Times New Roman"/>
                            <w:sz w:val="20"/>
                            <w:szCs w:val="20"/>
                            <w:lang w:val="en-AU"/>
                          </w:rPr>
                        </w:pPr>
                        <w:r w:rsidRPr="00A429FE">
                          <w:rPr>
                            <w:rFonts w:ascii="Times" w:eastAsia="Times New Roman" w:hAnsi="Times" w:cs="Times New Roman"/>
                            <w:sz w:val="20"/>
                            <w:szCs w:val="20"/>
                            <w:lang w:val="en-AU"/>
                          </w:rPr>
                          <w:t xml:space="preserve">preparatory and preventative measures such as a requirement for institutions and authorities to prepare for recovery (i.e. dealing with serious difficulties faced by a bank) and resolution plans to ensure adequate planning for financial stress or failure; </w:t>
                        </w:r>
                      </w:p>
                      <w:p w:rsidR="00A429FE" w:rsidRPr="00A429FE" w:rsidRDefault="00A429FE" w:rsidP="00A429FE">
                        <w:pPr>
                          <w:tabs>
                            <w:tab w:val="num" w:pos="720"/>
                          </w:tabs>
                          <w:spacing w:before="100" w:beforeAutospacing="1" w:after="100" w:afterAutospacing="1"/>
                          <w:ind w:left="720" w:hanging="360"/>
                          <w:rPr>
                            <w:rFonts w:ascii="Times" w:eastAsia="Times New Roman" w:hAnsi="Times" w:cs="Times New Roman"/>
                            <w:sz w:val="20"/>
                            <w:szCs w:val="20"/>
                            <w:lang w:val="en-AU"/>
                          </w:rPr>
                        </w:pPr>
                        <w:r w:rsidRPr="00A429FE">
                          <w:rPr>
                            <w:rFonts w:ascii="Times" w:eastAsia="Times New Roman" w:hAnsi="Times" w:cs="Times New Roman"/>
                            <w:sz w:val="20"/>
                            <w:szCs w:val="20"/>
                            <w:lang w:val="en-AU"/>
                          </w:rPr>
                          <w:t xml:space="preserve">powers to take early action to remedy problems before they become severe such as powers for supervisors to require the replacement of management, or to require an institution to implement a recovery plan or to divest itself of activities or business lines that pose an excessive risk to its financial soundness; and </w:t>
                        </w:r>
                      </w:p>
                      <w:p w:rsidR="00A429FE" w:rsidRPr="00A429FE" w:rsidRDefault="00A429FE" w:rsidP="00A429FE">
                        <w:pPr>
                          <w:tabs>
                            <w:tab w:val="num" w:pos="720"/>
                          </w:tabs>
                          <w:spacing w:before="100" w:beforeAutospacing="1" w:after="100" w:afterAutospacing="1"/>
                          <w:ind w:left="720" w:hanging="360"/>
                          <w:rPr>
                            <w:rFonts w:ascii="Times" w:eastAsia="Times New Roman" w:hAnsi="Times" w:cs="Times New Roman"/>
                            <w:sz w:val="20"/>
                            <w:szCs w:val="20"/>
                            <w:lang w:val="en-AU"/>
                          </w:rPr>
                        </w:pPr>
                        <w:r w:rsidRPr="00A429FE">
                          <w:rPr>
                            <w:rFonts w:ascii="Times" w:eastAsia="Times New Roman" w:hAnsi="Times" w:cs="Times New Roman"/>
                            <w:sz w:val="20"/>
                            <w:szCs w:val="20"/>
                            <w:lang w:val="en-AU"/>
                          </w:rPr>
                          <w:t xml:space="preserve">resolution tools, such as powers to effect the takeover of a failing bank or firm by a sound institution, or to transfer all or part of its business to a temporary bridge bank, which would enable authorities to ensure the continuity of essential services and to manage the failure in an orderly way.  </w:t>
                        </w:r>
                      </w:p>
                      <w:p w:rsidR="00A429FE" w:rsidRPr="00A429FE" w:rsidRDefault="00A429FE" w:rsidP="00A429FE">
                        <w:pPr>
                          <w:spacing w:before="100" w:beforeAutospacing="1" w:after="100" w:afterAutospacing="1"/>
                          <w:rPr>
                            <w:rFonts w:ascii="Times" w:hAnsi="Times" w:cs="Times New Roman"/>
                            <w:sz w:val="20"/>
                            <w:szCs w:val="20"/>
                            <w:lang w:val="en-AU"/>
                          </w:rPr>
                        </w:pPr>
                        <w:r w:rsidRPr="00A429FE">
                          <w:rPr>
                            <w:rFonts w:ascii="Times" w:hAnsi="Times" w:cs="Times New Roman"/>
                            <w:sz w:val="20"/>
                            <w:szCs w:val="20"/>
                            <w:lang w:val="en-AU"/>
                          </w:rPr>
                          <w:t xml:space="preserve">Further information is available on the </w:t>
                        </w:r>
                        <w:r w:rsidRPr="00A429FE">
                          <w:rPr>
                            <w:rFonts w:ascii="Times" w:hAnsi="Times" w:cs="Times New Roman"/>
                            <w:sz w:val="20"/>
                            <w:szCs w:val="20"/>
                            <w:lang w:val="en-AU"/>
                          </w:rPr>
                          <w:fldChar w:fldCharType="begin"/>
                        </w:r>
                        <w:r w:rsidRPr="00A429FE">
                          <w:rPr>
                            <w:rFonts w:ascii="Times" w:hAnsi="Times" w:cs="Times New Roman"/>
                            <w:sz w:val="20"/>
                            <w:szCs w:val="20"/>
                            <w:lang w:val="en-AU"/>
                          </w:rPr>
                          <w:instrText xml:space="preserve"> HYPERLINK "http://ec.europa.eu/internal_market/bank/crisis_management/index_en.htm" \t "_new" </w:instrText>
                        </w:r>
                        <w:r w:rsidRPr="00A429FE">
                          <w:rPr>
                            <w:rFonts w:ascii="Times" w:hAnsi="Times" w:cs="Times New Roman"/>
                            <w:sz w:val="20"/>
                            <w:szCs w:val="20"/>
                            <w:lang w:val="en-AU"/>
                          </w:rPr>
                        </w:r>
                        <w:r w:rsidRPr="00A429FE">
                          <w:rPr>
                            <w:rFonts w:ascii="Times" w:hAnsi="Times" w:cs="Times New Roman"/>
                            <w:sz w:val="20"/>
                            <w:szCs w:val="20"/>
                            <w:lang w:val="en-AU"/>
                          </w:rPr>
                          <w:fldChar w:fldCharType="separate"/>
                        </w:r>
                        <w:r w:rsidRPr="00A429FE">
                          <w:rPr>
                            <w:rFonts w:ascii="Times" w:hAnsi="Times" w:cs="Times New Roman"/>
                            <w:color w:val="0000FF"/>
                            <w:sz w:val="20"/>
                            <w:szCs w:val="20"/>
                            <w:u w:val="single"/>
                            <w:lang w:val="en-AU"/>
                          </w:rPr>
                          <w:t>European Commission</w:t>
                        </w:r>
                        <w:r w:rsidRPr="00A429FE">
                          <w:rPr>
                            <w:rFonts w:ascii="Times" w:hAnsi="Times" w:cs="Times New Roman"/>
                            <w:sz w:val="20"/>
                            <w:szCs w:val="20"/>
                            <w:lang w:val="en-AU"/>
                          </w:rPr>
                          <w:fldChar w:fldCharType="end"/>
                        </w:r>
                        <w:r w:rsidRPr="00A429FE">
                          <w:rPr>
                            <w:rFonts w:ascii="Times" w:hAnsi="Times" w:cs="Times New Roman"/>
                            <w:sz w:val="20"/>
                            <w:szCs w:val="20"/>
                            <w:lang w:val="en-AU"/>
                          </w:rPr>
                          <w:t xml:space="preserve"> website.</w:t>
                        </w:r>
                      </w:p>
                      <w:p w:rsidR="00A429FE" w:rsidRPr="00A429FE" w:rsidRDefault="00A429FE" w:rsidP="00A429F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7036" name="Picture 17036" descr="etailed Contents">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36" descr="etailed Contents">
                                        <a:hlinkClick r:id="rId93"/>
                                      </pic:cNvPr>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A429FE" w:rsidRPr="00A429FE" w:rsidRDefault="00A429FE" w:rsidP="00A429FE">
                        <w:pPr>
                          <w:rPr>
                            <w:rFonts w:ascii="Times" w:eastAsia="Times New Roman" w:hAnsi="Times" w:cs="Times New Roman"/>
                            <w:sz w:val="20"/>
                            <w:szCs w:val="20"/>
                            <w:lang w:val="en-AU"/>
                          </w:rPr>
                        </w:pPr>
                        <w:r w:rsidRPr="00A429FE">
                          <w:rPr>
                            <w:rFonts w:ascii="Times" w:eastAsia="Times New Roman" w:hAnsi="Times" w:cs="Times New Roman"/>
                            <w:sz w:val="20"/>
                            <w:szCs w:val="20"/>
                            <w:lang w:val="en-AU"/>
                          </w:rPr>
                          <w:pict>
                            <v:rect id="_x0000_i18061" style="width:0;height:1.5pt" o:hralign="center" o:hrstd="t" o:hr="t" fillcolor="#aaa" stroked="f"/>
                          </w:pict>
                        </w:r>
                      </w:p>
                      <w:p w:rsidR="00A429FE" w:rsidRPr="00A429FE" w:rsidRDefault="00A429FE" w:rsidP="00A429FE">
                        <w:pPr>
                          <w:spacing w:before="100" w:beforeAutospacing="1" w:after="100" w:afterAutospacing="1"/>
                          <w:rPr>
                            <w:rFonts w:ascii="Times" w:hAnsi="Times" w:cs="Times New Roman"/>
                            <w:sz w:val="20"/>
                            <w:szCs w:val="20"/>
                            <w:lang w:val="en-AU"/>
                          </w:rPr>
                        </w:pPr>
                        <w:bookmarkStart w:id="8" w:name="013"/>
                        <w:bookmarkEnd w:id="8"/>
                        <w:r w:rsidRPr="00A429FE">
                          <w:rPr>
                            <w:rFonts w:ascii="Times" w:hAnsi="Times" w:cs="Times New Roman"/>
                            <w:b/>
                            <w:bCs/>
                            <w:sz w:val="20"/>
                            <w:szCs w:val="20"/>
                            <w:lang w:val="en-AU"/>
                          </w:rPr>
                          <w:t xml:space="preserve">1.3 Report to the G20 on response to the financial crisis </w:t>
                        </w:r>
                        <w:r w:rsidRPr="00A429FE">
                          <w:rPr>
                            <w:rFonts w:ascii="Times" w:hAnsi="Times" w:cs="Times New Roman"/>
                            <w:sz w:val="20"/>
                            <w:szCs w:val="20"/>
                            <w:lang w:val="en-AU"/>
                          </w:rPr>
                          <w:br/>
                          <w:t> </w:t>
                        </w:r>
                        <w:r w:rsidRPr="00A429FE">
                          <w:rPr>
                            <w:rFonts w:ascii="Times" w:hAnsi="Times" w:cs="Times New Roman"/>
                            <w:sz w:val="20"/>
                            <w:szCs w:val="20"/>
                            <w:lang w:val="en-AU"/>
                          </w:rPr>
                          <w:br/>
                          <w:t xml:space="preserve">On 19 October 2010, the Basel Committee on Banking Supervision published a report on its regulatory reform program to address the lessons of the crisis. The report was prepared for the G20 Finance Ministers and Central Bank Governors meeting in Gyeongju, South Korea on 22 and 23 October 2010. </w:t>
                        </w:r>
                        <w:r w:rsidRPr="00A429FE">
                          <w:rPr>
                            <w:rFonts w:ascii="Times" w:hAnsi="Times" w:cs="Times New Roman"/>
                            <w:sz w:val="20"/>
                            <w:szCs w:val="20"/>
                            <w:lang w:val="en-AU"/>
                          </w:rPr>
                          <w:br/>
                          <w:t> </w:t>
                        </w:r>
                        <w:r w:rsidRPr="00A429FE">
                          <w:rPr>
                            <w:rFonts w:ascii="Times" w:hAnsi="Times" w:cs="Times New Roman"/>
                            <w:sz w:val="20"/>
                            <w:szCs w:val="20"/>
                            <w:lang w:val="en-AU"/>
                          </w:rPr>
                          <w:br/>
                          <w:t xml:space="preserve">The Basel Committee's report describes the measures taken by the Committee and its governing body of Central Bank Governors and Heads of Supervision to strengthen the resilience of banks and the global banking system. </w:t>
                        </w:r>
                        <w:r w:rsidRPr="00A429FE">
                          <w:rPr>
                            <w:rFonts w:ascii="Times" w:hAnsi="Times" w:cs="Times New Roman"/>
                            <w:sz w:val="20"/>
                            <w:szCs w:val="20"/>
                            <w:lang w:val="en-AU"/>
                          </w:rPr>
                          <w:br/>
                        </w:r>
                        <w:r w:rsidRPr="00A429FE">
                          <w:rPr>
                            <w:rFonts w:ascii="Times" w:hAnsi="Times" w:cs="Times New Roman"/>
                            <w:sz w:val="20"/>
                            <w:szCs w:val="20"/>
                            <w:lang w:val="en-AU"/>
                          </w:rPr>
                          <w:br/>
                          <w:t xml:space="preserve">The new global standards to address both firm-specific and broader, systemic risks have been referred to as "Basel III". Basel III is comprised of the following building blocks, which were agreed and issued by the Committee and its governing body between July 2009 and September 2010: </w:t>
                        </w:r>
                      </w:p>
                      <w:p w:rsidR="00A429FE" w:rsidRPr="00A429FE" w:rsidRDefault="00A429FE" w:rsidP="00A429FE">
                        <w:pPr>
                          <w:tabs>
                            <w:tab w:val="num" w:pos="720"/>
                          </w:tabs>
                          <w:spacing w:before="100" w:beforeAutospacing="1" w:after="100" w:afterAutospacing="1"/>
                          <w:ind w:left="720" w:hanging="360"/>
                          <w:rPr>
                            <w:rFonts w:ascii="Times" w:eastAsia="Times New Roman" w:hAnsi="Times" w:cs="Times New Roman"/>
                            <w:sz w:val="20"/>
                            <w:szCs w:val="20"/>
                            <w:lang w:val="en-AU"/>
                          </w:rPr>
                        </w:pPr>
                        <w:r w:rsidRPr="00A429FE">
                          <w:rPr>
                            <w:rFonts w:ascii="Times" w:eastAsia="Times New Roman" w:hAnsi="Times" w:cs="Times New Roman"/>
                            <w:sz w:val="20"/>
                            <w:szCs w:val="20"/>
                            <w:lang w:val="en-AU"/>
                          </w:rPr>
                          <w:t xml:space="preserve">higher quality of capital, with a focus on common equity, and higher levels of capital to ensure banks can better absorb the types of losses like those associated with this past crisis; </w:t>
                        </w:r>
                      </w:p>
                      <w:p w:rsidR="00A429FE" w:rsidRPr="00A429FE" w:rsidRDefault="00A429FE" w:rsidP="00A429FE">
                        <w:pPr>
                          <w:tabs>
                            <w:tab w:val="num" w:pos="720"/>
                          </w:tabs>
                          <w:spacing w:before="100" w:beforeAutospacing="1" w:after="100" w:afterAutospacing="1"/>
                          <w:ind w:left="720" w:hanging="360"/>
                          <w:rPr>
                            <w:rFonts w:ascii="Times" w:eastAsia="Times New Roman" w:hAnsi="Times" w:cs="Times New Roman"/>
                            <w:sz w:val="20"/>
                            <w:szCs w:val="20"/>
                            <w:lang w:val="en-AU"/>
                          </w:rPr>
                        </w:pPr>
                        <w:r w:rsidRPr="00A429FE">
                          <w:rPr>
                            <w:rFonts w:ascii="Times" w:eastAsia="Times New Roman" w:hAnsi="Times" w:cs="Times New Roman"/>
                            <w:sz w:val="20"/>
                            <w:szCs w:val="20"/>
                            <w:lang w:val="en-AU"/>
                          </w:rPr>
                          <w:t xml:space="preserve">better coverage of risk, especially for capital market activities; </w:t>
                        </w:r>
                      </w:p>
                      <w:p w:rsidR="00A429FE" w:rsidRPr="00A429FE" w:rsidRDefault="00A429FE" w:rsidP="00A429FE">
                        <w:pPr>
                          <w:tabs>
                            <w:tab w:val="num" w:pos="720"/>
                          </w:tabs>
                          <w:spacing w:before="100" w:beforeAutospacing="1" w:after="100" w:afterAutospacing="1"/>
                          <w:ind w:left="720" w:hanging="360"/>
                          <w:rPr>
                            <w:rFonts w:ascii="Times" w:eastAsia="Times New Roman" w:hAnsi="Times" w:cs="Times New Roman"/>
                            <w:sz w:val="20"/>
                            <w:szCs w:val="20"/>
                            <w:lang w:val="en-AU"/>
                          </w:rPr>
                        </w:pPr>
                        <w:r w:rsidRPr="00A429FE">
                          <w:rPr>
                            <w:rFonts w:ascii="Times" w:eastAsia="Times New Roman" w:hAnsi="Times" w:cs="Times New Roman"/>
                            <w:sz w:val="20"/>
                            <w:szCs w:val="20"/>
                            <w:lang w:val="en-AU"/>
                          </w:rPr>
                          <w:t xml:space="preserve">an internationally harmonised leverage ratio to constrain excessive risk taking and to serve as a backstop to the risk-based capital measure, with a view to migrating to a Pillar 1 treatment based on appropriate review and calibration; </w:t>
                        </w:r>
                      </w:p>
                      <w:p w:rsidR="00A429FE" w:rsidRPr="00A429FE" w:rsidRDefault="00A429FE" w:rsidP="00A429FE">
                        <w:pPr>
                          <w:tabs>
                            <w:tab w:val="num" w:pos="720"/>
                          </w:tabs>
                          <w:spacing w:before="100" w:beforeAutospacing="1" w:after="100" w:afterAutospacing="1"/>
                          <w:ind w:left="720" w:hanging="360"/>
                          <w:rPr>
                            <w:rFonts w:ascii="Times" w:eastAsia="Times New Roman" w:hAnsi="Times" w:cs="Times New Roman"/>
                            <w:sz w:val="20"/>
                            <w:szCs w:val="20"/>
                            <w:lang w:val="en-AU"/>
                          </w:rPr>
                        </w:pPr>
                        <w:r w:rsidRPr="00A429FE">
                          <w:rPr>
                            <w:rFonts w:ascii="Times" w:eastAsia="Times New Roman" w:hAnsi="Times" w:cs="Times New Roman"/>
                            <w:sz w:val="20"/>
                            <w:szCs w:val="20"/>
                            <w:lang w:val="en-AU"/>
                          </w:rPr>
                          <w:t xml:space="preserve">capital buffers, which should be built up in good times so that they can be drawn down in periods of stress; </w:t>
                        </w:r>
                      </w:p>
                      <w:p w:rsidR="00A429FE" w:rsidRPr="00A429FE" w:rsidRDefault="00A429FE" w:rsidP="00A429FE">
                        <w:pPr>
                          <w:tabs>
                            <w:tab w:val="num" w:pos="720"/>
                          </w:tabs>
                          <w:spacing w:before="100" w:beforeAutospacing="1" w:after="100" w:afterAutospacing="1"/>
                          <w:ind w:left="720" w:hanging="360"/>
                          <w:rPr>
                            <w:rFonts w:ascii="Times" w:eastAsia="Times New Roman" w:hAnsi="Times" w:cs="Times New Roman"/>
                            <w:sz w:val="20"/>
                            <w:szCs w:val="20"/>
                            <w:lang w:val="en-AU"/>
                          </w:rPr>
                        </w:pPr>
                        <w:r w:rsidRPr="00A429FE">
                          <w:rPr>
                            <w:rFonts w:ascii="Times" w:eastAsia="Times New Roman" w:hAnsi="Times" w:cs="Times New Roman"/>
                            <w:sz w:val="20"/>
                            <w:szCs w:val="20"/>
                            <w:lang w:val="en-AU"/>
                          </w:rPr>
                          <w:t xml:space="preserve">minimum global liquidity standards to improve banks' resilience to acute short term stress and to improve longer term funding; and  </w:t>
                        </w:r>
                      </w:p>
                      <w:p w:rsidR="00A429FE" w:rsidRPr="00A429FE" w:rsidRDefault="00A429FE" w:rsidP="00A429FE">
                        <w:pPr>
                          <w:tabs>
                            <w:tab w:val="num" w:pos="720"/>
                          </w:tabs>
                          <w:spacing w:before="100" w:beforeAutospacing="1" w:after="100" w:afterAutospacing="1"/>
                          <w:ind w:left="720" w:hanging="360"/>
                          <w:rPr>
                            <w:rFonts w:ascii="Times" w:eastAsia="Times New Roman" w:hAnsi="Times" w:cs="Times New Roman"/>
                            <w:sz w:val="20"/>
                            <w:szCs w:val="20"/>
                            <w:lang w:val="en-AU"/>
                          </w:rPr>
                        </w:pPr>
                        <w:r w:rsidRPr="00A429FE">
                          <w:rPr>
                            <w:rFonts w:ascii="Times" w:eastAsia="Times New Roman" w:hAnsi="Times" w:cs="Times New Roman"/>
                            <w:sz w:val="20"/>
                            <w:szCs w:val="20"/>
                            <w:lang w:val="en-AU"/>
                          </w:rPr>
                          <w:t xml:space="preserve">stronger standards for supervision, public disclosures and risk management. </w:t>
                        </w:r>
                      </w:p>
                      <w:p w:rsidR="00A429FE" w:rsidRPr="00A429FE" w:rsidRDefault="00A429FE" w:rsidP="00A429FE">
                        <w:pPr>
                          <w:spacing w:before="100" w:beforeAutospacing="1" w:after="100" w:afterAutospacing="1"/>
                          <w:rPr>
                            <w:rFonts w:ascii="Times" w:hAnsi="Times" w:cs="Times New Roman"/>
                            <w:sz w:val="20"/>
                            <w:szCs w:val="20"/>
                            <w:lang w:val="en-AU"/>
                          </w:rPr>
                        </w:pPr>
                        <w:r w:rsidRPr="00A429FE">
                          <w:rPr>
                            <w:rFonts w:ascii="Times" w:hAnsi="Times" w:cs="Times New Roman"/>
                            <w:sz w:val="20"/>
                            <w:szCs w:val="20"/>
                            <w:lang w:val="en-AU"/>
                          </w:rPr>
                          <w:t xml:space="preserve">The Basel Committee is also contributing to the Financial Stability Board initiative to address the risks of globally systemic banking institutions by developing approaches to identify them and ways to raise their loss absorbing capacity, including work on capital surcharges, contingent capital, and bail-in-able debt. </w:t>
                        </w:r>
                        <w:r w:rsidRPr="00A429FE">
                          <w:rPr>
                            <w:rFonts w:ascii="Times" w:hAnsi="Times" w:cs="Times New Roman"/>
                            <w:sz w:val="20"/>
                            <w:szCs w:val="20"/>
                            <w:lang w:val="en-AU"/>
                          </w:rPr>
                          <w:br/>
                          <w:t> </w:t>
                        </w:r>
                        <w:r w:rsidRPr="00A429FE">
                          <w:rPr>
                            <w:rFonts w:ascii="Times" w:hAnsi="Times" w:cs="Times New Roman"/>
                            <w:sz w:val="20"/>
                            <w:szCs w:val="20"/>
                            <w:lang w:val="en-AU"/>
                          </w:rPr>
                          <w:br/>
                          <w:t xml:space="preserve">The report is available on the </w:t>
                        </w:r>
                        <w:r w:rsidRPr="00A429FE">
                          <w:rPr>
                            <w:rFonts w:ascii="Times" w:hAnsi="Times" w:cs="Times New Roman"/>
                            <w:sz w:val="20"/>
                            <w:szCs w:val="20"/>
                            <w:lang w:val="en-AU"/>
                          </w:rPr>
                          <w:fldChar w:fldCharType="begin"/>
                        </w:r>
                        <w:r w:rsidRPr="00A429FE">
                          <w:rPr>
                            <w:rFonts w:ascii="Times" w:hAnsi="Times" w:cs="Times New Roman"/>
                            <w:sz w:val="20"/>
                            <w:szCs w:val="20"/>
                            <w:lang w:val="en-AU"/>
                          </w:rPr>
                          <w:instrText xml:space="preserve"> HYPERLINK "http://www.bis.org/publ/bcbs179.pdf" \t "_new" </w:instrText>
                        </w:r>
                        <w:r w:rsidRPr="00A429FE">
                          <w:rPr>
                            <w:rFonts w:ascii="Times" w:hAnsi="Times" w:cs="Times New Roman"/>
                            <w:sz w:val="20"/>
                            <w:szCs w:val="20"/>
                            <w:lang w:val="en-AU"/>
                          </w:rPr>
                        </w:r>
                        <w:r w:rsidRPr="00A429FE">
                          <w:rPr>
                            <w:rFonts w:ascii="Times" w:hAnsi="Times" w:cs="Times New Roman"/>
                            <w:sz w:val="20"/>
                            <w:szCs w:val="20"/>
                            <w:lang w:val="en-AU"/>
                          </w:rPr>
                          <w:fldChar w:fldCharType="separate"/>
                        </w:r>
                        <w:r w:rsidRPr="00A429FE">
                          <w:rPr>
                            <w:rFonts w:ascii="Times" w:hAnsi="Times" w:cs="Times New Roman"/>
                            <w:color w:val="0000FF"/>
                            <w:sz w:val="20"/>
                            <w:szCs w:val="20"/>
                            <w:u w:val="single"/>
                            <w:lang w:val="en-AU"/>
                          </w:rPr>
                          <w:t>BIS</w:t>
                        </w:r>
                        <w:r w:rsidRPr="00A429FE">
                          <w:rPr>
                            <w:rFonts w:ascii="Times" w:hAnsi="Times" w:cs="Times New Roman"/>
                            <w:sz w:val="20"/>
                            <w:szCs w:val="20"/>
                            <w:lang w:val="en-AU"/>
                          </w:rPr>
                          <w:fldChar w:fldCharType="end"/>
                        </w:r>
                        <w:r w:rsidRPr="00A429FE">
                          <w:rPr>
                            <w:rFonts w:ascii="Times" w:hAnsi="Times" w:cs="Times New Roman"/>
                            <w:sz w:val="20"/>
                            <w:szCs w:val="20"/>
                            <w:lang w:val="en-AU"/>
                          </w:rPr>
                          <w:t xml:space="preserve"> website.</w:t>
                        </w:r>
                      </w:p>
                      <w:p w:rsidR="00A429FE" w:rsidRPr="00A429FE" w:rsidRDefault="00A429FE" w:rsidP="00A429F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7038" name="Picture 17038" descr="etailed Contents">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38" descr="etailed Contents">
                                        <a:hlinkClick r:id="rId93"/>
                                      </pic:cNvPr>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A429FE" w:rsidRPr="00A429FE" w:rsidRDefault="00A429FE" w:rsidP="00A429FE">
                        <w:pPr>
                          <w:rPr>
                            <w:rFonts w:ascii="Times" w:eastAsia="Times New Roman" w:hAnsi="Times" w:cs="Times New Roman"/>
                            <w:sz w:val="20"/>
                            <w:szCs w:val="20"/>
                            <w:lang w:val="en-AU"/>
                          </w:rPr>
                        </w:pPr>
                        <w:r w:rsidRPr="00A429FE">
                          <w:rPr>
                            <w:rFonts w:ascii="Times" w:eastAsia="Times New Roman" w:hAnsi="Times" w:cs="Times New Roman"/>
                            <w:sz w:val="20"/>
                            <w:szCs w:val="20"/>
                            <w:lang w:val="en-AU"/>
                          </w:rPr>
                          <w:pict>
                            <v:rect id="_x0000_i18063" style="width:0;height:1.5pt" o:hralign="center" o:hrstd="t" o:hr="t" fillcolor="#aaa" stroked="f"/>
                          </w:pict>
                        </w:r>
                      </w:p>
                      <w:p w:rsidR="00A429FE" w:rsidRPr="00A429FE" w:rsidRDefault="00A429FE" w:rsidP="00A429FE">
                        <w:pPr>
                          <w:spacing w:before="100" w:beforeAutospacing="1" w:after="100" w:afterAutospacing="1"/>
                          <w:rPr>
                            <w:rFonts w:ascii="Times" w:hAnsi="Times" w:cs="Times New Roman"/>
                            <w:sz w:val="20"/>
                            <w:szCs w:val="20"/>
                            <w:lang w:val="en-AU"/>
                          </w:rPr>
                        </w:pPr>
                        <w:bookmarkStart w:id="9" w:name="014"/>
                        <w:bookmarkEnd w:id="9"/>
                        <w:r w:rsidRPr="00A429FE">
                          <w:rPr>
                            <w:rFonts w:ascii="Times" w:hAnsi="Times" w:cs="Times New Roman"/>
                            <w:b/>
                            <w:bCs/>
                            <w:sz w:val="20"/>
                            <w:szCs w:val="20"/>
                            <w:lang w:val="en-AU"/>
                          </w:rPr>
                          <w:t>1.4 SEC proposes rules on "say on pay" and proxy vote reporting</w:t>
                        </w:r>
                        <w:r w:rsidRPr="00A429FE">
                          <w:rPr>
                            <w:rFonts w:ascii="Times" w:hAnsi="Times" w:cs="Times New Roman"/>
                            <w:b/>
                            <w:bCs/>
                            <w:sz w:val="20"/>
                            <w:szCs w:val="20"/>
                            <w:lang w:val="en-AU"/>
                          </w:rPr>
                          <w:br/>
                        </w:r>
                        <w:r w:rsidRPr="00A429FE">
                          <w:rPr>
                            <w:rFonts w:ascii="Times" w:hAnsi="Times" w:cs="Times New Roman"/>
                            <w:sz w:val="20"/>
                            <w:szCs w:val="20"/>
                            <w:lang w:val="en-AU"/>
                          </w:rPr>
                          <w:br/>
                          <w:t>On 18 October 2010, the US Securities and Exchange Commission (SEC) proposed rules that would enable shareholders to cast advisory votes on executive compensation and "golden parachute" arrangements. The rules are called for by section 951 of the Dodd-Frank Wall Street Reform and Consumer Protection Act.</w:t>
                        </w:r>
                        <w:r w:rsidRPr="00A429FE">
                          <w:rPr>
                            <w:rFonts w:ascii="Times" w:hAnsi="Times" w:cs="Times New Roman"/>
                            <w:sz w:val="20"/>
                            <w:szCs w:val="20"/>
                            <w:lang w:val="en-AU"/>
                          </w:rPr>
                          <w:br/>
                          <w:t> </w:t>
                        </w:r>
                        <w:r w:rsidRPr="00A429FE">
                          <w:rPr>
                            <w:rFonts w:ascii="Times" w:hAnsi="Times" w:cs="Times New Roman"/>
                            <w:sz w:val="20"/>
                            <w:szCs w:val="20"/>
                            <w:lang w:val="en-AU"/>
                          </w:rPr>
                          <w:br/>
                          <w:t>Under the proposed rules, public companies subject to the federal proxy rules would be required to:</w:t>
                        </w:r>
                      </w:p>
                      <w:p w:rsidR="00A429FE" w:rsidRPr="00A429FE" w:rsidRDefault="00A429FE" w:rsidP="00A429FE">
                        <w:pPr>
                          <w:tabs>
                            <w:tab w:val="num" w:pos="720"/>
                          </w:tabs>
                          <w:spacing w:before="100" w:beforeAutospacing="1" w:after="100" w:afterAutospacing="1"/>
                          <w:ind w:left="720" w:hanging="360"/>
                          <w:rPr>
                            <w:rFonts w:ascii="Times" w:eastAsia="Times New Roman" w:hAnsi="Times" w:cs="Times New Roman"/>
                            <w:sz w:val="20"/>
                            <w:szCs w:val="20"/>
                            <w:lang w:val="en-AU"/>
                          </w:rPr>
                        </w:pPr>
                        <w:r w:rsidRPr="00A429FE">
                          <w:rPr>
                            <w:rFonts w:ascii="Times" w:eastAsia="Times New Roman" w:hAnsi="Times" w:cs="Times New Roman"/>
                            <w:sz w:val="20"/>
                            <w:szCs w:val="20"/>
                            <w:lang w:val="en-AU"/>
                          </w:rPr>
                          <w:t xml:space="preserve">provide their shareholders with an advisory vote on executive compensation and an advisory vote on the desired frequency of these votes; </w:t>
                        </w:r>
                      </w:p>
                      <w:p w:rsidR="00A429FE" w:rsidRPr="00A429FE" w:rsidRDefault="00A429FE" w:rsidP="00A429FE">
                        <w:pPr>
                          <w:tabs>
                            <w:tab w:val="num" w:pos="720"/>
                          </w:tabs>
                          <w:spacing w:before="100" w:beforeAutospacing="1" w:after="100" w:afterAutospacing="1"/>
                          <w:ind w:left="720" w:hanging="360"/>
                          <w:rPr>
                            <w:rFonts w:ascii="Times" w:eastAsia="Times New Roman" w:hAnsi="Times" w:cs="Times New Roman"/>
                            <w:sz w:val="20"/>
                            <w:szCs w:val="20"/>
                            <w:lang w:val="en-AU"/>
                          </w:rPr>
                        </w:pPr>
                        <w:r w:rsidRPr="00A429FE">
                          <w:rPr>
                            <w:rFonts w:ascii="Times" w:eastAsia="Times New Roman" w:hAnsi="Times" w:cs="Times New Roman"/>
                            <w:sz w:val="20"/>
                            <w:szCs w:val="20"/>
                            <w:lang w:val="en-AU"/>
                          </w:rPr>
                          <w:t xml:space="preserve">provide shareholders with an advisory vote on compensation arrangements and understandings in connection with merger transactions, known as "golden parachute" arrangements; and </w:t>
                        </w:r>
                      </w:p>
                      <w:p w:rsidR="00A429FE" w:rsidRPr="00A429FE" w:rsidRDefault="00A429FE" w:rsidP="00A429FE">
                        <w:pPr>
                          <w:tabs>
                            <w:tab w:val="num" w:pos="720"/>
                          </w:tabs>
                          <w:spacing w:before="100" w:beforeAutospacing="1" w:after="100" w:afterAutospacing="1"/>
                          <w:ind w:left="720" w:hanging="360"/>
                          <w:rPr>
                            <w:rFonts w:ascii="Times" w:eastAsia="Times New Roman" w:hAnsi="Times" w:cs="Times New Roman"/>
                            <w:sz w:val="20"/>
                            <w:szCs w:val="20"/>
                            <w:lang w:val="en-AU"/>
                          </w:rPr>
                        </w:pPr>
                        <w:r w:rsidRPr="00A429FE">
                          <w:rPr>
                            <w:rFonts w:ascii="Times" w:eastAsia="Times New Roman" w:hAnsi="Times" w:cs="Times New Roman"/>
                            <w:sz w:val="20"/>
                            <w:szCs w:val="20"/>
                            <w:lang w:val="en-AU"/>
                          </w:rPr>
                          <w:t xml:space="preserve">provide additional disclosure of "golden parachute" arrangements in merger proxy statements. </w:t>
                        </w:r>
                      </w:p>
                      <w:p w:rsidR="00A429FE" w:rsidRPr="00A429FE" w:rsidRDefault="00A429FE" w:rsidP="00A429FE">
                        <w:pPr>
                          <w:spacing w:before="100" w:beforeAutospacing="1" w:after="100" w:afterAutospacing="1"/>
                          <w:rPr>
                            <w:rFonts w:ascii="Times" w:hAnsi="Times" w:cs="Times New Roman"/>
                            <w:sz w:val="20"/>
                            <w:szCs w:val="20"/>
                            <w:lang w:val="en-AU"/>
                          </w:rPr>
                        </w:pPr>
                        <w:r w:rsidRPr="00A429FE">
                          <w:rPr>
                            <w:rFonts w:ascii="Times" w:hAnsi="Times" w:cs="Times New Roman"/>
                            <w:sz w:val="20"/>
                            <w:szCs w:val="20"/>
                            <w:lang w:val="en-AU"/>
                          </w:rPr>
                          <w:t>The proposed rules would also require that institutional investment managers report their votes on executive compensation and "golden parachute" arrangements at least annually, unless the votes are otherwise required to be reported publicly by SEC rules.</w:t>
                        </w:r>
                        <w:r w:rsidRPr="00A429FE">
                          <w:rPr>
                            <w:rFonts w:ascii="Times" w:hAnsi="Times" w:cs="Times New Roman"/>
                            <w:sz w:val="20"/>
                            <w:szCs w:val="20"/>
                            <w:lang w:val="en-AU"/>
                          </w:rPr>
                          <w:br/>
                          <w:t> </w:t>
                        </w:r>
                        <w:r w:rsidRPr="00A429FE">
                          <w:rPr>
                            <w:rFonts w:ascii="Times" w:hAnsi="Times" w:cs="Times New Roman"/>
                            <w:sz w:val="20"/>
                            <w:szCs w:val="20"/>
                            <w:lang w:val="en-AU"/>
                          </w:rPr>
                          <w:br/>
                          <w:t>Last year, the Commission adopted rules requiring public companies with outstanding obligations under the Troubled Asset Relief Program to provide a shareholder vote on executive pay in their proxy solicitations. The Commission also adopted rules requiring enhanced disclosure of executive compensation by public companies in their proxy statements.</w:t>
                        </w:r>
                        <w:r w:rsidRPr="00A429FE">
                          <w:rPr>
                            <w:rFonts w:ascii="Times" w:hAnsi="Times" w:cs="Times New Roman"/>
                            <w:sz w:val="20"/>
                            <w:szCs w:val="20"/>
                            <w:lang w:val="en-AU"/>
                          </w:rPr>
                          <w:br/>
                          <w:t> </w:t>
                        </w:r>
                        <w:r w:rsidRPr="00A429FE">
                          <w:rPr>
                            <w:rFonts w:ascii="Times" w:hAnsi="Times" w:cs="Times New Roman"/>
                            <w:sz w:val="20"/>
                            <w:szCs w:val="20"/>
                            <w:lang w:val="en-AU"/>
                          </w:rPr>
                          <w:br/>
                        </w:r>
                        <w:r w:rsidRPr="00A429FE">
                          <w:rPr>
                            <w:rFonts w:ascii="Times" w:hAnsi="Times" w:cs="Times New Roman"/>
                            <w:b/>
                            <w:bCs/>
                            <w:sz w:val="20"/>
                            <w:szCs w:val="20"/>
                            <w:lang w:val="en-AU"/>
                          </w:rPr>
                          <w:t>(a) Required say-on-pay votes and additional disclosure requirements</w:t>
                        </w:r>
                      </w:p>
                      <w:p w:rsidR="00A429FE" w:rsidRPr="00A429FE" w:rsidRDefault="00A429FE" w:rsidP="00A429FE">
                        <w:pPr>
                          <w:spacing w:before="100" w:beforeAutospacing="1" w:after="100" w:afterAutospacing="1"/>
                          <w:rPr>
                            <w:rFonts w:ascii="Times" w:hAnsi="Times" w:cs="Times New Roman"/>
                            <w:sz w:val="20"/>
                            <w:szCs w:val="20"/>
                            <w:lang w:val="en-AU"/>
                          </w:rPr>
                        </w:pPr>
                        <w:r w:rsidRPr="00A429FE">
                          <w:rPr>
                            <w:rFonts w:ascii="Times" w:hAnsi="Times" w:cs="Times New Roman"/>
                            <w:b/>
                            <w:bCs/>
                            <w:sz w:val="20"/>
                            <w:szCs w:val="20"/>
                            <w:lang w:val="en-AU"/>
                          </w:rPr>
                          <w:t>(i) Shareholder approval of executive compensation</w:t>
                        </w:r>
                        <w:r w:rsidRPr="00A429FE">
                          <w:rPr>
                            <w:rFonts w:ascii="Times" w:hAnsi="Times" w:cs="Times New Roman"/>
                            <w:sz w:val="20"/>
                            <w:szCs w:val="20"/>
                            <w:lang w:val="en-AU"/>
                          </w:rPr>
                          <w:br/>
                        </w:r>
                        <w:r w:rsidRPr="00A429FE">
                          <w:rPr>
                            <w:rFonts w:ascii="Times" w:hAnsi="Times" w:cs="Times New Roman"/>
                            <w:sz w:val="20"/>
                            <w:szCs w:val="20"/>
                            <w:lang w:val="en-AU"/>
                          </w:rPr>
                          <w:br/>
                          <w:t>Under the proposed rules implementing the Dodd-Frank Act, companies subject to the federal proxy rules would be required to provide shareholders with an advisory vote on executive compensation. Section 14A(a) of the Exchange Act, which was added under the Dodd-Frank Act, specifies that these votes, generally known as say-on-pay votes, are required at least once every three years beginning with the first annual shareholders' meeting taking place on or after 21 January 2011.</w:t>
                        </w:r>
                        <w:r w:rsidRPr="00A429FE">
                          <w:rPr>
                            <w:rFonts w:ascii="Times" w:hAnsi="Times" w:cs="Times New Roman"/>
                            <w:sz w:val="20"/>
                            <w:szCs w:val="20"/>
                            <w:lang w:val="en-AU"/>
                          </w:rPr>
                          <w:br/>
                          <w:t> </w:t>
                        </w:r>
                        <w:r w:rsidRPr="00A429FE">
                          <w:rPr>
                            <w:rFonts w:ascii="Times" w:hAnsi="Times" w:cs="Times New Roman"/>
                            <w:sz w:val="20"/>
                            <w:szCs w:val="20"/>
                            <w:lang w:val="en-AU"/>
                          </w:rPr>
                          <w:br/>
                          <w:t>The SEC's proposal requires companies to provide disclosure about the say-on-pay vote in the annual meeting proxy statement, including whether the vote is non-binding. The proposal also would require the company to disclose in the Compensation Discussion and Analysis, or CD&amp;A, whether, and if so, how companies have considered the results of previous say-on-pay votes.</w:t>
                        </w:r>
                        <w:r w:rsidRPr="00A429FE">
                          <w:rPr>
                            <w:rFonts w:ascii="Times" w:hAnsi="Times" w:cs="Times New Roman"/>
                            <w:sz w:val="20"/>
                            <w:szCs w:val="20"/>
                            <w:lang w:val="en-AU"/>
                          </w:rPr>
                          <w:br/>
                          <w:t> </w:t>
                        </w:r>
                        <w:r w:rsidRPr="00A429FE">
                          <w:rPr>
                            <w:rFonts w:ascii="Times" w:hAnsi="Times" w:cs="Times New Roman"/>
                            <w:sz w:val="20"/>
                            <w:szCs w:val="20"/>
                            <w:lang w:val="en-AU"/>
                          </w:rPr>
                          <w:br/>
                        </w:r>
                        <w:r w:rsidRPr="00A429FE">
                          <w:rPr>
                            <w:rFonts w:ascii="Times" w:hAnsi="Times" w:cs="Times New Roman"/>
                            <w:b/>
                            <w:bCs/>
                            <w:sz w:val="20"/>
                            <w:szCs w:val="20"/>
                            <w:lang w:val="en-AU"/>
                          </w:rPr>
                          <w:t>(ii) Shareholder approval of the frequency of shareholder votes on executive compensation</w:t>
                        </w:r>
                        <w:r w:rsidRPr="00A429FE">
                          <w:rPr>
                            <w:rFonts w:ascii="Times" w:hAnsi="Times" w:cs="Times New Roman"/>
                            <w:sz w:val="20"/>
                            <w:szCs w:val="20"/>
                            <w:lang w:val="en-AU"/>
                          </w:rPr>
                          <w:br/>
                          <w:t> </w:t>
                        </w:r>
                        <w:r w:rsidRPr="00A429FE">
                          <w:rPr>
                            <w:rFonts w:ascii="Times" w:hAnsi="Times" w:cs="Times New Roman"/>
                            <w:sz w:val="20"/>
                            <w:szCs w:val="20"/>
                            <w:lang w:val="en-AU"/>
                          </w:rPr>
                          <w:br/>
                          <w:t>Under the proposal, companies subject to the federal proxy rules also would be required to allow shareholders to vote on how often they would like to cast a say-on-pay vote, namely: every year, every other year, or once every three years.</w:t>
                        </w:r>
                      </w:p>
                      <w:p w:rsidR="00A429FE" w:rsidRPr="00A429FE" w:rsidRDefault="00A429FE" w:rsidP="00A429FE">
                        <w:pPr>
                          <w:spacing w:before="100" w:beforeAutospacing="1" w:after="100" w:afterAutospacing="1"/>
                          <w:rPr>
                            <w:rFonts w:ascii="Times" w:hAnsi="Times" w:cs="Times New Roman"/>
                            <w:sz w:val="20"/>
                            <w:szCs w:val="20"/>
                            <w:lang w:val="en-AU"/>
                          </w:rPr>
                        </w:pPr>
                        <w:r w:rsidRPr="00A429FE">
                          <w:rPr>
                            <w:rFonts w:ascii="Times" w:hAnsi="Times" w:cs="Times New Roman"/>
                            <w:sz w:val="20"/>
                            <w:szCs w:val="20"/>
                            <w:lang w:val="en-AU"/>
                          </w:rPr>
                          <w:t>Shareholders would be allowed to cast this non-binding "frequency" vote at least once every six years beginning with the first annual shareholders' meeting taking place on or after 21 January 2011.</w:t>
                        </w:r>
                        <w:r w:rsidRPr="00A429FE">
                          <w:rPr>
                            <w:rFonts w:ascii="Times" w:hAnsi="Times" w:cs="Times New Roman"/>
                            <w:sz w:val="20"/>
                            <w:szCs w:val="20"/>
                            <w:lang w:val="en-AU"/>
                          </w:rPr>
                          <w:br/>
                        </w:r>
                        <w:r w:rsidRPr="00A429FE">
                          <w:rPr>
                            <w:rFonts w:ascii="Times" w:hAnsi="Times" w:cs="Times New Roman"/>
                            <w:sz w:val="20"/>
                            <w:szCs w:val="20"/>
                            <w:lang w:val="en-AU"/>
                          </w:rPr>
                          <w:br/>
                          <w:t>The proposals would require companies to provide disclosure about the frequency vote in the annual meeting proxy statement, including whether the vote is non-binding.</w:t>
                        </w:r>
                        <w:r w:rsidRPr="00A429FE">
                          <w:rPr>
                            <w:rFonts w:ascii="Times" w:hAnsi="Times" w:cs="Times New Roman"/>
                            <w:sz w:val="20"/>
                            <w:szCs w:val="20"/>
                            <w:lang w:val="en-AU"/>
                          </w:rPr>
                          <w:br/>
                        </w:r>
                        <w:r w:rsidRPr="00A429FE">
                          <w:rPr>
                            <w:rFonts w:ascii="Times" w:hAnsi="Times" w:cs="Times New Roman"/>
                            <w:sz w:val="20"/>
                            <w:szCs w:val="20"/>
                            <w:lang w:val="en-AU"/>
                          </w:rPr>
                          <w:br/>
                        </w:r>
                        <w:r w:rsidRPr="00A429FE">
                          <w:rPr>
                            <w:rFonts w:ascii="Times" w:hAnsi="Times" w:cs="Times New Roman"/>
                            <w:b/>
                            <w:bCs/>
                            <w:sz w:val="20"/>
                            <w:szCs w:val="20"/>
                            <w:lang w:val="en-AU"/>
                          </w:rPr>
                          <w:t>(iii) Shareholder approval and disclosure of golden parachute arrangements</w:t>
                        </w:r>
                        <w:r w:rsidRPr="00A429FE">
                          <w:rPr>
                            <w:rFonts w:ascii="Times" w:hAnsi="Times" w:cs="Times New Roman"/>
                            <w:sz w:val="20"/>
                            <w:szCs w:val="20"/>
                            <w:lang w:val="en-AU"/>
                          </w:rPr>
                          <w:br/>
                          <w:t> </w:t>
                        </w:r>
                        <w:r w:rsidRPr="00A429FE">
                          <w:rPr>
                            <w:rFonts w:ascii="Times" w:hAnsi="Times" w:cs="Times New Roman"/>
                            <w:sz w:val="20"/>
                            <w:szCs w:val="20"/>
                            <w:lang w:val="en-AU"/>
                          </w:rPr>
                          <w:br/>
                          <w:t>Under the proposal, companies also would be required to provide additional information about the compensation arrangements with executive officers in connection with merger transactions. Disclosures of these "golden parachute" arrangements would be required of all agreements and understandings that the acquiring and target companies have with the named executive officers of both companies.</w:t>
                        </w:r>
                        <w:r w:rsidRPr="00A429FE">
                          <w:rPr>
                            <w:rFonts w:ascii="Times" w:hAnsi="Times" w:cs="Times New Roman"/>
                            <w:sz w:val="20"/>
                            <w:szCs w:val="20"/>
                            <w:lang w:val="en-AU"/>
                          </w:rPr>
                          <w:br/>
                          <w:t> </w:t>
                        </w:r>
                        <w:r w:rsidRPr="00A429FE">
                          <w:rPr>
                            <w:rFonts w:ascii="Times" w:hAnsi="Times" w:cs="Times New Roman"/>
                            <w:sz w:val="20"/>
                            <w:szCs w:val="20"/>
                            <w:lang w:val="en-AU"/>
                          </w:rPr>
                          <w:br/>
                          <w:t>This "golden parachute" disclosure also would be required in connection with going-private transactions and third-party tender offers, so that the information is available for shareholders no matter the structure of the transaction.</w:t>
                        </w:r>
                        <w:r w:rsidRPr="00A429FE">
                          <w:rPr>
                            <w:rFonts w:ascii="Times" w:hAnsi="Times" w:cs="Times New Roman"/>
                            <w:sz w:val="20"/>
                            <w:szCs w:val="20"/>
                            <w:lang w:val="en-AU"/>
                          </w:rPr>
                          <w:br/>
                          <w:t>Further, the proposed rules would require companies to provide a shareholder advisory vote to approve certain "golden parachute" compensation arrangements in merger proxy statements.</w:t>
                        </w:r>
                        <w:r w:rsidRPr="00A429FE">
                          <w:rPr>
                            <w:rFonts w:ascii="Times" w:hAnsi="Times" w:cs="Times New Roman"/>
                            <w:sz w:val="20"/>
                            <w:szCs w:val="20"/>
                            <w:lang w:val="en-AU"/>
                          </w:rPr>
                          <w:br/>
                        </w:r>
                        <w:r w:rsidRPr="00A429FE">
                          <w:rPr>
                            <w:rFonts w:ascii="Times" w:hAnsi="Times" w:cs="Times New Roman"/>
                            <w:sz w:val="20"/>
                            <w:szCs w:val="20"/>
                            <w:lang w:val="en-AU"/>
                          </w:rPr>
                          <w:br/>
                        </w:r>
                        <w:r w:rsidRPr="00A429FE">
                          <w:rPr>
                            <w:rFonts w:ascii="Times" w:hAnsi="Times" w:cs="Times New Roman"/>
                            <w:b/>
                            <w:bCs/>
                            <w:sz w:val="20"/>
                            <w:szCs w:val="20"/>
                            <w:lang w:val="en-AU"/>
                          </w:rPr>
                          <w:t>(b) Institutional investment manager reporting of votes</w:t>
                        </w:r>
                        <w:r w:rsidRPr="00A429FE">
                          <w:rPr>
                            <w:rFonts w:ascii="Times" w:hAnsi="Times" w:cs="Times New Roman"/>
                            <w:b/>
                            <w:bCs/>
                            <w:sz w:val="20"/>
                            <w:szCs w:val="20"/>
                            <w:lang w:val="en-AU"/>
                          </w:rPr>
                          <w:br/>
                        </w:r>
                        <w:r w:rsidRPr="00A429FE">
                          <w:rPr>
                            <w:rFonts w:ascii="Times" w:hAnsi="Times" w:cs="Times New Roman"/>
                            <w:sz w:val="20"/>
                            <w:szCs w:val="20"/>
                            <w:lang w:val="en-AU"/>
                          </w:rPr>
                          <w:br/>
                          <w:t>The SEC also proposed rules that would require institutional investment managers to annually file with the SEC their votes on say-on-pay, frequency of say-on-pay votes, and "golden parachute" arrangements.</w:t>
                        </w:r>
                        <w:r w:rsidRPr="00A429FE">
                          <w:rPr>
                            <w:rFonts w:ascii="Times" w:hAnsi="Times" w:cs="Times New Roman"/>
                            <w:sz w:val="20"/>
                            <w:szCs w:val="20"/>
                            <w:lang w:val="en-AU"/>
                          </w:rPr>
                          <w:br/>
                          <w:t> </w:t>
                        </w:r>
                        <w:r w:rsidRPr="00A429FE">
                          <w:rPr>
                            <w:rFonts w:ascii="Times" w:hAnsi="Times" w:cs="Times New Roman"/>
                            <w:sz w:val="20"/>
                            <w:szCs w:val="20"/>
                            <w:lang w:val="en-AU"/>
                          </w:rPr>
                          <w:br/>
                          <w:t>The proposal would generally apply to every institutional investment manager that manages certain equity securities having an aggregate fair market value of at least US$100 million.</w:t>
                        </w:r>
                        <w:r w:rsidRPr="00A429FE">
                          <w:rPr>
                            <w:rFonts w:ascii="Times" w:hAnsi="Times" w:cs="Times New Roman"/>
                            <w:sz w:val="20"/>
                            <w:szCs w:val="20"/>
                            <w:lang w:val="en-AU"/>
                          </w:rPr>
                          <w:br/>
                          <w:t> </w:t>
                        </w:r>
                        <w:r w:rsidRPr="00A429FE">
                          <w:rPr>
                            <w:rFonts w:ascii="Times" w:hAnsi="Times" w:cs="Times New Roman"/>
                            <w:sz w:val="20"/>
                            <w:szCs w:val="20"/>
                            <w:lang w:val="en-AU"/>
                          </w:rPr>
                          <w:br/>
                          <w:t>The manager would be required to identify securities voted, describe the executive compensation matters voted on, disclose the number of shares over which the manager held voting power and the number of shares voted, and indicate how the manager voted.</w:t>
                        </w:r>
                        <w:r w:rsidRPr="00A429FE">
                          <w:rPr>
                            <w:rFonts w:ascii="Times" w:hAnsi="Times" w:cs="Times New Roman"/>
                            <w:sz w:val="20"/>
                            <w:szCs w:val="20"/>
                            <w:lang w:val="en-AU"/>
                          </w:rPr>
                          <w:br/>
                          <w:t> </w:t>
                        </w:r>
                        <w:r w:rsidRPr="00A429FE">
                          <w:rPr>
                            <w:rFonts w:ascii="Times" w:hAnsi="Times" w:cs="Times New Roman"/>
                            <w:sz w:val="20"/>
                            <w:szCs w:val="20"/>
                            <w:lang w:val="en-AU"/>
                          </w:rPr>
                          <w:br/>
                          <w:t>The proposal would require institutional investment managers to report these votes annually not later than 31 August of each year for the twelve months ended 30 June.</w:t>
                        </w:r>
                        <w:r w:rsidRPr="00A429FE">
                          <w:rPr>
                            <w:rFonts w:ascii="Times" w:hAnsi="Times" w:cs="Times New Roman"/>
                            <w:sz w:val="20"/>
                            <w:szCs w:val="20"/>
                            <w:lang w:val="en-AU"/>
                          </w:rPr>
                          <w:br/>
                        </w:r>
                        <w:r w:rsidRPr="00A429FE">
                          <w:rPr>
                            <w:rFonts w:ascii="Times" w:hAnsi="Times" w:cs="Times New Roman"/>
                            <w:sz w:val="20"/>
                            <w:szCs w:val="20"/>
                            <w:lang w:val="en-AU"/>
                          </w:rPr>
                          <w:br/>
                        </w:r>
                        <w:r w:rsidRPr="00A429FE">
                          <w:rPr>
                            <w:rFonts w:ascii="Times" w:hAnsi="Times" w:cs="Times New Roman"/>
                            <w:sz w:val="20"/>
                            <w:szCs w:val="20"/>
                            <w:lang w:val="en-AU"/>
                          </w:rPr>
                          <w:br/>
                          <w:t xml:space="preserve">The Proposed Rule Release No. 34-63123 is available on the </w:t>
                        </w:r>
                        <w:r w:rsidRPr="00A429FE">
                          <w:rPr>
                            <w:rFonts w:ascii="Times" w:hAnsi="Times" w:cs="Times New Roman"/>
                            <w:sz w:val="20"/>
                            <w:szCs w:val="20"/>
                            <w:lang w:val="en-AU"/>
                          </w:rPr>
                          <w:fldChar w:fldCharType="begin"/>
                        </w:r>
                        <w:r w:rsidRPr="00A429FE">
                          <w:rPr>
                            <w:rFonts w:ascii="Times" w:hAnsi="Times" w:cs="Times New Roman"/>
                            <w:sz w:val="20"/>
                            <w:szCs w:val="20"/>
                            <w:lang w:val="en-AU"/>
                          </w:rPr>
                          <w:instrText xml:space="preserve"> HYPERLINK "http://www.sec.gov/rules/proposed/2010/34-63123.pdf" \t "_new" </w:instrText>
                        </w:r>
                        <w:r w:rsidRPr="00A429FE">
                          <w:rPr>
                            <w:rFonts w:ascii="Times" w:hAnsi="Times" w:cs="Times New Roman"/>
                            <w:sz w:val="20"/>
                            <w:szCs w:val="20"/>
                            <w:lang w:val="en-AU"/>
                          </w:rPr>
                        </w:r>
                        <w:r w:rsidRPr="00A429FE">
                          <w:rPr>
                            <w:rFonts w:ascii="Times" w:hAnsi="Times" w:cs="Times New Roman"/>
                            <w:sz w:val="20"/>
                            <w:szCs w:val="20"/>
                            <w:lang w:val="en-AU"/>
                          </w:rPr>
                          <w:fldChar w:fldCharType="separate"/>
                        </w:r>
                        <w:r w:rsidRPr="00A429FE">
                          <w:rPr>
                            <w:rFonts w:ascii="Times" w:hAnsi="Times" w:cs="Times New Roman"/>
                            <w:color w:val="0000FF"/>
                            <w:sz w:val="20"/>
                            <w:szCs w:val="20"/>
                            <w:u w:val="single"/>
                            <w:lang w:val="en-AU"/>
                          </w:rPr>
                          <w:t>SEC</w:t>
                        </w:r>
                        <w:r w:rsidRPr="00A429FE">
                          <w:rPr>
                            <w:rFonts w:ascii="Times" w:hAnsi="Times" w:cs="Times New Roman"/>
                            <w:sz w:val="20"/>
                            <w:szCs w:val="20"/>
                            <w:lang w:val="en-AU"/>
                          </w:rPr>
                          <w:fldChar w:fldCharType="end"/>
                        </w:r>
                        <w:r w:rsidRPr="00A429FE">
                          <w:rPr>
                            <w:rFonts w:ascii="Times" w:hAnsi="Times" w:cs="Times New Roman"/>
                            <w:sz w:val="20"/>
                            <w:szCs w:val="20"/>
                            <w:lang w:val="en-AU"/>
                          </w:rPr>
                          <w:t xml:space="preserve"> website.</w:t>
                        </w:r>
                        <w:r w:rsidRPr="00A429FE">
                          <w:rPr>
                            <w:rFonts w:ascii="Times" w:hAnsi="Times" w:cs="Times New Roman"/>
                            <w:sz w:val="20"/>
                            <w:szCs w:val="20"/>
                            <w:lang w:val="en-AU"/>
                          </w:rPr>
                          <w:br/>
                          <w:t>                    </w:t>
                        </w:r>
                        <w:r w:rsidRPr="00A429FE">
                          <w:rPr>
                            <w:rFonts w:ascii="Times" w:hAnsi="Times" w:cs="Times New Roman"/>
                            <w:sz w:val="20"/>
                            <w:szCs w:val="20"/>
                            <w:lang w:val="en-AU"/>
                          </w:rPr>
                          <w:br/>
                          <w:t xml:space="preserve">The Proposed Rule Release No. 33-9153 is available on the </w:t>
                        </w:r>
                        <w:r w:rsidRPr="00A429FE">
                          <w:rPr>
                            <w:rFonts w:ascii="Times" w:hAnsi="Times" w:cs="Times New Roman"/>
                            <w:sz w:val="20"/>
                            <w:szCs w:val="20"/>
                            <w:lang w:val="en-AU"/>
                          </w:rPr>
                          <w:fldChar w:fldCharType="begin"/>
                        </w:r>
                        <w:r w:rsidRPr="00A429FE">
                          <w:rPr>
                            <w:rFonts w:ascii="Times" w:hAnsi="Times" w:cs="Times New Roman"/>
                            <w:sz w:val="20"/>
                            <w:szCs w:val="20"/>
                            <w:lang w:val="en-AU"/>
                          </w:rPr>
                          <w:instrText xml:space="preserve"> HYPERLINK "http://www.sec.gov/rules/proposed/2010/33-9153.pdf" \t "_new" </w:instrText>
                        </w:r>
                        <w:r w:rsidRPr="00A429FE">
                          <w:rPr>
                            <w:rFonts w:ascii="Times" w:hAnsi="Times" w:cs="Times New Roman"/>
                            <w:sz w:val="20"/>
                            <w:szCs w:val="20"/>
                            <w:lang w:val="en-AU"/>
                          </w:rPr>
                        </w:r>
                        <w:r w:rsidRPr="00A429FE">
                          <w:rPr>
                            <w:rFonts w:ascii="Times" w:hAnsi="Times" w:cs="Times New Roman"/>
                            <w:sz w:val="20"/>
                            <w:szCs w:val="20"/>
                            <w:lang w:val="en-AU"/>
                          </w:rPr>
                          <w:fldChar w:fldCharType="separate"/>
                        </w:r>
                        <w:r w:rsidRPr="00A429FE">
                          <w:rPr>
                            <w:rFonts w:ascii="Times" w:hAnsi="Times" w:cs="Times New Roman"/>
                            <w:color w:val="0000FF"/>
                            <w:sz w:val="20"/>
                            <w:szCs w:val="20"/>
                            <w:u w:val="single"/>
                            <w:lang w:val="en-AU"/>
                          </w:rPr>
                          <w:t>SEC</w:t>
                        </w:r>
                        <w:r w:rsidRPr="00A429FE">
                          <w:rPr>
                            <w:rFonts w:ascii="Times" w:hAnsi="Times" w:cs="Times New Roman"/>
                            <w:sz w:val="20"/>
                            <w:szCs w:val="20"/>
                            <w:lang w:val="en-AU"/>
                          </w:rPr>
                          <w:fldChar w:fldCharType="end"/>
                        </w:r>
                        <w:r w:rsidRPr="00A429FE">
                          <w:rPr>
                            <w:rFonts w:ascii="Times" w:hAnsi="Times" w:cs="Times New Roman"/>
                            <w:sz w:val="20"/>
                            <w:szCs w:val="20"/>
                            <w:lang w:val="en-AU"/>
                          </w:rPr>
                          <w:t xml:space="preserve"> website.</w:t>
                        </w:r>
                      </w:p>
                      <w:p w:rsidR="00A429FE" w:rsidRPr="00A429FE" w:rsidRDefault="00A429FE" w:rsidP="00A429F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7040" name="Picture 17040" descr="etailed Contents">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40" descr="etailed Contents">
                                        <a:hlinkClick r:id="rId93"/>
                                      </pic:cNvPr>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A429FE" w:rsidRPr="00A429FE" w:rsidRDefault="00A429FE" w:rsidP="00A429FE">
                        <w:pPr>
                          <w:rPr>
                            <w:rFonts w:ascii="Times" w:eastAsia="Times New Roman" w:hAnsi="Times" w:cs="Times New Roman"/>
                            <w:sz w:val="20"/>
                            <w:szCs w:val="20"/>
                            <w:lang w:val="en-AU"/>
                          </w:rPr>
                        </w:pPr>
                        <w:r w:rsidRPr="00A429FE">
                          <w:rPr>
                            <w:rFonts w:ascii="Times" w:eastAsia="Times New Roman" w:hAnsi="Times" w:cs="Times New Roman"/>
                            <w:sz w:val="20"/>
                            <w:szCs w:val="20"/>
                            <w:lang w:val="en-AU"/>
                          </w:rPr>
                          <w:pict>
                            <v:rect id="_x0000_i18065" style="width:0;height:1.5pt" o:hralign="center" o:hrstd="t" o:hr="t" fillcolor="#aaa" stroked="f"/>
                          </w:pict>
                        </w:r>
                      </w:p>
                      <w:p w:rsidR="00A429FE" w:rsidRPr="00A429FE" w:rsidRDefault="00A429FE" w:rsidP="00A429FE">
                        <w:pPr>
                          <w:spacing w:before="100" w:beforeAutospacing="1" w:after="100" w:afterAutospacing="1"/>
                          <w:rPr>
                            <w:rFonts w:ascii="Times" w:hAnsi="Times" w:cs="Times New Roman"/>
                            <w:sz w:val="20"/>
                            <w:szCs w:val="20"/>
                            <w:lang w:val="en-AU"/>
                          </w:rPr>
                        </w:pPr>
                        <w:bookmarkStart w:id="10" w:name="015"/>
                        <w:bookmarkEnd w:id="10"/>
                        <w:r w:rsidRPr="00A429FE">
                          <w:rPr>
                            <w:rFonts w:ascii="Times" w:hAnsi="Times" w:cs="Times New Roman"/>
                            <w:b/>
                            <w:bCs/>
                            <w:sz w:val="20"/>
                            <w:szCs w:val="20"/>
                            <w:lang w:val="en-AU"/>
                          </w:rPr>
                          <w:t xml:space="preserve">1.5 IOSCO publishes recommendations for market interventions and securitisation in emerging markets </w:t>
                        </w:r>
                        <w:r w:rsidRPr="00A429FE">
                          <w:rPr>
                            <w:rFonts w:ascii="Times" w:hAnsi="Times" w:cs="Times New Roman"/>
                            <w:sz w:val="20"/>
                            <w:szCs w:val="20"/>
                            <w:lang w:val="en-AU"/>
                          </w:rPr>
                          <w:br/>
                          <w:t> </w:t>
                        </w:r>
                        <w:r w:rsidRPr="00A429FE">
                          <w:rPr>
                            <w:rFonts w:ascii="Times" w:hAnsi="Times" w:cs="Times New Roman"/>
                            <w:sz w:val="20"/>
                            <w:szCs w:val="20"/>
                            <w:lang w:val="en-AU"/>
                          </w:rPr>
                          <w:br/>
                          <w:t xml:space="preserve">On 15 October 2010, the Emerging Markets Committee (EMC) of the International Organization of Securities Commissions (IOSCO) published two reports containing recommendations for regulators in emerging markets jurisdictions aimed at assisting them in relation to market interventions and the securitisation market. </w:t>
                        </w:r>
                        <w:r w:rsidRPr="00A429FE">
                          <w:rPr>
                            <w:rFonts w:ascii="Times" w:hAnsi="Times" w:cs="Times New Roman"/>
                            <w:sz w:val="20"/>
                            <w:szCs w:val="20"/>
                            <w:lang w:val="en-AU"/>
                          </w:rPr>
                          <w:br/>
                          <w:t> </w:t>
                        </w:r>
                        <w:r w:rsidRPr="00A429FE">
                          <w:rPr>
                            <w:rFonts w:ascii="Times" w:hAnsi="Times" w:cs="Times New Roman"/>
                            <w:sz w:val="20"/>
                            <w:szCs w:val="20"/>
                            <w:lang w:val="en-AU"/>
                          </w:rPr>
                          <w:br/>
                        </w:r>
                        <w:r w:rsidRPr="00A429FE">
                          <w:rPr>
                            <w:rFonts w:ascii="Times" w:hAnsi="Times" w:cs="Times New Roman"/>
                            <w:b/>
                            <w:bCs/>
                            <w:sz w:val="20"/>
                            <w:szCs w:val="20"/>
                            <w:lang w:val="en-AU"/>
                          </w:rPr>
                          <w:t>(a) Effectiveness of market interventions in emerging markets</w:t>
                        </w:r>
                        <w:r w:rsidRPr="00A429FE">
                          <w:rPr>
                            <w:rFonts w:ascii="Times" w:hAnsi="Times" w:cs="Times New Roman"/>
                            <w:sz w:val="20"/>
                            <w:szCs w:val="20"/>
                            <w:lang w:val="en-AU"/>
                          </w:rPr>
                          <w:br/>
                        </w:r>
                        <w:r w:rsidRPr="00A429FE">
                          <w:rPr>
                            <w:rFonts w:ascii="Times" w:hAnsi="Times" w:cs="Times New Roman"/>
                            <w:sz w:val="20"/>
                            <w:szCs w:val="20"/>
                            <w:lang w:val="en-AU"/>
                          </w:rPr>
                          <w:br/>
                          <w:t xml:space="preserve">The report titled 'Effectiveness of Market Interventions in Emerging Markets' sets out the following broad implementing measures to intervene in markets: </w:t>
                        </w:r>
                      </w:p>
                      <w:p w:rsidR="00A429FE" w:rsidRPr="00A429FE" w:rsidRDefault="00A429FE" w:rsidP="00A429FE">
                        <w:pPr>
                          <w:tabs>
                            <w:tab w:val="num" w:pos="720"/>
                          </w:tabs>
                          <w:spacing w:before="100" w:beforeAutospacing="1" w:after="100" w:afterAutospacing="1"/>
                          <w:ind w:left="720" w:hanging="360"/>
                          <w:rPr>
                            <w:rFonts w:ascii="Times" w:eastAsia="Times New Roman" w:hAnsi="Times" w:cs="Times New Roman"/>
                            <w:sz w:val="20"/>
                            <w:szCs w:val="20"/>
                            <w:lang w:val="en-AU"/>
                          </w:rPr>
                        </w:pPr>
                        <w:r w:rsidRPr="00A429FE">
                          <w:rPr>
                            <w:rFonts w:ascii="Times" w:eastAsia="Times New Roman" w:hAnsi="Times" w:cs="Times New Roman"/>
                            <w:sz w:val="20"/>
                            <w:szCs w:val="20"/>
                            <w:lang w:val="en-AU"/>
                          </w:rPr>
                          <w:t xml:space="preserve">Regular review of the framework governing interventions in light of the changing trading landscape; </w:t>
                        </w:r>
                      </w:p>
                      <w:p w:rsidR="00A429FE" w:rsidRPr="00A429FE" w:rsidRDefault="00A429FE" w:rsidP="00A429FE">
                        <w:pPr>
                          <w:tabs>
                            <w:tab w:val="num" w:pos="720"/>
                          </w:tabs>
                          <w:spacing w:before="100" w:beforeAutospacing="1" w:after="100" w:afterAutospacing="1"/>
                          <w:ind w:left="720" w:hanging="360"/>
                          <w:rPr>
                            <w:rFonts w:ascii="Times" w:eastAsia="Times New Roman" w:hAnsi="Times" w:cs="Times New Roman"/>
                            <w:sz w:val="20"/>
                            <w:szCs w:val="20"/>
                            <w:lang w:val="en-AU"/>
                          </w:rPr>
                        </w:pPr>
                        <w:r w:rsidRPr="00A429FE">
                          <w:rPr>
                            <w:rFonts w:ascii="Times" w:eastAsia="Times New Roman" w:hAnsi="Times" w:cs="Times New Roman"/>
                            <w:sz w:val="20"/>
                            <w:szCs w:val="20"/>
                            <w:lang w:val="en-AU"/>
                          </w:rPr>
                          <w:t xml:space="preserve">Market interventions need to be considered in a holistic manner and not on a piecemeal basis; </w:t>
                        </w:r>
                      </w:p>
                      <w:p w:rsidR="00A429FE" w:rsidRPr="00A429FE" w:rsidRDefault="00A429FE" w:rsidP="00A429FE">
                        <w:pPr>
                          <w:tabs>
                            <w:tab w:val="num" w:pos="720"/>
                          </w:tabs>
                          <w:spacing w:before="100" w:beforeAutospacing="1" w:after="100" w:afterAutospacing="1"/>
                          <w:ind w:left="720" w:hanging="360"/>
                          <w:rPr>
                            <w:rFonts w:ascii="Times" w:eastAsia="Times New Roman" w:hAnsi="Times" w:cs="Times New Roman"/>
                            <w:sz w:val="20"/>
                            <w:szCs w:val="20"/>
                            <w:lang w:val="en-AU"/>
                          </w:rPr>
                        </w:pPr>
                        <w:r w:rsidRPr="00A429FE">
                          <w:rPr>
                            <w:rFonts w:ascii="Times" w:eastAsia="Times New Roman" w:hAnsi="Times" w:cs="Times New Roman"/>
                            <w:sz w:val="20"/>
                            <w:szCs w:val="20"/>
                            <w:lang w:val="en-AU"/>
                          </w:rPr>
                          <w:t xml:space="preserve">Market interventions need to be transparent and explicitly guided by clear criteria and parameters; </w:t>
                        </w:r>
                      </w:p>
                      <w:p w:rsidR="00A429FE" w:rsidRPr="00A429FE" w:rsidRDefault="00A429FE" w:rsidP="00A429FE">
                        <w:pPr>
                          <w:tabs>
                            <w:tab w:val="num" w:pos="720"/>
                          </w:tabs>
                          <w:spacing w:before="100" w:beforeAutospacing="1" w:after="100" w:afterAutospacing="1"/>
                          <w:ind w:left="720" w:hanging="360"/>
                          <w:rPr>
                            <w:rFonts w:ascii="Times" w:eastAsia="Times New Roman" w:hAnsi="Times" w:cs="Times New Roman"/>
                            <w:sz w:val="20"/>
                            <w:szCs w:val="20"/>
                            <w:lang w:val="en-AU"/>
                          </w:rPr>
                        </w:pPr>
                        <w:r w:rsidRPr="00A429FE">
                          <w:rPr>
                            <w:rFonts w:ascii="Times" w:eastAsia="Times New Roman" w:hAnsi="Times" w:cs="Times New Roman"/>
                            <w:sz w:val="20"/>
                            <w:szCs w:val="20"/>
                            <w:lang w:val="en-AU"/>
                          </w:rPr>
                          <w:t xml:space="preserve">Market interventions must be consistently applied across all exchanges and/or markets to prevent regulatory arbitrage; and </w:t>
                        </w:r>
                      </w:p>
                      <w:p w:rsidR="00A429FE" w:rsidRPr="00A429FE" w:rsidRDefault="00A429FE" w:rsidP="00A429FE">
                        <w:pPr>
                          <w:tabs>
                            <w:tab w:val="num" w:pos="720"/>
                          </w:tabs>
                          <w:spacing w:before="100" w:beforeAutospacing="1" w:after="100" w:afterAutospacing="1"/>
                          <w:ind w:left="720" w:hanging="360"/>
                          <w:rPr>
                            <w:rFonts w:ascii="Times" w:eastAsia="Times New Roman" w:hAnsi="Times" w:cs="Times New Roman"/>
                            <w:sz w:val="20"/>
                            <w:szCs w:val="20"/>
                            <w:lang w:val="en-AU"/>
                          </w:rPr>
                        </w:pPr>
                        <w:r w:rsidRPr="00A429FE">
                          <w:rPr>
                            <w:rFonts w:ascii="Times" w:eastAsia="Times New Roman" w:hAnsi="Times" w:cs="Times New Roman"/>
                            <w:sz w:val="20"/>
                            <w:szCs w:val="20"/>
                            <w:lang w:val="en-AU"/>
                          </w:rPr>
                          <w:t xml:space="preserve">A proper framework for coordination and communication between exchanges and/or regulators and exchanges for multi-listed securities is necessary. </w:t>
                        </w:r>
                      </w:p>
                      <w:p w:rsidR="00A429FE" w:rsidRPr="00A429FE" w:rsidRDefault="00A429FE" w:rsidP="00A429FE">
                        <w:pPr>
                          <w:spacing w:before="100" w:beforeAutospacing="1" w:after="100" w:afterAutospacing="1"/>
                          <w:rPr>
                            <w:rFonts w:ascii="Times" w:hAnsi="Times" w:cs="Times New Roman"/>
                            <w:sz w:val="20"/>
                            <w:szCs w:val="20"/>
                            <w:lang w:val="en-AU"/>
                          </w:rPr>
                        </w:pPr>
                        <w:r w:rsidRPr="00A429FE">
                          <w:rPr>
                            <w:rFonts w:ascii="Times" w:hAnsi="Times" w:cs="Times New Roman"/>
                            <w:b/>
                            <w:bCs/>
                            <w:sz w:val="20"/>
                            <w:szCs w:val="20"/>
                            <w:lang w:val="en-AU"/>
                          </w:rPr>
                          <w:t xml:space="preserve">(b) Securitization and securitized debt in emerging markets </w:t>
                        </w:r>
                        <w:r w:rsidRPr="00A429FE">
                          <w:rPr>
                            <w:rFonts w:ascii="Times" w:hAnsi="Times" w:cs="Times New Roman"/>
                            <w:sz w:val="20"/>
                            <w:szCs w:val="20"/>
                            <w:lang w:val="en-AU"/>
                          </w:rPr>
                          <w:br/>
                          <w:t> </w:t>
                        </w:r>
                        <w:r w:rsidRPr="00A429FE">
                          <w:rPr>
                            <w:rFonts w:ascii="Times" w:hAnsi="Times" w:cs="Times New Roman"/>
                            <w:sz w:val="20"/>
                            <w:szCs w:val="20"/>
                            <w:lang w:val="en-AU"/>
                          </w:rPr>
                          <w:br/>
                          <w:t xml:space="preserve">The report titled 'Securitization and Securitized Debt Instruments in Emerging Markets' includes recommendations on both enabling conditions necessary for the development of securitization markets and those required for the further development of these markets. </w:t>
                        </w:r>
                        <w:r w:rsidRPr="00A429FE">
                          <w:rPr>
                            <w:rFonts w:ascii="Times" w:hAnsi="Times" w:cs="Times New Roman"/>
                            <w:sz w:val="20"/>
                            <w:szCs w:val="20"/>
                            <w:lang w:val="en-AU"/>
                          </w:rPr>
                          <w:br/>
                          <w:t> </w:t>
                        </w:r>
                        <w:r w:rsidRPr="00A429FE">
                          <w:rPr>
                            <w:rFonts w:ascii="Times" w:hAnsi="Times" w:cs="Times New Roman"/>
                            <w:sz w:val="20"/>
                            <w:szCs w:val="20"/>
                            <w:lang w:val="en-AU"/>
                          </w:rPr>
                          <w:br/>
                        </w:r>
                        <w:r w:rsidRPr="00A429FE">
                          <w:rPr>
                            <w:rFonts w:ascii="Times" w:hAnsi="Times" w:cs="Times New Roman"/>
                            <w:b/>
                            <w:bCs/>
                            <w:sz w:val="20"/>
                            <w:szCs w:val="20"/>
                            <w:lang w:val="en-AU"/>
                          </w:rPr>
                          <w:t xml:space="preserve">Enabling conditions </w:t>
                        </w:r>
                        <w:r w:rsidRPr="00A429FE">
                          <w:rPr>
                            <w:rFonts w:ascii="Times" w:hAnsi="Times" w:cs="Times New Roman"/>
                            <w:sz w:val="20"/>
                            <w:szCs w:val="20"/>
                            <w:lang w:val="en-AU"/>
                          </w:rPr>
                          <w:br/>
                          <w:t> </w:t>
                        </w:r>
                        <w:r w:rsidRPr="00A429FE">
                          <w:rPr>
                            <w:rFonts w:ascii="Times" w:hAnsi="Times" w:cs="Times New Roman"/>
                            <w:sz w:val="20"/>
                            <w:szCs w:val="20"/>
                            <w:lang w:val="en-AU"/>
                          </w:rPr>
                          <w:br/>
                          <w:t xml:space="preserve">A stable macroeconomic environment; robust legal framework; robust accounting framework; neutral tax system; investor education - financial literacy; and robust framework for the securities regulator. </w:t>
                        </w:r>
                        <w:r w:rsidRPr="00A429FE">
                          <w:rPr>
                            <w:rFonts w:ascii="Times" w:hAnsi="Times" w:cs="Times New Roman"/>
                            <w:sz w:val="20"/>
                            <w:szCs w:val="20"/>
                            <w:lang w:val="en-AU"/>
                          </w:rPr>
                          <w:br/>
                          <w:t> </w:t>
                        </w:r>
                        <w:r w:rsidRPr="00A429FE">
                          <w:rPr>
                            <w:rFonts w:ascii="Times" w:hAnsi="Times" w:cs="Times New Roman"/>
                            <w:sz w:val="20"/>
                            <w:szCs w:val="20"/>
                            <w:lang w:val="en-AU"/>
                          </w:rPr>
                          <w:br/>
                        </w:r>
                        <w:r w:rsidRPr="00A429FE">
                          <w:rPr>
                            <w:rFonts w:ascii="Times" w:hAnsi="Times" w:cs="Times New Roman"/>
                            <w:b/>
                            <w:bCs/>
                            <w:sz w:val="20"/>
                            <w:szCs w:val="20"/>
                            <w:lang w:val="en-AU"/>
                          </w:rPr>
                          <w:t xml:space="preserve">Further development of securitization markets </w:t>
                        </w:r>
                      </w:p>
                      <w:p w:rsidR="00A429FE" w:rsidRPr="00A429FE" w:rsidRDefault="00A429FE" w:rsidP="00A429FE">
                        <w:pPr>
                          <w:tabs>
                            <w:tab w:val="num" w:pos="720"/>
                          </w:tabs>
                          <w:spacing w:before="100" w:beforeAutospacing="1" w:after="100" w:afterAutospacing="1"/>
                          <w:ind w:left="720" w:hanging="360"/>
                          <w:rPr>
                            <w:rFonts w:ascii="Times" w:eastAsia="Times New Roman" w:hAnsi="Times" w:cs="Times New Roman"/>
                            <w:sz w:val="20"/>
                            <w:szCs w:val="20"/>
                            <w:lang w:val="en-AU"/>
                          </w:rPr>
                        </w:pPr>
                        <w:r w:rsidRPr="00A429FE">
                          <w:rPr>
                            <w:rFonts w:ascii="Times" w:eastAsia="Times New Roman" w:hAnsi="Times" w:cs="Times New Roman"/>
                            <w:sz w:val="20"/>
                            <w:szCs w:val="20"/>
                            <w:lang w:val="en-AU"/>
                          </w:rPr>
                          <w:t xml:space="preserve">Regulators in Emerging Markets should collect a minimum set of information on securitization markets to monitor their development and identify potential sources of risk for financial stability or consumer protection; </w:t>
                        </w:r>
                      </w:p>
                      <w:p w:rsidR="00A429FE" w:rsidRPr="00A429FE" w:rsidRDefault="00A429FE" w:rsidP="00A429FE">
                        <w:pPr>
                          <w:tabs>
                            <w:tab w:val="num" w:pos="720"/>
                          </w:tabs>
                          <w:spacing w:before="100" w:beforeAutospacing="1" w:after="100" w:afterAutospacing="1"/>
                          <w:ind w:left="720" w:hanging="360"/>
                          <w:rPr>
                            <w:rFonts w:ascii="Times" w:eastAsia="Times New Roman" w:hAnsi="Times" w:cs="Times New Roman"/>
                            <w:sz w:val="20"/>
                            <w:szCs w:val="20"/>
                            <w:lang w:val="en-AU"/>
                          </w:rPr>
                        </w:pPr>
                        <w:r w:rsidRPr="00A429FE">
                          <w:rPr>
                            <w:rFonts w:ascii="Times" w:eastAsia="Times New Roman" w:hAnsi="Times" w:cs="Times New Roman"/>
                            <w:sz w:val="20"/>
                            <w:szCs w:val="20"/>
                            <w:lang w:val="en-AU"/>
                          </w:rPr>
                          <w:t xml:space="preserve">Regulators in Emerging Markets should strengthen disclosure requirements for Securitized Financial Product (SFP) vis-à-vis investors, both in the context of public as well as private offerings; </w:t>
                        </w:r>
                      </w:p>
                      <w:p w:rsidR="00A429FE" w:rsidRPr="00A429FE" w:rsidRDefault="00A429FE" w:rsidP="00A429FE">
                        <w:pPr>
                          <w:tabs>
                            <w:tab w:val="num" w:pos="720"/>
                          </w:tabs>
                          <w:spacing w:before="100" w:beforeAutospacing="1" w:after="100" w:afterAutospacing="1"/>
                          <w:ind w:left="720" w:hanging="360"/>
                          <w:rPr>
                            <w:rFonts w:ascii="Times" w:eastAsia="Times New Roman" w:hAnsi="Times" w:cs="Times New Roman"/>
                            <w:sz w:val="20"/>
                            <w:szCs w:val="20"/>
                            <w:lang w:val="en-AU"/>
                          </w:rPr>
                        </w:pPr>
                        <w:r w:rsidRPr="00A429FE">
                          <w:rPr>
                            <w:rFonts w:ascii="Times" w:eastAsia="Times New Roman" w:hAnsi="Times" w:cs="Times New Roman"/>
                            <w:sz w:val="20"/>
                            <w:szCs w:val="20"/>
                            <w:lang w:val="en-AU"/>
                          </w:rPr>
                          <w:t xml:space="preserve">Regulators in Emerging Markets should encourage trading of SFPs in public venues, and impose transparency in OTC markets; </w:t>
                        </w:r>
                      </w:p>
                      <w:p w:rsidR="00A429FE" w:rsidRPr="00A429FE" w:rsidRDefault="00A429FE" w:rsidP="00A429FE">
                        <w:pPr>
                          <w:tabs>
                            <w:tab w:val="num" w:pos="720"/>
                          </w:tabs>
                          <w:spacing w:before="100" w:beforeAutospacing="1" w:after="100" w:afterAutospacing="1"/>
                          <w:ind w:left="720" w:hanging="360"/>
                          <w:rPr>
                            <w:rFonts w:ascii="Times" w:eastAsia="Times New Roman" w:hAnsi="Times" w:cs="Times New Roman"/>
                            <w:sz w:val="20"/>
                            <w:szCs w:val="20"/>
                            <w:lang w:val="en-AU"/>
                          </w:rPr>
                        </w:pPr>
                        <w:r w:rsidRPr="00A429FE">
                          <w:rPr>
                            <w:rFonts w:ascii="Times" w:eastAsia="Times New Roman" w:hAnsi="Times" w:cs="Times New Roman"/>
                            <w:sz w:val="20"/>
                            <w:szCs w:val="20"/>
                            <w:lang w:val="en-AU"/>
                          </w:rPr>
                          <w:t xml:space="preserve">Regulators in Emerging Markets should encourage the development of pricing agencies, which should be regulated; </w:t>
                        </w:r>
                      </w:p>
                      <w:p w:rsidR="00A429FE" w:rsidRPr="00A429FE" w:rsidRDefault="00A429FE" w:rsidP="00A429FE">
                        <w:pPr>
                          <w:tabs>
                            <w:tab w:val="num" w:pos="720"/>
                          </w:tabs>
                          <w:spacing w:before="100" w:beforeAutospacing="1" w:after="100" w:afterAutospacing="1"/>
                          <w:ind w:left="720" w:hanging="360"/>
                          <w:rPr>
                            <w:rFonts w:ascii="Times" w:eastAsia="Times New Roman" w:hAnsi="Times" w:cs="Times New Roman"/>
                            <w:sz w:val="20"/>
                            <w:szCs w:val="20"/>
                            <w:lang w:val="en-AU"/>
                          </w:rPr>
                        </w:pPr>
                        <w:r w:rsidRPr="00A429FE">
                          <w:rPr>
                            <w:rFonts w:ascii="Times" w:eastAsia="Times New Roman" w:hAnsi="Times" w:cs="Times New Roman"/>
                            <w:sz w:val="20"/>
                            <w:szCs w:val="20"/>
                            <w:lang w:val="en-AU"/>
                          </w:rPr>
                          <w:t xml:space="preserve">Regulators in Emerging Markets should establish a minimum framework for key participants of the securitization process; </w:t>
                        </w:r>
                      </w:p>
                      <w:p w:rsidR="00A429FE" w:rsidRPr="00A429FE" w:rsidRDefault="00A429FE" w:rsidP="00A429FE">
                        <w:pPr>
                          <w:tabs>
                            <w:tab w:val="num" w:pos="720"/>
                          </w:tabs>
                          <w:spacing w:before="100" w:beforeAutospacing="1" w:after="100" w:afterAutospacing="1"/>
                          <w:ind w:left="720" w:hanging="360"/>
                          <w:rPr>
                            <w:rFonts w:ascii="Times" w:eastAsia="Times New Roman" w:hAnsi="Times" w:cs="Times New Roman"/>
                            <w:sz w:val="20"/>
                            <w:szCs w:val="20"/>
                            <w:lang w:val="en-AU"/>
                          </w:rPr>
                        </w:pPr>
                        <w:r w:rsidRPr="00A429FE">
                          <w:rPr>
                            <w:rFonts w:ascii="Times" w:eastAsia="Times New Roman" w:hAnsi="Times" w:cs="Times New Roman"/>
                            <w:sz w:val="20"/>
                            <w:szCs w:val="20"/>
                            <w:lang w:val="en-AU"/>
                          </w:rPr>
                          <w:t xml:space="preserve">Regulators in Emerging Markets should strengthen business conduct obligations; and </w:t>
                        </w:r>
                      </w:p>
                      <w:p w:rsidR="00A429FE" w:rsidRPr="00A429FE" w:rsidRDefault="00A429FE" w:rsidP="00A429FE">
                        <w:pPr>
                          <w:tabs>
                            <w:tab w:val="num" w:pos="720"/>
                          </w:tabs>
                          <w:spacing w:before="100" w:beforeAutospacing="1" w:after="100" w:afterAutospacing="1"/>
                          <w:ind w:left="720" w:hanging="360"/>
                          <w:rPr>
                            <w:rFonts w:ascii="Times" w:eastAsia="Times New Roman" w:hAnsi="Times" w:cs="Times New Roman"/>
                            <w:sz w:val="20"/>
                            <w:szCs w:val="20"/>
                            <w:lang w:val="en-AU"/>
                          </w:rPr>
                        </w:pPr>
                        <w:r w:rsidRPr="00A429FE">
                          <w:rPr>
                            <w:rFonts w:ascii="Times" w:eastAsia="Times New Roman" w:hAnsi="Times" w:cs="Times New Roman"/>
                            <w:sz w:val="20"/>
                            <w:szCs w:val="20"/>
                            <w:lang w:val="en-AU"/>
                          </w:rPr>
                          <w:t xml:space="preserve">Regulators in Emerging Markets should align credit rating agencies regulation with the IOSCO Code of Conduct.  </w:t>
                        </w:r>
                      </w:p>
                      <w:p w:rsidR="00A429FE" w:rsidRPr="00A429FE" w:rsidRDefault="00A429FE" w:rsidP="00A429FE">
                        <w:pPr>
                          <w:spacing w:before="100" w:beforeAutospacing="1" w:after="100" w:afterAutospacing="1"/>
                          <w:rPr>
                            <w:rFonts w:ascii="Times" w:hAnsi="Times" w:cs="Times New Roman"/>
                            <w:sz w:val="20"/>
                            <w:szCs w:val="20"/>
                            <w:lang w:val="en-AU"/>
                          </w:rPr>
                        </w:pPr>
                        <w:r w:rsidRPr="00A429FE">
                          <w:rPr>
                            <w:rFonts w:ascii="Times" w:hAnsi="Times" w:cs="Times New Roman"/>
                            <w:sz w:val="20"/>
                            <w:szCs w:val="20"/>
                            <w:lang w:val="en-AU"/>
                          </w:rPr>
                          <w:t xml:space="preserve">The report titled 'Effectiveness of Market Interventions in Emerging Markets' is available on the </w:t>
                        </w:r>
                        <w:r w:rsidRPr="00A429FE">
                          <w:rPr>
                            <w:rFonts w:ascii="Times" w:hAnsi="Times" w:cs="Times New Roman"/>
                            <w:sz w:val="20"/>
                            <w:szCs w:val="20"/>
                            <w:lang w:val="en-AU"/>
                          </w:rPr>
                          <w:fldChar w:fldCharType="begin"/>
                        </w:r>
                        <w:r w:rsidRPr="00A429FE">
                          <w:rPr>
                            <w:rFonts w:ascii="Times" w:hAnsi="Times" w:cs="Times New Roman"/>
                            <w:sz w:val="20"/>
                            <w:szCs w:val="20"/>
                            <w:lang w:val="en-AU"/>
                          </w:rPr>
                          <w:instrText xml:space="preserve"> HYPERLINK "http://www.iosco.org/library/pubdocs/pdf/IOSCOPD333.pdf" \t "_new" </w:instrText>
                        </w:r>
                        <w:r w:rsidRPr="00A429FE">
                          <w:rPr>
                            <w:rFonts w:ascii="Times" w:hAnsi="Times" w:cs="Times New Roman"/>
                            <w:sz w:val="20"/>
                            <w:szCs w:val="20"/>
                            <w:lang w:val="en-AU"/>
                          </w:rPr>
                        </w:r>
                        <w:r w:rsidRPr="00A429FE">
                          <w:rPr>
                            <w:rFonts w:ascii="Times" w:hAnsi="Times" w:cs="Times New Roman"/>
                            <w:sz w:val="20"/>
                            <w:szCs w:val="20"/>
                            <w:lang w:val="en-AU"/>
                          </w:rPr>
                          <w:fldChar w:fldCharType="separate"/>
                        </w:r>
                        <w:r w:rsidRPr="00A429FE">
                          <w:rPr>
                            <w:rFonts w:ascii="Times" w:hAnsi="Times" w:cs="Times New Roman"/>
                            <w:color w:val="0000FF"/>
                            <w:sz w:val="20"/>
                            <w:szCs w:val="20"/>
                            <w:u w:val="single"/>
                            <w:lang w:val="en-AU"/>
                          </w:rPr>
                          <w:t>IOSCO</w:t>
                        </w:r>
                        <w:r w:rsidRPr="00A429FE">
                          <w:rPr>
                            <w:rFonts w:ascii="Times" w:hAnsi="Times" w:cs="Times New Roman"/>
                            <w:sz w:val="20"/>
                            <w:szCs w:val="20"/>
                            <w:lang w:val="en-AU"/>
                          </w:rPr>
                          <w:fldChar w:fldCharType="end"/>
                        </w:r>
                        <w:r w:rsidRPr="00A429FE">
                          <w:rPr>
                            <w:rFonts w:ascii="Times" w:hAnsi="Times" w:cs="Times New Roman"/>
                            <w:sz w:val="20"/>
                            <w:szCs w:val="20"/>
                            <w:lang w:val="en-AU"/>
                          </w:rPr>
                          <w:t xml:space="preserve"> website.</w:t>
                        </w:r>
                        <w:r w:rsidRPr="00A429FE">
                          <w:rPr>
                            <w:rFonts w:ascii="Times" w:hAnsi="Times" w:cs="Times New Roman"/>
                            <w:sz w:val="20"/>
                            <w:szCs w:val="20"/>
                            <w:lang w:val="en-AU"/>
                          </w:rPr>
                          <w:br/>
                        </w:r>
                        <w:r w:rsidRPr="00A429FE">
                          <w:rPr>
                            <w:rFonts w:ascii="Times" w:hAnsi="Times" w:cs="Times New Roman"/>
                            <w:sz w:val="20"/>
                            <w:szCs w:val="20"/>
                            <w:lang w:val="en-AU"/>
                          </w:rPr>
                          <w:br/>
                          <w:t xml:space="preserve">The report titled 'Securitization and Securitized Debt Instruments in Emerging Markets' is available on the </w:t>
                        </w:r>
                        <w:r w:rsidRPr="00A429FE">
                          <w:rPr>
                            <w:rFonts w:ascii="Times" w:hAnsi="Times" w:cs="Times New Roman"/>
                            <w:sz w:val="20"/>
                            <w:szCs w:val="20"/>
                            <w:lang w:val="en-AU"/>
                          </w:rPr>
                          <w:fldChar w:fldCharType="begin"/>
                        </w:r>
                        <w:r w:rsidRPr="00A429FE">
                          <w:rPr>
                            <w:rFonts w:ascii="Times" w:hAnsi="Times" w:cs="Times New Roman"/>
                            <w:sz w:val="20"/>
                            <w:szCs w:val="20"/>
                            <w:lang w:val="en-AU"/>
                          </w:rPr>
                          <w:instrText xml:space="preserve"> HYPERLINK "http://www.iosco.org/library/pubdocs/pdf/IOSCOPD334.pdf" \t "_new" </w:instrText>
                        </w:r>
                        <w:r w:rsidRPr="00A429FE">
                          <w:rPr>
                            <w:rFonts w:ascii="Times" w:hAnsi="Times" w:cs="Times New Roman"/>
                            <w:sz w:val="20"/>
                            <w:szCs w:val="20"/>
                            <w:lang w:val="en-AU"/>
                          </w:rPr>
                        </w:r>
                        <w:r w:rsidRPr="00A429FE">
                          <w:rPr>
                            <w:rFonts w:ascii="Times" w:hAnsi="Times" w:cs="Times New Roman"/>
                            <w:sz w:val="20"/>
                            <w:szCs w:val="20"/>
                            <w:lang w:val="en-AU"/>
                          </w:rPr>
                          <w:fldChar w:fldCharType="separate"/>
                        </w:r>
                        <w:r w:rsidRPr="00A429FE">
                          <w:rPr>
                            <w:rFonts w:ascii="Times" w:hAnsi="Times" w:cs="Times New Roman"/>
                            <w:color w:val="0000FF"/>
                            <w:sz w:val="20"/>
                            <w:szCs w:val="20"/>
                            <w:u w:val="single"/>
                            <w:lang w:val="en-AU"/>
                          </w:rPr>
                          <w:t>IOSCO</w:t>
                        </w:r>
                        <w:r w:rsidRPr="00A429FE">
                          <w:rPr>
                            <w:rFonts w:ascii="Times" w:hAnsi="Times" w:cs="Times New Roman"/>
                            <w:sz w:val="20"/>
                            <w:szCs w:val="20"/>
                            <w:lang w:val="en-AU"/>
                          </w:rPr>
                          <w:fldChar w:fldCharType="end"/>
                        </w:r>
                        <w:r w:rsidRPr="00A429FE">
                          <w:rPr>
                            <w:rFonts w:ascii="Times" w:hAnsi="Times" w:cs="Times New Roman"/>
                            <w:sz w:val="20"/>
                            <w:szCs w:val="20"/>
                            <w:lang w:val="en-AU"/>
                          </w:rPr>
                          <w:t xml:space="preserve"> website.</w:t>
                        </w:r>
                      </w:p>
                      <w:p w:rsidR="00A429FE" w:rsidRPr="00A429FE" w:rsidRDefault="00A429FE" w:rsidP="00A429F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7042" name="Picture 17042" descr="etailed Contents">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42" descr="etailed Contents">
                                        <a:hlinkClick r:id="rId93"/>
                                      </pic:cNvPr>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A429FE" w:rsidRPr="00A429FE" w:rsidRDefault="00A429FE" w:rsidP="00A429FE">
                        <w:pPr>
                          <w:rPr>
                            <w:rFonts w:ascii="Times" w:eastAsia="Times New Roman" w:hAnsi="Times" w:cs="Times New Roman"/>
                            <w:sz w:val="20"/>
                            <w:szCs w:val="20"/>
                            <w:lang w:val="en-AU"/>
                          </w:rPr>
                        </w:pPr>
                        <w:r w:rsidRPr="00A429FE">
                          <w:rPr>
                            <w:rFonts w:ascii="Times" w:eastAsia="Times New Roman" w:hAnsi="Times" w:cs="Times New Roman"/>
                            <w:sz w:val="20"/>
                            <w:szCs w:val="20"/>
                            <w:lang w:val="en-AU"/>
                          </w:rPr>
                          <w:pict>
                            <v:rect id="_x0000_i18067" style="width:0;height:1.5pt" o:hralign="center" o:hrstd="t" o:hr="t" fillcolor="#aaa" stroked="f"/>
                          </w:pict>
                        </w:r>
                      </w:p>
                      <w:p w:rsidR="00A429FE" w:rsidRPr="00A429FE" w:rsidRDefault="00A429FE" w:rsidP="00A429FE">
                        <w:pPr>
                          <w:spacing w:before="100" w:beforeAutospacing="1" w:after="100" w:afterAutospacing="1"/>
                          <w:rPr>
                            <w:rFonts w:ascii="Times" w:hAnsi="Times" w:cs="Times New Roman"/>
                            <w:sz w:val="20"/>
                            <w:szCs w:val="20"/>
                            <w:lang w:val="en-AU"/>
                          </w:rPr>
                        </w:pPr>
                        <w:bookmarkStart w:id="11" w:name="016"/>
                        <w:bookmarkEnd w:id="11"/>
                        <w:r w:rsidRPr="00A429FE">
                          <w:rPr>
                            <w:rFonts w:ascii="Times" w:hAnsi="Times" w:cs="Times New Roman"/>
                            <w:b/>
                            <w:bCs/>
                            <w:sz w:val="20"/>
                            <w:szCs w:val="20"/>
                            <w:lang w:val="en-AU"/>
                          </w:rPr>
                          <w:t>1.6 SEC proposes rules to require issuer review of assets underlying asset-backed securities</w:t>
                        </w:r>
                        <w:r w:rsidRPr="00A429FE">
                          <w:rPr>
                            <w:rFonts w:ascii="Times" w:hAnsi="Times" w:cs="Times New Roman"/>
                            <w:sz w:val="20"/>
                            <w:szCs w:val="20"/>
                            <w:lang w:val="en-AU"/>
                          </w:rPr>
                          <w:br/>
                          <w:t> </w:t>
                        </w:r>
                        <w:r w:rsidRPr="00A429FE">
                          <w:rPr>
                            <w:rFonts w:ascii="Times" w:hAnsi="Times" w:cs="Times New Roman"/>
                            <w:sz w:val="20"/>
                            <w:szCs w:val="20"/>
                            <w:lang w:val="en-AU"/>
                          </w:rPr>
                          <w:br/>
                          <w:t xml:space="preserve">On 13 October 2010, the US Securities and Exchange Commission (SEC) issued a proposal to enhance disclosure to investors in the asset-backed securities market. </w:t>
                        </w:r>
                        <w:r w:rsidRPr="00A429FE">
                          <w:rPr>
                            <w:rFonts w:ascii="Times" w:hAnsi="Times" w:cs="Times New Roman"/>
                            <w:sz w:val="20"/>
                            <w:szCs w:val="20"/>
                            <w:lang w:val="en-AU"/>
                          </w:rPr>
                          <w:br/>
                          <w:t> </w:t>
                        </w:r>
                        <w:r w:rsidRPr="00A429FE">
                          <w:rPr>
                            <w:rFonts w:ascii="Times" w:hAnsi="Times" w:cs="Times New Roman"/>
                            <w:sz w:val="20"/>
                            <w:szCs w:val="20"/>
                            <w:lang w:val="en-AU"/>
                          </w:rPr>
                          <w:br/>
                          <w:t xml:space="preserve">The SEC's proposed rules require issuers of asset-backed securities (ABS) to perform a review of the assets underlying the securities and publicly disclose information relating to the review. The proposal also requires an issuer or underwriter of ABS to make publicly available the findings and conclusions of any third-party due diligence report. </w:t>
                        </w:r>
                        <w:r w:rsidRPr="00A429FE">
                          <w:rPr>
                            <w:rFonts w:ascii="Times" w:hAnsi="Times" w:cs="Times New Roman"/>
                            <w:sz w:val="20"/>
                            <w:szCs w:val="20"/>
                            <w:lang w:val="en-AU"/>
                          </w:rPr>
                          <w:br/>
                          <w:t> </w:t>
                        </w:r>
                        <w:r w:rsidRPr="00A429FE">
                          <w:rPr>
                            <w:rFonts w:ascii="Times" w:hAnsi="Times" w:cs="Times New Roman"/>
                            <w:sz w:val="20"/>
                            <w:szCs w:val="20"/>
                            <w:lang w:val="en-AU"/>
                          </w:rPr>
                          <w:br/>
                          <w:t>The SEC's proposal seeks to enhance ABS disclosure in three ways:</w:t>
                        </w:r>
                      </w:p>
                      <w:p w:rsidR="00A429FE" w:rsidRPr="00A429FE" w:rsidRDefault="00A429FE" w:rsidP="00A429FE">
                        <w:pPr>
                          <w:tabs>
                            <w:tab w:val="num" w:pos="720"/>
                          </w:tabs>
                          <w:spacing w:before="100" w:beforeAutospacing="1" w:after="100" w:afterAutospacing="1"/>
                          <w:ind w:left="720" w:hanging="360"/>
                          <w:rPr>
                            <w:rFonts w:ascii="Times" w:eastAsia="Times New Roman" w:hAnsi="Times" w:cs="Times New Roman"/>
                            <w:sz w:val="20"/>
                            <w:szCs w:val="20"/>
                            <w:lang w:val="en-AU"/>
                          </w:rPr>
                        </w:pPr>
                        <w:r w:rsidRPr="00A429FE">
                          <w:rPr>
                            <w:rFonts w:ascii="Times" w:eastAsia="Times New Roman" w:hAnsi="Times" w:cs="Times New Roman"/>
                            <w:sz w:val="20"/>
                            <w:szCs w:val="20"/>
                            <w:lang w:val="en-AU"/>
                          </w:rPr>
                          <w:t xml:space="preserve">Issuers of ABS that are registered with the SEC would be required to perform a review of the bundled assets that underlie the ABS. </w:t>
                        </w:r>
                      </w:p>
                      <w:p w:rsidR="00A429FE" w:rsidRPr="00A429FE" w:rsidRDefault="00A429FE" w:rsidP="00A429FE">
                        <w:pPr>
                          <w:tabs>
                            <w:tab w:val="num" w:pos="720"/>
                          </w:tabs>
                          <w:spacing w:before="100" w:beforeAutospacing="1" w:after="100" w:afterAutospacing="1"/>
                          <w:ind w:left="720" w:hanging="360"/>
                          <w:rPr>
                            <w:rFonts w:ascii="Times" w:eastAsia="Times New Roman" w:hAnsi="Times" w:cs="Times New Roman"/>
                            <w:sz w:val="20"/>
                            <w:szCs w:val="20"/>
                            <w:lang w:val="en-AU"/>
                          </w:rPr>
                        </w:pPr>
                        <w:r w:rsidRPr="00A429FE">
                          <w:rPr>
                            <w:rFonts w:ascii="Times" w:eastAsia="Times New Roman" w:hAnsi="Times" w:cs="Times New Roman"/>
                            <w:sz w:val="20"/>
                            <w:szCs w:val="20"/>
                            <w:lang w:val="en-AU"/>
                          </w:rPr>
                          <w:t xml:space="preserve">Proposed amendments to Regulation AB would require an ABS issuer to disclose the nature, findings and conclusions of this review of assets.  </w:t>
                        </w:r>
                      </w:p>
                      <w:p w:rsidR="00A429FE" w:rsidRPr="00A429FE" w:rsidRDefault="00A429FE" w:rsidP="00A429FE">
                        <w:pPr>
                          <w:tabs>
                            <w:tab w:val="num" w:pos="720"/>
                          </w:tabs>
                          <w:spacing w:before="100" w:beforeAutospacing="1" w:after="100" w:afterAutospacing="1"/>
                          <w:ind w:left="720" w:hanging="360"/>
                          <w:rPr>
                            <w:rFonts w:ascii="Times" w:eastAsia="Times New Roman" w:hAnsi="Times" w:cs="Times New Roman"/>
                            <w:sz w:val="20"/>
                            <w:szCs w:val="20"/>
                            <w:lang w:val="en-AU"/>
                          </w:rPr>
                        </w:pPr>
                        <w:r w:rsidRPr="00A429FE">
                          <w:rPr>
                            <w:rFonts w:ascii="Times" w:eastAsia="Times New Roman" w:hAnsi="Times" w:cs="Times New Roman"/>
                            <w:sz w:val="20"/>
                            <w:szCs w:val="20"/>
                            <w:lang w:val="en-AU"/>
                          </w:rPr>
                          <w:t xml:space="preserve">The issuer or underwriter for both registered and unregistered ABS offerings would be required to disclose the findings and conclusions of any review performed by a third party that was hired to conduct such a review.  </w:t>
                        </w:r>
                      </w:p>
                      <w:p w:rsidR="00A429FE" w:rsidRPr="00A429FE" w:rsidRDefault="00A429FE" w:rsidP="00A429FE">
                        <w:pPr>
                          <w:spacing w:before="100" w:beforeAutospacing="1" w:after="100" w:afterAutospacing="1"/>
                          <w:rPr>
                            <w:rFonts w:ascii="Times" w:hAnsi="Times" w:cs="Times New Roman"/>
                            <w:sz w:val="20"/>
                            <w:szCs w:val="20"/>
                            <w:lang w:val="en-AU"/>
                          </w:rPr>
                        </w:pPr>
                        <w:r w:rsidRPr="00A429FE">
                          <w:rPr>
                            <w:rFonts w:ascii="Times" w:hAnsi="Times" w:cs="Times New Roman"/>
                            <w:sz w:val="20"/>
                            <w:szCs w:val="20"/>
                            <w:lang w:val="en-AU"/>
                          </w:rPr>
                          <w:t xml:space="preserve">The Proposed Rule Release No. 33-9150 is available on the </w:t>
                        </w:r>
                        <w:r w:rsidRPr="00A429FE">
                          <w:rPr>
                            <w:rFonts w:ascii="Times" w:hAnsi="Times" w:cs="Times New Roman"/>
                            <w:sz w:val="20"/>
                            <w:szCs w:val="20"/>
                            <w:lang w:val="en-AU"/>
                          </w:rPr>
                          <w:fldChar w:fldCharType="begin"/>
                        </w:r>
                        <w:r w:rsidRPr="00A429FE">
                          <w:rPr>
                            <w:rFonts w:ascii="Times" w:hAnsi="Times" w:cs="Times New Roman"/>
                            <w:sz w:val="20"/>
                            <w:szCs w:val="20"/>
                            <w:lang w:val="en-AU"/>
                          </w:rPr>
                          <w:instrText xml:space="preserve"> HYPERLINK "http://www.sec.gov/rules/proposed/2010/33-9150.pdf" \t "_new" </w:instrText>
                        </w:r>
                        <w:r w:rsidRPr="00A429FE">
                          <w:rPr>
                            <w:rFonts w:ascii="Times" w:hAnsi="Times" w:cs="Times New Roman"/>
                            <w:sz w:val="20"/>
                            <w:szCs w:val="20"/>
                            <w:lang w:val="en-AU"/>
                          </w:rPr>
                        </w:r>
                        <w:r w:rsidRPr="00A429FE">
                          <w:rPr>
                            <w:rFonts w:ascii="Times" w:hAnsi="Times" w:cs="Times New Roman"/>
                            <w:sz w:val="20"/>
                            <w:szCs w:val="20"/>
                            <w:lang w:val="en-AU"/>
                          </w:rPr>
                          <w:fldChar w:fldCharType="separate"/>
                        </w:r>
                        <w:r w:rsidRPr="00A429FE">
                          <w:rPr>
                            <w:rFonts w:ascii="Times" w:hAnsi="Times" w:cs="Times New Roman"/>
                            <w:color w:val="0000FF"/>
                            <w:sz w:val="20"/>
                            <w:szCs w:val="20"/>
                            <w:u w:val="single"/>
                            <w:lang w:val="en-AU"/>
                          </w:rPr>
                          <w:t>SEC</w:t>
                        </w:r>
                        <w:r w:rsidRPr="00A429FE">
                          <w:rPr>
                            <w:rFonts w:ascii="Times" w:hAnsi="Times" w:cs="Times New Roman"/>
                            <w:sz w:val="20"/>
                            <w:szCs w:val="20"/>
                            <w:lang w:val="en-AU"/>
                          </w:rPr>
                          <w:fldChar w:fldCharType="end"/>
                        </w:r>
                        <w:r w:rsidRPr="00A429FE">
                          <w:rPr>
                            <w:rFonts w:ascii="Times" w:hAnsi="Times" w:cs="Times New Roman"/>
                            <w:sz w:val="20"/>
                            <w:szCs w:val="20"/>
                            <w:lang w:val="en-AU"/>
                          </w:rPr>
                          <w:t xml:space="preserve"> website.</w:t>
                        </w:r>
                      </w:p>
                      <w:p w:rsidR="00A429FE" w:rsidRPr="00A429FE" w:rsidRDefault="00A429FE" w:rsidP="00A429F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7044" name="Picture 17044" descr="etailed Contents">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44" descr="etailed Contents">
                                        <a:hlinkClick r:id="rId93"/>
                                      </pic:cNvPr>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A429FE" w:rsidRPr="00A429FE" w:rsidRDefault="00A429FE" w:rsidP="00A429FE">
                        <w:pPr>
                          <w:rPr>
                            <w:rFonts w:ascii="Times" w:eastAsia="Times New Roman" w:hAnsi="Times" w:cs="Times New Roman"/>
                            <w:sz w:val="20"/>
                            <w:szCs w:val="20"/>
                            <w:lang w:val="en-AU"/>
                          </w:rPr>
                        </w:pPr>
                        <w:r w:rsidRPr="00A429FE">
                          <w:rPr>
                            <w:rFonts w:ascii="Times" w:eastAsia="Times New Roman" w:hAnsi="Times" w:cs="Times New Roman"/>
                            <w:sz w:val="20"/>
                            <w:szCs w:val="20"/>
                            <w:lang w:val="en-AU"/>
                          </w:rPr>
                          <w:pict>
                            <v:rect id="_x0000_i18069" style="width:0;height:1.5pt" o:hralign="center" o:hrstd="t" o:hr="t" fillcolor="#aaa" stroked="f"/>
                          </w:pict>
                        </w:r>
                      </w:p>
                      <w:p w:rsidR="00A429FE" w:rsidRPr="00A429FE" w:rsidRDefault="00A429FE" w:rsidP="00A429FE">
                        <w:pPr>
                          <w:spacing w:before="100" w:beforeAutospacing="1" w:after="100" w:afterAutospacing="1"/>
                          <w:rPr>
                            <w:rFonts w:ascii="Times" w:hAnsi="Times" w:cs="Times New Roman"/>
                            <w:sz w:val="20"/>
                            <w:szCs w:val="20"/>
                            <w:lang w:val="en-AU"/>
                          </w:rPr>
                        </w:pPr>
                        <w:bookmarkStart w:id="12" w:name="017"/>
                        <w:bookmarkEnd w:id="12"/>
                        <w:r w:rsidRPr="00A429FE">
                          <w:rPr>
                            <w:rFonts w:ascii="Times" w:hAnsi="Times" w:cs="Times New Roman"/>
                            <w:b/>
                            <w:bCs/>
                            <w:sz w:val="20"/>
                            <w:szCs w:val="20"/>
                            <w:lang w:val="en-AU"/>
                          </w:rPr>
                          <w:t>1.7 SEC proposes rules to mitigate conflicts of interest involving security-based swaps</w:t>
                        </w:r>
                        <w:r w:rsidRPr="00A429FE">
                          <w:rPr>
                            <w:rFonts w:ascii="Times" w:hAnsi="Times" w:cs="Times New Roman"/>
                            <w:sz w:val="20"/>
                            <w:szCs w:val="20"/>
                            <w:lang w:val="en-AU"/>
                          </w:rPr>
                          <w:br/>
                        </w:r>
                        <w:r w:rsidRPr="00A429FE">
                          <w:rPr>
                            <w:rFonts w:ascii="Times" w:hAnsi="Times" w:cs="Times New Roman"/>
                            <w:sz w:val="20"/>
                            <w:szCs w:val="20"/>
                            <w:lang w:val="en-AU"/>
                          </w:rPr>
                          <w:br/>
                          <w:t>On 13 October 2010, the US Securities and Exchange Commission (SEC) proposed rules intended to mitigate conflicts of interest for security-based swap clearing agencies, security-based swap execution facilities, and national securities exchanges that post security-based swaps or make them available for trading.</w:t>
                        </w:r>
                        <w:r w:rsidRPr="00A429FE">
                          <w:rPr>
                            <w:rFonts w:ascii="Times" w:hAnsi="Times" w:cs="Times New Roman"/>
                            <w:sz w:val="20"/>
                            <w:szCs w:val="20"/>
                            <w:lang w:val="en-AU"/>
                          </w:rPr>
                          <w:br/>
                          <w:t> </w:t>
                        </w:r>
                        <w:r w:rsidRPr="00A429FE">
                          <w:rPr>
                            <w:rFonts w:ascii="Times" w:hAnsi="Times" w:cs="Times New Roman"/>
                            <w:sz w:val="20"/>
                            <w:szCs w:val="20"/>
                            <w:lang w:val="en-AU"/>
                          </w:rPr>
                          <w:br/>
                          <w:t>Prior to passage of the Dodd-Frank Act, the over-the-counter derivatives market was largely unregulated. The new law fills a number of significant regulatory gaps and gives the SEC important new tools to better protect investors.</w:t>
                        </w:r>
                        <w:r w:rsidRPr="00A429FE">
                          <w:rPr>
                            <w:rFonts w:ascii="Times" w:hAnsi="Times" w:cs="Times New Roman"/>
                            <w:sz w:val="20"/>
                            <w:szCs w:val="20"/>
                            <w:lang w:val="en-AU"/>
                          </w:rPr>
                          <w:br/>
                          <w:t> </w:t>
                        </w:r>
                        <w:r w:rsidRPr="00A429FE">
                          <w:rPr>
                            <w:rFonts w:ascii="Times" w:hAnsi="Times" w:cs="Times New Roman"/>
                            <w:sz w:val="20"/>
                            <w:szCs w:val="20"/>
                            <w:lang w:val="en-AU"/>
                          </w:rPr>
                          <w:br/>
                          <w:t>The SEC's proposed rules known as Proposed Regulation MC require security-based swap clearing agencies, security-based SEFs and security-based swap exchanges to adopt ownership and voting limitations as well as certain governance requirements.</w:t>
                        </w:r>
                        <w:r w:rsidRPr="00A429FE">
                          <w:rPr>
                            <w:rFonts w:ascii="Times" w:hAnsi="Times" w:cs="Times New Roman"/>
                            <w:sz w:val="20"/>
                            <w:szCs w:val="20"/>
                            <w:lang w:val="en-AU"/>
                          </w:rPr>
                          <w:br/>
                          <w:t> </w:t>
                        </w:r>
                        <w:r w:rsidRPr="00A429FE">
                          <w:rPr>
                            <w:rFonts w:ascii="Times" w:hAnsi="Times" w:cs="Times New Roman"/>
                            <w:sz w:val="20"/>
                            <w:szCs w:val="20"/>
                            <w:lang w:val="en-AU"/>
                          </w:rPr>
                          <w:br/>
                          <w:t xml:space="preserve">The Proposed Regulation is available on the </w:t>
                        </w:r>
                        <w:r w:rsidRPr="00A429FE">
                          <w:rPr>
                            <w:rFonts w:ascii="Times" w:hAnsi="Times" w:cs="Times New Roman"/>
                            <w:sz w:val="20"/>
                            <w:szCs w:val="20"/>
                            <w:lang w:val="en-AU"/>
                          </w:rPr>
                          <w:fldChar w:fldCharType="begin"/>
                        </w:r>
                        <w:r w:rsidRPr="00A429FE">
                          <w:rPr>
                            <w:rFonts w:ascii="Times" w:hAnsi="Times" w:cs="Times New Roman"/>
                            <w:sz w:val="20"/>
                            <w:szCs w:val="20"/>
                            <w:lang w:val="en-AU"/>
                          </w:rPr>
                          <w:instrText xml:space="preserve"> HYPERLINK "http://www.sec.gov/rules/proposed/2010/34-63107.pdf" \t "_new" </w:instrText>
                        </w:r>
                        <w:r w:rsidRPr="00A429FE">
                          <w:rPr>
                            <w:rFonts w:ascii="Times" w:hAnsi="Times" w:cs="Times New Roman"/>
                            <w:sz w:val="20"/>
                            <w:szCs w:val="20"/>
                            <w:lang w:val="en-AU"/>
                          </w:rPr>
                        </w:r>
                        <w:r w:rsidRPr="00A429FE">
                          <w:rPr>
                            <w:rFonts w:ascii="Times" w:hAnsi="Times" w:cs="Times New Roman"/>
                            <w:sz w:val="20"/>
                            <w:szCs w:val="20"/>
                            <w:lang w:val="en-AU"/>
                          </w:rPr>
                          <w:fldChar w:fldCharType="separate"/>
                        </w:r>
                        <w:r w:rsidRPr="00A429FE">
                          <w:rPr>
                            <w:rFonts w:ascii="Times" w:hAnsi="Times" w:cs="Times New Roman"/>
                            <w:color w:val="0000FF"/>
                            <w:sz w:val="20"/>
                            <w:szCs w:val="20"/>
                            <w:u w:val="single"/>
                            <w:lang w:val="en-AU"/>
                          </w:rPr>
                          <w:t>SEC</w:t>
                        </w:r>
                        <w:r w:rsidRPr="00A429FE">
                          <w:rPr>
                            <w:rFonts w:ascii="Times" w:hAnsi="Times" w:cs="Times New Roman"/>
                            <w:sz w:val="20"/>
                            <w:szCs w:val="20"/>
                            <w:lang w:val="en-AU"/>
                          </w:rPr>
                          <w:fldChar w:fldCharType="end"/>
                        </w:r>
                        <w:r w:rsidRPr="00A429FE">
                          <w:rPr>
                            <w:rFonts w:ascii="Times" w:hAnsi="Times" w:cs="Times New Roman"/>
                            <w:sz w:val="20"/>
                            <w:szCs w:val="20"/>
                            <w:lang w:val="en-AU"/>
                          </w:rPr>
                          <w:t xml:space="preserve"> website.</w:t>
                        </w:r>
                      </w:p>
                      <w:p w:rsidR="00A429FE" w:rsidRPr="00A429FE" w:rsidRDefault="00A429FE" w:rsidP="00A429F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7046" name="Picture 17046" descr="etailed Contents">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46" descr="etailed Contents">
                                        <a:hlinkClick r:id="rId93"/>
                                      </pic:cNvPr>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A429FE" w:rsidRPr="00A429FE" w:rsidRDefault="00A429FE" w:rsidP="00A429FE">
                        <w:pPr>
                          <w:rPr>
                            <w:rFonts w:ascii="Times" w:eastAsia="Times New Roman" w:hAnsi="Times" w:cs="Times New Roman"/>
                            <w:sz w:val="20"/>
                            <w:szCs w:val="20"/>
                            <w:lang w:val="en-AU"/>
                          </w:rPr>
                        </w:pPr>
                        <w:r w:rsidRPr="00A429FE">
                          <w:rPr>
                            <w:rFonts w:ascii="Times" w:eastAsia="Times New Roman" w:hAnsi="Times" w:cs="Times New Roman"/>
                            <w:sz w:val="20"/>
                            <w:szCs w:val="20"/>
                            <w:lang w:val="en-AU"/>
                          </w:rPr>
                          <w:pict>
                            <v:rect id="_x0000_i18071" style="width:0;height:1.5pt" o:hralign="center" o:hrstd="t" o:hr="t" fillcolor="#aaa" stroked="f"/>
                          </w:pict>
                        </w:r>
                      </w:p>
                      <w:p w:rsidR="00A429FE" w:rsidRPr="00A429FE" w:rsidRDefault="00A429FE" w:rsidP="00A429FE">
                        <w:pPr>
                          <w:spacing w:before="100" w:beforeAutospacing="1" w:after="100" w:afterAutospacing="1"/>
                          <w:rPr>
                            <w:rFonts w:ascii="Times" w:hAnsi="Times" w:cs="Times New Roman"/>
                            <w:sz w:val="20"/>
                            <w:szCs w:val="20"/>
                            <w:lang w:val="en-AU"/>
                          </w:rPr>
                        </w:pPr>
                        <w:bookmarkStart w:id="13" w:name="018"/>
                        <w:bookmarkEnd w:id="13"/>
                        <w:r w:rsidRPr="00A429FE">
                          <w:rPr>
                            <w:rFonts w:ascii="Times" w:hAnsi="Times" w:cs="Times New Roman"/>
                            <w:b/>
                            <w:bCs/>
                            <w:sz w:val="20"/>
                            <w:szCs w:val="20"/>
                            <w:lang w:val="en-AU"/>
                          </w:rPr>
                          <w:t xml:space="preserve">1.8 European Commission consults on how the European audit market can be improved </w:t>
                        </w:r>
                        <w:r w:rsidRPr="00A429FE">
                          <w:rPr>
                            <w:rFonts w:ascii="Times" w:hAnsi="Times" w:cs="Times New Roman"/>
                            <w:b/>
                            <w:bCs/>
                            <w:sz w:val="20"/>
                            <w:szCs w:val="20"/>
                            <w:lang w:val="en-AU"/>
                          </w:rPr>
                          <w:br/>
                        </w:r>
                        <w:r w:rsidRPr="00A429FE">
                          <w:rPr>
                            <w:rFonts w:ascii="Times" w:hAnsi="Times" w:cs="Times New Roman"/>
                            <w:sz w:val="20"/>
                            <w:szCs w:val="20"/>
                            <w:lang w:val="en-AU"/>
                          </w:rPr>
                          <w:t> </w:t>
                        </w:r>
                        <w:r w:rsidRPr="00A429FE">
                          <w:rPr>
                            <w:rFonts w:ascii="Times" w:hAnsi="Times" w:cs="Times New Roman"/>
                            <w:sz w:val="20"/>
                            <w:szCs w:val="20"/>
                            <w:lang w:val="en-AU"/>
                          </w:rPr>
                          <w:br/>
                          <w:t xml:space="preserve">13 October 2010, the European Commission launched a consultation on how the European audit market can be improved. </w:t>
                        </w:r>
                        <w:r w:rsidRPr="00A429FE">
                          <w:rPr>
                            <w:rFonts w:ascii="Times" w:hAnsi="Times" w:cs="Times New Roman"/>
                            <w:sz w:val="20"/>
                            <w:szCs w:val="20"/>
                            <w:lang w:val="en-AU"/>
                          </w:rPr>
                          <w:br/>
                        </w:r>
                        <w:r w:rsidRPr="00A429FE">
                          <w:rPr>
                            <w:rFonts w:ascii="Times" w:hAnsi="Times" w:cs="Times New Roman"/>
                            <w:sz w:val="20"/>
                            <w:szCs w:val="20"/>
                            <w:lang w:val="en-AU"/>
                          </w:rPr>
                          <w:br/>
                          <w:t xml:space="preserve">The Commission is keen to discuss whether audits provide the right information to all financial actors, whether there are issues around the independence of audit firms, whether there are risks linked to a concentrated market, whether supervision at a European level might be useful and how best the specific needs of small and medium sized businesses may be met. </w:t>
                        </w:r>
                        <w:r w:rsidRPr="00A429FE">
                          <w:rPr>
                            <w:rFonts w:ascii="Times" w:hAnsi="Times" w:cs="Times New Roman"/>
                            <w:sz w:val="20"/>
                            <w:szCs w:val="20"/>
                            <w:lang w:val="en-AU"/>
                          </w:rPr>
                          <w:br/>
                          <w:t> </w:t>
                        </w:r>
                        <w:r w:rsidRPr="00A429FE">
                          <w:rPr>
                            <w:rFonts w:ascii="Times" w:hAnsi="Times" w:cs="Times New Roman"/>
                            <w:sz w:val="20"/>
                            <w:szCs w:val="20"/>
                            <w:lang w:val="en-AU"/>
                          </w:rPr>
                          <w:br/>
                          <w:t>There are a number of areas which the Commission believes need to be explored further, in particular:</w:t>
                        </w:r>
                      </w:p>
                      <w:p w:rsidR="00A429FE" w:rsidRPr="00A429FE" w:rsidRDefault="00A429FE" w:rsidP="00A429FE">
                        <w:pPr>
                          <w:tabs>
                            <w:tab w:val="num" w:pos="720"/>
                          </w:tabs>
                          <w:spacing w:before="100" w:beforeAutospacing="1" w:after="100" w:afterAutospacing="1"/>
                          <w:ind w:left="720" w:hanging="360"/>
                          <w:rPr>
                            <w:rFonts w:ascii="Times" w:eastAsia="Times New Roman" w:hAnsi="Times" w:cs="Times New Roman"/>
                            <w:sz w:val="20"/>
                            <w:szCs w:val="20"/>
                            <w:lang w:val="en-AU"/>
                          </w:rPr>
                        </w:pPr>
                        <w:r w:rsidRPr="00A429FE">
                          <w:rPr>
                            <w:rFonts w:ascii="Times" w:eastAsia="Times New Roman" w:hAnsi="Times" w:cs="Times New Roman"/>
                            <w:sz w:val="20"/>
                            <w:szCs w:val="20"/>
                            <w:lang w:val="en-AU"/>
                          </w:rPr>
                          <w:t xml:space="preserve">the independence of auditors - it is unclear if auditors are truly detached and critical when examining the financial statements of a company when that same company is an existing or potential client for non audit services; </w:t>
                        </w:r>
                      </w:p>
                      <w:p w:rsidR="00A429FE" w:rsidRPr="00A429FE" w:rsidRDefault="00A429FE" w:rsidP="00A429FE">
                        <w:pPr>
                          <w:tabs>
                            <w:tab w:val="num" w:pos="720"/>
                          </w:tabs>
                          <w:spacing w:before="100" w:beforeAutospacing="1" w:after="100" w:afterAutospacing="1"/>
                          <w:ind w:left="720" w:hanging="360"/>
                          <w:rPr>
                            <w:rFonts w:ascii="Times" w:eastAsia="Times New Roman" w:hAnsi="Times" w:cs="Times New Roman"/>
                            <w:sz w:val="20"/>
                            <w:szCs w:val="20"/>
                            <w:lang w:val="en-AU"/>
                          </w:rPr>
                        </w:pPr>
                        <w:r w:rsidRPr="00A429FE">
                          <w:rPr>
                            <w:rFonts w:ascii="Times" w:eastAsia="Times New Roman" w:hAnsi="Times" w:cs="Times New Roman"/>
                            <w:sz w:val="20"/>
                            <w:szCs w:val="20"/>
                            <w:lang w:val="en-AU"/>
                          </w:rPr>
                          <w:t xml:space="preserve">the reliance stakeholders can place on audited financial statements. That is why the Commission seeks to understand what 'expectation gaps', if any, exist amongst stakeholders with regard to the scope and the methodology of audit; </w:t>
                        </w:r>
                      </w:p>
                      <w:p w:rsidR="00A429FE" w:rsidRPr="00A429FE" w:rsidRDefault="00A429FE" w:rsidP="00A429FE">
                        <w:pPr>
                          <w:tabs>
                            <w:tab w:val="num" w:pos="720"/>
                          </w:tabs>
                          <w:spacing w:before="100" w:beforeAutospacing="1" w:after="100" w:afterAutospacing="1"/>
                          <w:ind w:left="720" w:hanging="360"/>
                          <w:rPr>
                            <w:rFonts w:ascii="Times" w:eastAsia="Times New Roman" w:hAnsi="Times" w:cs="Times New Roman"/>
                            <w:sz w:val="20"/>
                            <w:szCs w:val="20"/>
                            <w:lang w:val="en-AU"/>
                          </w:rPr>
                        </w:pPr>
                        <w:r w:rsidRPr="00A429FE">
                          <w:rPr>
                            <w:rFonts w:ascii="Times" w:eastAsia="Times New Roman" w:hAnsi="Times" w:cs="Times New Roman"/>
                            <w:sz w:val="20"/>
                            <w:szCs w:val="20"/>
                            <w:lang w:val="en-AU"/>
                          </w:rPr>
                          <w:t xml:space="preserve">the potential for systemic risk because of the strong concentration in the audit sector (what consequences could there be for the wider financial system if one of the big audit firms closed down?); </w:t>
                        </w:r>
                      </w:p>
                      <w:p w:rsidR="00A429FE" w:rsidRPr="00A429FE" w:rsidRDefault="00A429FE" w:rsidP="00A429FE">
                        <w:pPr>
                          <w:tabs>
                            <w:tab w:val="num" w:pos="720"/>
                          </w:tabs>
                          <w:spacing w:before="100" w:beforeAutospacing="1" w:after="100" w:afterAutospacing="1"/>
                          <w:ind w:left="720" w:hanging="360"/>
                          <w:rPr>
                            <w:rFonts w:ascii="Times" w:eastAsia="Times New Roman" w:hAnsi="Times" w:cs="Times New Roman"/>
                            <w:sz w:val="20"/>
                            <w:szCs w:val="20"/>
                            <w:lang w:val="en-AU"/>
                          </w:rPr>
                        </w:pPr>
                        <w:r w:rsidRPr="00A429FE">
                          <w:rPr>
                            <w:rFonts w:ascii="Times" w:eastAsia="Times New Roman" w:hAnsi="Times" w:cs="Times New Roman"/>
                            <w:sz w:val="20"/>
                            <w:szCs w:val="20"/>
                            <w:lang w:val="en-AU"/>
                          </w:rPr>
                          <w:t xml:space="preserve">the role played by supervisors, and whether national supervision is fully effective; </w:t>
                        </w:r>
                      </w:p>
                      <w:p w:rsidR="00A429FE" w:rsidRPr="00A429FE" w:rsidRDefault="00A429FE" w:rsidP="00A429FE">
                        <w:pPr>
                          <w:tabs>
                            <w:tab w:val="num" w:pos="720"/>
                          </w:tabs>
                          <w:spacing w:before="100" w:beforeAutospacing="1" w:after="100" w:afterAutospacing="1"/>
                          <w:ind w:left="720" w:hanging="360"/>
                          <w:rPr>
                            <w:rFonts w:ascii="Times" w:eastAsia="Times New Roman" w:hAnsi="Times" w:cs="Times New Roman"/>
                            <w:sz w:val="20"/>
                            <w:szCs w:val="20"/>
                            <w:lang w:val="en-AU"/>
                          </w:rPr>
                        </w:pPr>
                        <w:r w:rsidRPr="00A429FE">
                          <w:rPr>
                            <w:rFonts w:ascii="Times" w:eastAsia="Times New Roman" w:hAnsi="Times" w:cs="Times New Roman"/>
                            <w:sz w:val="20"/>
                            <w:szCs w:val="20"/>
                            <w:lang w:val="en-AU"/>
                          </w:rPr>
                          <w:t xml:space="preserve">the potential for a real internal market for audit and the removal of barriers which currently make audit a mainly national market. In that context, the concept of a European passport for auditors should be explored further; </w:t>
                        </w:r>
                      </w:p>
                      <w:p w:rsidR="00A429FE" w:rsidRPr="00A429FE" w:rsidRDefault="00A429FE" w:rsidP="00A429FE">
                        <w:pPr>
                          <w:tabs>
                            <w:tab w:val="num" w:pos="720"/>
                          </w:tabs>
                          <w:spacing w:before="100" w:beforeAutospacing="1" w:after="100" w:afterAutospacing="1"/>
                          <w:ind w:left="720" w:hanging="360"/>
                          <w:rPr>
                            <w:rFonts w:ascii="Times" w:eastAsia="Times New Roman" w:hAnsi="Times" w:cs="Times New Roman"/>
                            <w:sz w:val="20"/>
                            <w:szCs w:val="20"/>
                            <w:lang w:val="en-AU"/>
                          </w:rPr>
                        </w:pPr>
                        <w:r w:rsidRPr="00A429FE">
                          <w:rPr>
                            <w:rFonts w:ascii="Times" w:eastAsia="Times New Roman" w:hAnsi="Times" w:cs="Times New Roman"/>
                            <w:sz w:val="20"/>
                            <w:szCs w:val="20"/>
                            <w:lang w:val="en-AU"/>
                          </w:rPr>
                          <w:t xml:space="preserve">the specific needs of small businesses - ensure proportional application of rules to SMEs; and </w:t>
                        </w:r>
                      </w:p>
                      <w:p w:rsidR="00A429FE" w:rsidRPr="00A429FE" w:rsidRDefault="00A429FE" w:rsidP="00A429FE">
                        <w:pPr>
                          <w:tabs>
                            <w:tab w:val="num" w:pos="720"/>
                          </w:tabs>
                          <w:spacing w:before="100" w:beforeAutospacing="1" w:after="100" w:afterAutospacing="1"/>
                          <w:ind w:left="720" w:hanging="360"/>
                          <w:rPr>
                            <w:rFonts w:ascii="Times" w:eastAsia="Times New Roman" w:hAnsi="Times" w:cs="Times New Roman"/>
                            <w:sz w:val="20"/>
                            <w:szCs w:val="20"/>
                            <w:lang w:val="en-AU"/>
                          </w:rPr>
                        </w:pPr>
                        <w:r w:rsidRPr="00A429FE">
                          <w:rPr>
                            <w:rFonts w:ascii="Times" w:eastAsia="Times New Roman" w:hAnsi="Times" w:cs="Times New Roman"/>
                            <w:sz w:val="20"/>
                            <w:szCs w:val="20"/>
                            <w:lang w:val="en-AU"/>
                          </w:rPr>
                          <w:t xml:space="preserve">the global context: audit is a global market with firms operating as global networks; to this extent it is important to co-ordinate efforts at an international level.  </w:t>
                        </w:r>
                      </w:p>
                      <w:p w:rsidR="00A429FE" w:rsidRPr="00A429FE" w:rsidRDefault="00A429FE" w:rsidP="00A429FE">
                        <w:pPr>
                          <w:spacing w:before="100" w:beforeAutospacing="1" w:after="100" w:afterAutospacing="1"/>
                          <w:rPr>
                            <w:rFonts w:ascii="Times" w:hAnsi="Times" w:cs="Times New Roman"/>
                            <w:sz w:val="20"/>
                            <w:szCs w:val="20"/>
                            <w:lang w:val="en-AU"/>
                          </w:rPr>
                        </w:pPr>
                        <w:r w:rsidRPr="00A429FE">
                          <w:rPr>
                            <w:rFonts w:ascii="Times" w:hAnsi="Times" w:cs="Times New Roman"/>
                            <w:sz w:val="20"/>
                            <w:szCs w:val="20"/>
                            <w:lang w:val="en-AU"/>
                          </w:rPr>
                          <w:t xml:space="preserve">The consultation paper is available on the </w:t>
                        </w:r>
                        <w:r w:rsidRPr="00A429FE">
                          <w:rPr>
                            <w:rFonts w:ascii="Times" w:hAnsi="Times" w:cs="Times New Roman"/>
                            <w:sz w:val="20"/>
                            <w:szCs w:val="20"/>
                            <w:lang w:val="en-AU"/>
                          </w:rPr>
                          <w:fldChar w:fldCharType="begin"/>
                        </w:r>
                        <w:r w:rsidRPr="00A429FE">
                          <w:rPr>
                            <w:rFonts w:ascii="Times" w:hAnsi="Times" w:cs="Times New Roman"/>
                            <w:sz w:val="20"/>
                            <w:szCs w:val="20"/>
                            <w:lang w:val="en-AU"/>
                          </w:rPr>
                          <w:instrText xml:space="preserve"> HYPERLINK "http://ec.europa.eu/internal_market/auditing/otherdocs/index_en.htm" \t "_new" </w:instrText>
                        </w:r>
                        <w:r w:rsidRPr="00A429FE">
                          <w:rPr>
                            <w:rFonts w:ascii="Times" w:hAnsi="Times" w:cs="Times New Roman"/>
                            <w:sz w:val="20"/>
                            <w:szCs w:val="20"/>
                            <w:lang w:val="en-AU"/>
                          </w:rPr>
                        </w:r>
                        <w:r w:rsidRPr="00A429FE">
                          <w:rPr>
                            <w:rFonts w:ascii="Times" w:hAnsi="Times" w:cs="Times New Roman"/>
                            <w:sz w:val="20"/>
                            <w:szCs w:val="20"/>
                            <w:lang w:val="en-AU"/>
                          </w:rPr>
                          <w:fldChar w:fldCharType="separate"/>
                        </w:r>
                        <w:r w:rsidRPr="00A429FE">
                          <w:rPr>
                            <w:rFonts w:ascii="Times" w:hAnsi="Times" w:cs="Times New Roman"/>
                            <w:color w:val="0000FF"/>
                            <w:sz w:val="20"/>
                            <w:szCs w:val="20"/>
                            <w:u w:val="single"/>
                            <w:lang w:val="en-AU"/>
                          </w:rPr>
                          <w:t>European Commission</w:t>
                        </w:r>
                        <w:r w:rsidRPr="00A429FE">
                          <w:rPr>
                            <w:rFonts w:ascii="Times" w:hAnsi="Times" w:cs="Times New Roman"/>
                            <w:sz w:val="20"/>
                            <w:szCs w:val="20"/>
                            <w:lang w:val="en-AU"/>
                          </w:rPr>
                          <w:fldChar w:fldCharType="end"/>
                        </w:r>
                        <w:r w:rsidRPr="00A429FE">
                          <w:rPr>
                            <w:rFonts w:ascii="Times" w:hAnsi="Times" w:cs="Times New Roman"/>
                            <w:sz w:val="20"/>
                            <w:szCs w:val="20"/>
                            <w:lang w:val="en-AU"/>
                          </w:rPr>
                          <w:t xml:space="preserve"> website.</w:t>
                        </w:r>
                      </w:p>
                      <w:p w:rsidR="00A429FE" w:rsidRPr="00A429FE" w:rsidRDefault="00A429FE" w:rsidP="00A429F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7048" name="Picture 17048" descr="etailed Contents">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48" descr="etailed Contents">
                                        <a:hlinkClick r:id="rId93"/>
                                      </pic:cNvPr>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A429FE" w:rsidRPr="00A429FE" w:rsidRDefault="00A429FE" w:rsidP="00A429FE">
                        <w:pPr>
                          <w:rPr>
                            <w:rFonts w:ascii="Times" w:eastAsia="Times New Roman" w:hAnsi="Times" w:cs="Times New Roman"/>
                            <w:sz w:val="20"/>
                            <w:szCs w:val="20"/>
                            <w:lang w:val="en-AU"/>
                          </w:rPr>
                        </w:pPr>
                        <w:r w:rsidRPr="00A429FE">
                          <w:rPr>
                            <w:rFonts w:ascii="Times" w:eastAsia="Times New Roman" w:hAnsi="Times" w:cs="Times New Roman"/>
                            <w:sz w:val="20"/>
                            <w:szCs w:val="20"/>
                            <w:lang w:val="en-AU"/>
                          </w:rPr>
                          <w:pict>
                            <v:rect id="_x0000_i18073" style="width:0;height:1.5pt" o:hralign="center" o:hrstd="t" o:hr="t" fillcolor="#aaa" stroked="f"/>
                          </w:pict>
                        </w:r>
                      </w:p>
                      <w:p w:rsidR="00A429FE" w:rsidRPr="00A429FE" w:rsidRDefault="00A429FE" w:rsidP="00A429FE">
                        <w:pPr>
                          <w:spacing w:before="100" w:beforeAutospacing="1" w:after="100" w:afterAutospacing="1"/>
                          <w:rPr>
                            <w:rFonts w:ascii="Times" w:hAnsi="Times" w:cs="Times New Roman"/>
                            <w:sz w:val="20"/>
                            <w:szCs w:val="20"/>
                            <w:lang w:val="en-AU"/>
                          </w:rPr>
                        </w:pPr>
                        <w:bookmarkStart w:id="14" w:name="019"/>
                        <w:bookmarkEnd w:id="14"/>
                        <w:r w:rsidRPr="00A429FE">
                          <w:rPr>
                            <w:rFonts w:ascii="Times" w:hAnsi="Times" w:cs="Times New Roman"/>
                            <w:b/>
                            <w:bCs/>
                            <w:sz w:val="20"/>
                            <w:szCs w:val="20"/>
                            <w:lang w:val="en-AU"/>
                          </w:rPr>
                          <w:t>1.9 Board composition and non-executive director pay in the top 100 Australian companies</w:t>
                        </w:r>
                        <w:r w:rsidRPr="00A429FE">
                          <w:rPr>
                            <w:rFonts w:ascii="Times" w:hAnsi="Times" w:cs="Times New Roman"/>
                            <w:sz w:val="20"/>
                            <w:szCs w:val="20"/>
                            <w:lang w:val="en-AU"/>
                          </w:rPr>
                          <w:br/>
                          <w:t> </w:t>
                        </w:r>
                        <w:r w:rsidRPr="00A429FE">
                          <w:rPr>
                            <w:rFonts w:ascii="Times" w:hAnsi="Times" w:cs="Times New Roman"/>
                            <w:sz w:val="20"/>
                            <w:szCs w:val="20"/>
                            <w:lang w:val="en-AU"/>
                          </w:rPr>
                          <w:br/>
                          <w:t xml:space="preserve">On 11 October 2010, the Australian Council of Super Investors (ACSI) published an empirical analysis of board composition and non-executive director pay in the S&amp;P/ASX 100 for the 2009 financial year. </w:t>
                        </w:r>
                        <w:r w:rsidRPr="00A429FE">
                          <w:rPr>
                            <w:rFonts w:ascii="Times" w:hAnsi="Times" w:cs="Times New Roman"/>
                            <w:sz w:val="20"/>
                            <w:szCs w:val="20"/>
                            <w:lang w:val="en-AU"/>
                          </w:rPr>
                          <w:br/>
                          <w:t> </w:t>
                        </w:r>
                        <w:r w:rsidRPr="00A429FE">
                          <w:rPr>
                            <w:rFonts w:ascii="Times" w:hAnsi="Times" w:cs="Times New Roman"/>
                            <w:sz w:val="20"/>
                            <w:szCs w:val="20"/>
                            <w:lang w:val="en-AU"/>
                          </w:rPr>
                          <w:br/>
                          <w:t xml:space="preserve">Key findings from the 2009 study are as follows: </w:t>
                        </w:r>
                      </w:p>
                      <w:p w:rsidR="00A429FE" w:rsidRPr="00A429FE" w:rsidRDefault="00A429FE" w:rsidP="00A429FE">
                        <w:pPr>
                          <w:tabs>
                            <w:tab w:val="num" w:pos="720"/>
                          </w:tabs>
                          <w:spacing w:before="100" w:beforeAutospacing="1" w:after="100" w:afterAutospacing="1"/>
                          <w:ind w:left="720" w:hanging="360"/>
                          <w:rPr>
                            <w:rFonts w:ascii="Times" w:eastAsia="Times New Roman" w:hAnsi="Times" w:cs="Times New Roman"/>
                            <w:sz w:val="20"/>
                            <w:szCs w:val="20"/>
                            <w:lang w:val="en-AU"/>
                          </w:rPr>
                        </w:pPr>
                        <w:r w:rsidRPr="00A429FE">
                          <w:rPr>
                            <w:rFonts w:ascii="Times" w:eastAsia="Times New Roman" w:hAnsi="Times" w:cs="Times New Roman"/>
                            <w:sz w:val="20"/>
                            <w:szCs w:val="20"/>
                            <w:lang w:val="en-AU"/>
                          </w:rPr>
                          <w:t xml:space="preserve">Top 100 Australian companies have heeded investor calls for independent non-executive directors to comprise a majority of the board, with the 2009 study finding independent directors held 69 percent of all board seats. This is the highest level recorded in the history of ACSI's longitudinal studies of Top 100 boards over the past eight years and is an increase from the level of approximately 65 percent for the past four years. </w:t>
                        </w:r>
                      </w:p>
                      <w:p w:rsidR="00A429FE" w:rsidRPr="00A429FE" w:rsidRDefault="00A429FE" w:rsidP="00A429FE">
                        <w:pPr>
                          <w:tabs>
                            <w:tab w:val="num" w:pos="720"/>
                          </w:tabs>
                          <w:spacing w:before="100" w:beforeAutospacing="1" w:after="100" w:afterAutospacing="1"/>
                          <w:ind w:left="720" w:hanging="360"/>
                          <w:rPr>
                            <w:rFonts w:ascii="Times" w:eastAsia="Times New Roman" w:hAnsi="Times" w:cs="Times New Roman"/>
                            <w:sz w:val="20"/>
                            <w:szCs w:val="20"/>
                            <w:lang w:val="en-AU"/>
                          </w:rPr>
                        </w:pPr>
                        <w:r w:rsidRPr="00A429FE">
                          <w:rPr>
                            <w:rFonts w:ascii="Times" w:eastAsia="Times New Roman" w:hAnsi="Times" w:cs="Times New Roman"/>
                            <w:sz w:val="20"/>
                            <w:szCs w:val="20"/>
                            <w:lang w:val="en-AU"/>
                          </w:rPr>
                          <w:t xml:space="preserve">The number of Top 100 directors holding no other ASX listed board seats increased compared with 2008, with 55 percent of all individuals holding office as a director of an S&amp;P/ASX 100 entity holding no other ASX listed board seats, up from 31.4 percent in 2008. </w:t>
                        </w:r>
                      </w:p>
                      <w:p w:rsidR="00A429FE" w:rsidRPr="00A429FE" w:rsidRDefault="00A429FE" w:rsidP="00A429FE">
                        <w:pPr>
                          <w:tabs>
                            <w:tab w:val="num" w:pos="720"/>
                          </w:tabs>
                          <w:spacing w:before="100" w:beforeAutospacing="1" w:after="100" w:afterAutospacing="1"/>
                          <w:ind w:left="720" w:hanging="360"/>
                          <w:rPr>
                            <w:rFonts w:ascii="Times" w:eastAsia="Times New Roman" w:hAnsi="Times" w:cs="Times New Roman"/>
                            <w:sz w:val="20"/>
                            <w:szCs w:val="20"/>
                            <w:lang w:val="en-AU"/>
                          </w:rPr>
                        </w:pPr>
                        <w:r w:rsidRPr="00A429FE">
                          <w:rPr>
                            <w:rFonts w:ascii="Times" w:eastAsia="Times New Roman" w:hAnsi="Times" w:cs="Times New Roman"/>
                            <w:sz w:val="20"/>
                            <w:szCs w:val="20"/>
                            <w:lang w:val="en-AU"/>
                          </w:rPr>
                          <w:t xml:space="preserve">Female representation on boards remained stagnant in 2009 as it has since 2006. Women accounted for 11.1 percent of all individuals holding S&amp;P/ASX 100 board seats and 12.1 percent of all board seats (in 2008 women accounted for 10.1 percent of all S&amp;P/ASX 100 directors and 11.1 percent of all board seats). </w:t>
                        </w:r>
                      </w:p>
                      <w:p w:rsidR="00A429FE" w:rsidRPr="00A429FE" w:rsidRDefault="00A429FE" w:rsidP="00A429FE">
                        <w:pPr>
                          <w:tabs>
                            <w:tab w:val="num" w:pos="720"/>
                          </w:tabs>
                          <w:spacing w:before="100" w:beforeAutospacing="1" w:after="100" w:afterAutospacing="1"/>
                          <w:ind w:left="720" w:hanging="360"/>
                          <w:rPr>
                            <w:rFonts w:ascii="Times" w:eastAsia="Times New Roman" w:hAnsi="Times" w:cs="Times New Roman"/>
                            <w:sz w:val="20"/>
                            <w:szCs w:val="20"/>
                            <w:lang w:val="en-AU"/>
                          </w:rPr>
                        </w:pPr>
                        <w:r w:rsidRPr="00A429FE">
                          <w:rPr>
                            <w:rFonts w:ascii="Times" w:eastAsia="Times New Roman" w:hAnsi="Times" w:cs="Times New Roman"/>
                            <w:sz w:val="20"/>
                            <w:szCs w:val="20"/>
                            <w:lang w:val="en-AU"/>
                          </w:rPr>
                          <w:t xml:space="preserve">Women held just 3.5 percent of chairperson roles in the S&amp;P/ASX 100 and 4.1 percent of executive director positions. </w:t>
                        </w:r>
                      </w:p>
                      <w:p w:rsidR="00A429FE" w:rsidRPr="00A429FE" w:rsidRDefault="00A429FE" w:rsidP="00A429FE">
                        <w:pPr>
                          <w:tabs>
                            <w:tab w:val="num" w:pos="720"/>
                          </w:tabs>
                          <w:spacing w:before="100" w:beforeAutospacing="1" w:after="100" w:afterAutospacing="1"/>
                          <w:ind w:left="720" w:hanging="360"/>
                          <w:rPr>
                            <w:rFonts w:ascii="Times" w:eastAsia="Times New Roman" w:hAnsi="Times" w:cs="Times New Roman"/>
                            <w:sz w:val="20"/>
                            <w:szCs w:val="20"/>
                            <w:lang w:val="en-AU"/>
                          </w:rPr>
                        </w:pPr>
                        <w:r w:rsidRPr="00A429FE">
                          <w:rPr>
                            <w:rFonts w:ascii="Times" w:eastAsia="Times New Roman" w:hAnsi="Times" w:cs="Times New Roman"/>
                            <w:sz w:val="20"/>
                            <w:szCs w:val="20"/>
                            <w:lang w:val="en-AU"/>
                          </w:rPr>
                          <w:t xml:space="preserve">Nearly 30 percent of S&amp;P/ASX 100 companies in the sample had no female directors in 2009, compared with 32 percent in 2008. Just under a quarter of sample companies had more than one woman on the board, largely unchanged from 2008. </w:t>
                        </w:r>
                      </w:p>
                      <w:p w:rsidR="00A429FE" w:rsidRPr="00A429FE" w:rsidRDefault="00A429FE" w:rsidP="00A429FE">
                        <w:pPr>
                          <w:tabs>
                            <w:tab w:val="num" w:pos="720"/>
                          </w:tabs>
                          <w:spacing w:before="100" w:beforeAutospacing="1" w:after="100" w:afterAutospacing="1"/>
                          <w:ind w:left="720" w:hanging="360"/>
                          <w:rPr>
                            <w:rFonts w:ascii="Times" w:eastAsia="Times New Roman" w:hAnsi="Times" w:cs="Times New Roman"/>
                            <w:sz w:val="20"/>
                            <w:szCs w:val="20"/>
                            <w:lang w:val="en-AU"/>
                          </w:rPr>
                        </w:pPr>
                        <w:r w:rsidRPr="00A429FE">
                          <w:rPr>
                            <w:rFonts w:ascii="Times" w:eastAsia="Times New Roman" w:hAnsi="Times" w:cs="Times New Roman"/>
                            <w:sz w:val="20"/>
                            <w:szCs w:val="20"/>
                            <w:lang w:val="en-AU"/>
                          </w:rPr>
                          <w:t xml:space="preserve">For the second year in succession individuals new to S&amp;P/ASX 100 boards accounted for a narrow majority of new non-executive appointments. Individuals who prior to 2009 had not served as directors of Top 100 companies represented 52.2 percent of all individuals appointed to Top 100 non-executive roles in the 2009 sample period, up from 50.6 percent for 2008. </w:t>
                        </w:r>
                      </w:p>
                      <w:p w:rsidR="00A429FE" w:rsidRPr="00A429FE" w:rsidRDefault="00A429FE" w:rsidP="00A429FE">
                        <w:pPr>
                          <w:tabs>
                            <w:tab w:val="num" w:pos="720"/>
                          </w:tabs>
                          <w:spacing w:before="100" w:beforeAutospacing="1" w:after="100" w:afterAutospacing="1"/>
                          <w:ind w:left="720" w:hanging="360"/>
                          <w:rPr>
                            <w:rFonts w:ascii="Times" w:eastAsia="Times New Roman" w:hAnsi="Times" w:cs="Times New Roman"/>
                            <w:sz w:val="20"/>
                            <w:szCs w:val="20"/>
                            <w:lang w:val="en-AU"/>
                          </w:rPr>
                        </w:pPr>
                        <w:r w:rsidRPr="00A429FE">
                          <w:rPr>
                            <w:rFonts w:ascii="Times" w:eastAsia="Times New Roman" w:hAnsi="Times" w:cs="Times New Roman"/>
                            <w:sz w:val="20"/>
                            <w:szCs w:val="20"/>
                            <w:lang w:val="en-AU"/>
                          </w:rPr>
                          <w:t xml:space="preserve">In 2009 average and median non-executive director remuneration continued to increase, although by lower rates than in prior years. The average Top 100 non-executive chairperson in 2009 received $442,994, up from $439,449 in 2008 (in 2008, the average increased 12.6 percent) while the median was also effectively unchanged at $400,000 after a 10.9 percent increase to $396,880 in 2008. The average non-executive director's remuneration, excluding chairpersons, was up 3.6 percent to $190,027 in 2009 after a 5.6 percent increase in 2008, while the median rose 5.5 percent to $186,288 after a 8.6 percent increase in 2008.  </w:t>
                        </w:r>
                      </w:p>
                      <w:p w:rsidR="00A429FE" w:rsidRPr="00A429FE" w:rsidRDefault="00A429FE" w:rsidP="00A429FE">
                        <w:pPr>
                          <w:spacing w:before="100" w:beforeAutospacing="1" w:after="100" w:afterAutospacing="1"/>
                          <w:rPr>
                            <w:rFonts w:ascii="Times" w:hAnsi="Times" w:cs="Times New Roman"/>
                            <w:sz w:val="20"/>
                            <w:szCs w:val="20"/>
                            <w:lang w:val="en-AU"/>
                          </w:rPr>
                        </w:pPr>
                        <w:r w:rsidRPr="00A429FE">
                          <w:rPr>
                            <w:rFonts w:ascii="Times" w:hAnsi="Times" w:cs="Times New Roman"/>
                            <w:sz w:val="20"/>
                            <w:szCs w:val="20"/>
                            <w:lang w:val="en-AU"/>
                          </w:rPr>
                          <w:t xml:space="preserve">The study is available on the </w:t>
                        </w:r>
                        <w:r w:rsidRPr="00A429FE">
                          <w:rPr>
                            <w:rFonts w:ascii="Times" w:hAnsi="Times" w:cs="Times New Roman"/>
                            <w:sz w:val="20"/>
                            <w:szCs w:val="20"/>
                            <w:lang w:val="en-AU"/>
                          </w:rPr>
                          <w:fldChar w:fldCharType="begin"/>
                        </w:r>
                        <w:r w:rsidRPr="00A429FE">
                          <w:rPr>
                            <w:rFonts w:ascii="Times" w:hAnsi="Times" w:cs="Times New Roman"/>
                            <w:sz w:val="20"/>
                            <w:szCs w:val="20"/>
                            <w:lang w:val="en-AU"/>
                          </w:rPr>
                          <w:instrText xml:space="preserve"> HYPERLINK "http://www.acsi.org.au/images/stories/ACSIDocuments/detailed_research_papers/board_comp_and_non-exec_director_pay_in_top_100_companies_2009.oct_10.pdf" \t "_new" </w:instrText>
                        </w:r>
                        <w:r w:rsidRPr="00A429FE">
                          <w:rPr>
                            <w:rFonts w:ascii="Times" w:hAnsi="Times" w:cs="Times New Roman"/>
                            <w:sz w:val="20"/>
                            <w:szCs w:val="20"/>
                            <w:lang w:val="en-AU"/>
                          </w:rPr>
                        </w:r>
                        <w:r w:rsidRPr="00A429FE">
                          <w:rPr>
                            <w:rFonts w:ascii="Times" w:hAnsi="Times" w:cs="Times New Roman"/>
                            <w:sz w:val="20"/>
                            <w:szCs w:val="20"/>
                            <w:lang w:val="en-AU"/>
                          </w:rPr>
                          <w:fldChar w:fldCharType="separate"/>
                        </w:r>
                        <w:r w:rsidRPr="00A429FE">
                          <w:rPr>
                            <w:rFonts w:ascii="Times" w:hAnsi="Times" w:cs="Times New Roman"/>
                            <w:color w:val="0000FF"/>
                            <w:sz w:val="20"/>
                            <w:szCs w:val="20"/>
                            <w:u w:val="single"/>
                            <w:lang w:val="en-AU"/>
                          </w:rPr>
                          <w:t>ACSI</w:t>
                        </w:r>
                        <w:r w:rsidRPr="00A429FE">
                          <w:rPr>
                            <w:rFonts w:ascii="Times" w:hAnsi="Times" w:cs="Times New Roman"/>
                            <w:sz w:val="20"/>
                            <w:szCs w:val="20"/>
                            <w:lang w:val="en-AU"/>
                          </w:rPr>
                          <w:fldChar w:fldCharType="end"/>
                        </w:r>
                        <w:r w:rsidRPr="00A429FE">
                          <w:rPr>
                            <w:rFonts w:ascii="Times" w:hAnsi="Times" w:cs="Times New Roman"/>
                            <w:sz w:val="20"/>
                            <w:szCs w:val="20"/>
                            <w:lang w:val="en-AU"/>
                          </w:rPr>
                          <w:t xml:space="preserve"> website.</w:t>
                        </w:r>
                      </w:p>
                      <w:p w:rsidR="00A429FE" w:rsidRPr="00A429FE" w:rsidRDefault="00A429FE" w:rsidP="00A429F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7050" name="Picture 17050" descr="etailed Contents">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50" descr="etailed Contents">
                                        <a:hlinkClick r:id="rId93"/>
                                      </pic:cNvPr>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A429FE" w:rsidRPr="00A429FE" w:rsidRDefault="00A429FE" w:rsidP="00A429FE">
                        <w:pPr>
                          <w:rPr>
                            <w:rFonts w:ascii="Times" w:eastAsia="Times New Roman" w:hAnsi="Times" w:cs="Times New Roman"/>
                            <w:sz w:val="20"/>
                            <w:szCs w:val="20"/>
                            <w:lang w:val="en-AU"/>
                          </w:rPr>
                        </w:pPr>
                        <w:r w:rsidRPr="00A429FE">
                          <w:rPr>
                            <w:rFonts w:ascii="Times" w:eastAsia="Times New Roman" w:hAnsi="Times" w:cs="Times New Roman"/>
                            <w:sz w:val="20"/>
                            <w:szCs w:val="20"/>
                            <w:lang w:val="en-AU"/>
                          </w:rPr>
                          <w:pict>
                            <v:rect id="_x0000_i18075" style="width:0;height:1.5pt" o:hralign="center" o:hrstd="t" o:hr="t" fillcolor="#aaa" stroked="f"/>
                          </w:pict>
                        </w:r>
                      </w:p>
                      <w:p w:rsidR="00A429FE" w:rsidRPr="00A429FE" w:rsidRDefault="00A429FE" w:rsidP="00A429FE">
                        <w:pPr>
                          <w:spacing w:before="100" w:beforeAutospacing="1" w:after="100" w:afterAutospacing="1"/>
                          <w:rPr>
                            <w:rFonts w:ascii="Times" w:hAnsi="Times" w:cs="Times New Roman"/>
                            <w:sz w:val="20"/>
                            <w:szCs w:val="20"/>
                            <w:lang w:val="en-AU"/>
                          </w:rPr>
                        </w:pPr>
                        <w:bookmarkStart w:id="15" w:name="0110"/>
                        <w:bookmarkEnd w:id="15"/>
                        <w:r w:rsidRPr="00A429FE">
                          <w:rPr>
                            <w:rFonts w:ascii="Times" w:hAnsi="Times" w:cs="Times New Roman"/>
                            <w:b/>
                            <w:bCs/>
                            <w:sz w:val="20"/>
                            <w:szCs w:val="20"/>
                            <w:lang w:val="en-AU"/>
                          </w:rPr>
                          <w:t xml:space="preserve">1.10 Draft guidelines on remuneration policies and practices </w:t>
                        </w:r>
                        <w:r w:rsidRPr="00A429FE">
                          <w:rPr>
                            <w:rFonts w:ascii="Times" w:hAnsi="Times" w:cs="Times New Roman"/>
                            <w:sz w:val="20"/>
                            <w:szCs w:val="20"/>
                            <w:lang w:val="en-AU"/>
                          </w:rPr>
                          <w:br/>
                          <w:t> </w:t>
                        </w:r>
                        <w:r w:rsidRPr="00A429FE">
                          <w:rPr>
                            <w:rFonts w:ascii="Times" w:hAnsi="Times" w:cs="Times New Roman"/>
                            <w:sz w:val="20"/>
                            <w:szCs w:val="20"/>
                            <w:lang w:val="en-AU"/>
                          </w:rPr>
                          <w:br/>
                          <w:t>On 8 October 2010, the Committee of European Banking Supervisors (CEBS) published its draft guidelines on remuneration policies and practices.</w:t>
                        </w:r>
                        <w:r w:rsidRPr="00A429FE">
                          <w:rPr>
                            <w:rFonts w:ascii="Times" w:hAnsi="Times" w:cs="Times New Roman"/>
                            <w:sz w:val="20"/>
                            <w:szCs w:val="20"/>
                            <w:lang w:val="en-AU"/>
                          </w:rPr>
                          <w:br/>
                          <w:t> </w:t>
                        </w:r>
                        <w:r w:rsidRPr="00A429FE">
                          <w:rPr>
                            <w:rFonts w:ascii="Times" w:hAnsi="Times" w:cs="Times New Roman"/>
                            <w:sz w:val="20"/>
                            <w:szCs w:val="20"/>
                            <w:lang w:val="en-AU"/>
                          </w:rPr>
                          <w:br/>
                          <w:t xml:space="preserve">CEBS had already published a set of High-level Principles for Remuneration Policies on 20 April 2009 aimed at assisting in remedying unsound remuneration policies. These principles also built on the remuneration work carried out by other bodies, namely the Financial Stability Board and the European Commission. </w:t>
                        </w:r>
                        <w:r w:rsidRPr="00A429FE">
                          <w:rPr>
                            <w:rFonts w:ascii="Times" w:hAnsi="Times" w:cs="Times New Roman"/>
                            <w:sz w:val="20"/>
                            <w:szCs w:val="20"/>
                            <w:lang w:val="en-AU"/>
                          </w:rPr>
                          <w:br/>
                          <w:t> </w:t>
                        </w:r>
                        <w:r w:rsidRPr="00A429FE">
                          <w:rPr>
                            <w:rFonts w:ascii="Times" w:hAnsi="Times" w:cs="Times New Roman"/>
                            <w:sz w:val="20"/>
                            <w:szCs w:val="20"/>
                            <w:lang w:val="en-AU"/>
                          </w:rPr>
                          <w:br/>
                          <w:t>Article 22 of the revised guidelines lays down the fundamental principle whereby institutions are required to ensure that their remuneration polices and practices are consistent with their organisational structure and promote sound and effective risk management. The remuneration requirements included in the draft guidelines are divided into three blocks:</w:t>
                        </w:r>
                      </w:p>
                      <w:p w:rsidR="00A429FE" w:rsidRPr="00A429FE" w:rsidRDefault="00A429FE" w:rsidP="00A429FE">
                        <w:pPr>
                          <w:tabs>
                            <w:tab w:val="num" w:pos="720"/>
                          </w:tabs>
                          <w:spacing w:before="100" w:beforeAutospacing="1" w:after="100" w:afterAutospacing="1"/>
                          <w:ind w:left="720" w:hanging="360"/>
                          <w:rPr>
                            <w:rFonts w:ascii="Times" w:eastAsia="Times New Roman" w:hAnsi="Times" w:cs="Times New Roman"/>
                            <w:sz w:val="20"/>
                            <w:szCs w:val="20"/>
                            <w:lang w:val="en-AU"/>
                          </w:rPr>
                        </w:pPr>
                        <w:r w:rsidRPr="00A429FE">
                          <w:rPr>
                            <w:rFonts w:ascii="Times" w:eastAsia="Times New Roman" w:hAnsi="Times" w:cs="Times New Roman"/>
                            <w:sz w:val="20"/>
                            <w:szCs w:val="20"/>
                            <w:lang w:val="en-AU"/>
                          </w:rPr>
                          <w:t xml:space="preserve">Governance; </w:t>
                        </w:r>
                      </w:p>
                      <w:p w:rsidR="00A429FE" w:rsidRPr="00A429FE" w:rsidRDefault="00A429FE" w:rsidP="00A429FE">
                        <w:pPr>
                          <w:tabs>
                            <w:tab w:val="num" w:pos="720"/>
                          </w:tabs>
                          <w:spacing w:before="100" w:beforeAutospacing="1" w:after="100" w:afterAutospacing="1"/>
                          <w:ind w:left="720" w:hanging="360"/>
                          <w:rPr>
                            <w:rFonts w:ascii="Times" w:eastAsia="Times New Roman" w:hAnsi="Times" w:cs="Times New Roman"/>
                            <w:sz w:val="20"/>
                            <w:szCs w:val="20"/>
                            <w:lang w:val="en-AU"/>
                          </w:rPr>
                        </w:pPr>
                        <w:r w:rsidRPr="00A429FE">
                          <w:rPr>
                            <w:rFonts w:ascii="Times" w:eastAsia="Times New Roman" w:hAnsi="Times" w:cs="Times New Roman"/>
                            <w:sz w:val="20"/>
                            <w:szCs w:val="20"/>
                            <w:lang w:val="en-AU"/>
                          </w:rPr>
                          <w:t xml:space="preserve">Risk alignment; and </w:t>
                        </w:r>
                      </w:p>
                      <w:p w:rsidR="00A429FE" w:rsidRPr="00A429FE" w:rsidRDefault="00A429FE" w:rsidP="00A429FE">
                        <w:pPr>
                          <w:tabs>
                            <w:tab w:val="num" w:pos="720"/>
                          </w:tabs>
                          <w:spacing w:before="100" w:beforeAutospacing="1" w:after="100" w:afterAutospacing="1"/>
                          <w:ind w:left="720" w:hanging="360"/>
                          <w:rPr>
                            <w:rFonts w:ascii="Times" w:eastAsia="Times New Roman" w:hAnsi="Times" w:cs="Times New Roman"/>
                            <w:sz w:val="20"/>
                            <w:szCs w:val="20"/>
                            <w:lang w:val="en-AU"/>
                          </w:rPr>
                        </w:pPr>
                        <w:r w:rsidRPr="00A429FE">
                          <w:rPr>
                            <w:rFonts w:ascii="Times" w:eastAsia="Times New Roman" w:hAnsi="Times" w:cs="Times New Roman"/>
                            <w:sz w:val="20"/>
                            <w:szCs w:val="20"/>
                            <w:lang w:val="en-AU"/>
                          </w:rPr>
                          <w:t xml:space="preserve">Transparency. </w:t>
                        </w:r>
                      </w:p>
                      <w:p w:rsidR="00A429FE" w:rsidRPr="00A429FE" w:rsidRDefault="00A429FE" w:rsidP="00A429FE">
                        <w:pPr>
                          <w:spacing w:before="100" w:beforeAutospacing="1" w:after="100" w:afterAutospacing="1"/>
                          <w:rPr>
                            <w:rFonts w:ascii="Times" w:hAnsi="Times" w:cs="Times New Roman"/>
                            <w:sz w:val="20"/>
                            <w:szCs w:val="20"/>
                            <w:lang w:val="en-AU"/>
                          </w:rPr>
                        </w:pPr>
                        <w:r w:rsidRPr="00A429FE">
                          <w:rPr>
                            <w:rFonts w:ascii="Times" w:hAnsi="Times" w:cs="Times New Roman"/>
                            <w:sz w:val="20"/>
                            <w:szCs w:val="20"/>
                            <w:lang w:val="en-AU"/>
                          </w:rPr>
                          <w:t xml:space="preserve">The draft guidelines are available on the </w:t>
                        </w:r>
                        <w:r w:rsidRPr="00A429FE">
                          <w:rPr>
                            <w:rFonts w:ascii="Times" w:hAnsi="Times" w:cs="Times New Roman"/>
                            <w:sz w:val="20"/>
                            <w:szCs w:val="20"/>
                            <w:lang w:val="en-AU"/>
                          </w:rPr>
                          <w:fldChar w:fldCharType="begin"/>
                        </w:r>
                        <w:r w:rsidRPr="00A429FE">
                          <w:rPr>
                            <w:rFonts w:ascii="Times" w:hAnsi="Times" w:cs="Times New Roman"/>
                            <w:sz w:val="20"/>
                            <w:szCs w:val="20"/>
                            <w:lang w:val="en-AU"/>
                          </w:rPr>
                          <w:instrText xml:space="preserve"> HYPERLINK "http://www.c-ebs.org/documents/Publications/Consultation-papers/2010/CP42/CP42.aspx" \t "_new" </w:instrText>
                        </w:r>
                        <w:r w:rsidRPr="00A429FE">
                          <w:rPr>
                            <w:rFonts w:ascii="Times" w:hAnsi="Times" w:cs="Times New Roman"/>
                            <w:sz w:val="20"/>
                            <w:szCs w:val="20"/>
                            <w:lang w:val="en-AU"/>
                          </w:rPr>
                        </w:r>
                        <w:r w:rsidRPr="00A429FE">
                          <w:rPr>
                            <w:rFonts w:ascii="Times" w:hAnsi="Times" w:cs="Times New Roman"/>
                            <w:sz w:val="20"/>
                            <w:szCs w:val="20"/>
                            <w:lang w:val="en-AU"/>
                          </w:rPr>
                          <w:fldChar w:fldCharType="separate"/>
                        </w:r>
                        <w:r w:rsidRPr="00A429FE">
                          <w:rPr>
                            <w:rFonts w:ascii="Times" w:hAnsi="Times" w:cs="Times New Roman"/>
                            <w:color w:val="0000FF"/>
                            <w:sz w:val="20"/>
                            <w:szCs w:val="20"/>
                            <w:u w:val="single"/>
                            <w:lang w:val="en-AU"/>
                          </w:rPr>
                          <w:t>CEBS</w:t>
                        </w:r>
                        <w:r w:rsidRPr="00A429FE">
                          <w:rPr>
                            <w:rFonts w:ascii="Times" w:hAnsi="Times" w:cs="Times New Roman"/>
                            <w:sz w:val="20"/>
                            <w:szCs w:val="20"/>
                            <w:lang w:val="en-AU"/>
                          </w:rPr>
                          <w:fldChar w:fldCharType="end"/>
                        </w:r>
                        <w:r w:rsidRPr="00A429FE">
                          <w:rPr>
                            <w:rFonts w:ascii="Times" w:hAnsi="Times" w:cs="Times New Roman"/>
                            <w:sz w:val="20"/>
                            <w:szCs w:val="20"/>
                            <w:lang w:val="en-AU"/>
                          </w:rPr>
                          <w:t xml:space="preserve"> website.</w:t>
                        </w:r>
                      </w:p>
                      <w:p w:rsidR="00A429FE" w:rsidRPr="00A429FE" w:rsidRDefault="00A429FE" w:rsidP="00A429F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7052" name="Picture 17052" descr="etailed Contents">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52" descr="etailed Contents">
                                        <a:hlinkClick r:id="rId93"/>
                                      </pic:cNvPr>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A429FE" w:rsidRPr="00A429FE" w:rsidRDefault="00A429FE" w:rsidP="00A429FE">
                        <w:pPr>
                          <w:rPr>
                            <w:rFonts w:ascii="Times" w:eastAsia="Times New Roman" w:hAnsi="Times" w:cs="Times New Roman"/>
                            <w:sz w:val="20"/>
                            <w:szCs w:val="20"/>
                            <w:lang w:val="en-AU"/>
                          </w:rPr>
                        </w:pPr>
                        <w:r w:rsidRPr="00A429FE">
                          <w:rPr>
                            <w:rFonts w:ascii="Times" w:eastAsia="Times New Roman" w:hAnsi="Times" w:cs="Times New Roman"/>
                            <w:sz w:val="20"/>
                            <w:szCs w:val="20"/>
                            <w:lang w:val="en-AU"/>
                          </w:rPr>
                          <w:pict>
                            <v:rect id="_x0000_i18077" style="width:0;height:1.5pt" o:hralign="center" o:hrstd="t" o:hr="t" fillcolor="#aaa" stroked="f"/>
                          </w:pict>
                        </w:r>
                      </w:p>
                      <w:p w:rsidR="00A429FE" w:rsidRPr="00A429FE" w:rsidRDefault="00A429FE" w:rsidP="00A429FE">
                        <w:pPr>
                          <w:spacing w:before="100" w:beforeAutospacing="1" w:after="100" w:afterAutospacing="1"/>
                          <w:rPr>
                            <w:rFonts w:ascii="Times" w:hAnsi="Times" w:cs="Times New Roman"/>
                            <w:sz w:val="20"/>
                            <w:szCs w:val="20"/>
                            <w:lang w:val="en-AU"/>
                          </w:rPr>
                        </w:pPr>
                        <w:bookmarkStart w:id="16" w:name="0111"/>
                        <w:bookmarkEnd w:id="16"/>
                        <w:r w:rsidRPr="00A429FE">
                          <w:rPr>
                            <w:rFonts w:ascii="Times" w:hAnsi="Times" w:cs="Times New Roman"/>
                            <w:b/>
                            <w:bCs/>
                            <w:sz w:val="20"/>
                            <w:szCs w:val="20"/>
                            <w:lang w:val="en-AU"/>
                          </w:rPr>
                          <w:t>1.11 Report on deterring and detecting financial reporting fraud</w:t>
                        </w:r>
                        <w:r w:rsidRPr="00A429FE">
                          <w:rPr>
                            <w:rFonts w:ascii="Times" w:hAnsi="Times" w:cs="Times New Roman"/>
                            <w:sz w:val="20"/>
                            <w:szCs w:val="20"/>
                            <w:lang w:val="en-AU"/>
                          </w:rPr>
                          <w:br/>
                          <w:t> </w:t>
                        </w:r>
                        <w:r w:rsidRPr="00A429FE">
                          <w:rPr>
                            <w:rFonts w:ascii="Times" w:hAnsi="Times" w:cs="Times New Roman"/>
                            <w:sz w:val="20"/>
                            <w:szCs w:val="20"/>
                            <w:lang w:val="en-AU"/>
                          </w:rPr>
                          <w:br/>
                          <w:t xml:space="preserve">On 6 October 2010, the Center for Audit Quality (CAQ) published a report, 'Deterring and Detecting Financial Reporting Fraud - A Platform for Action'. </w:t>
                        </w:r>
                        <w:r w:rsidRPr="00A429FE">
                          <w:rPr>
                            <w:rFonts w:ascii="Times" w:hAnsi="Times" w:cs="Times New Roman"/>
                            <w:sz w:val="20"/>
                            <w:szCs w:val="20"/>
                            <w:lang w:val="en-AU"/>
                          </w:rPr>
                          <w:br/>
                        </w:r>
                        <w:r w:rsidRPr="00A429FE">
                          <w:rPr>
                            <w:rFonts w:ascii="Times" w:hAnsi="Times" w:cs="Times New Roman"/>
                            <w:sz w:val="20"/>
                            <w:szCs w:val="20"/>
                            <w:lang w:val="en-AU"/>
                          </w:rPr>
                          <w:br/>
                          <w:t xml:space="preserve">The report is the result of CAQ-sponsored roundtable discussions and in-depth interviews on the issue of financial reporting fraud at public companies. The discussions and interviews featured corporate executives, members of boards of directors and audit committees, internal auditors, and external auditors - the stakeholders that are participants in the "financial reporting supply chain" - as well as investors, regulators and academics, among others. </w:t>
                        </w:r>
                        <w:r w:rsidRPr="00A429FE">
                          <w:rPr>
                            <w:rFonts w:ascii="Times" w:hAnsi="Times" w:cs="Times New Roman"/>
                            <w:sz w:val="20"/>
                            <w:szCs w:val="20"/>
                            <w:lang w:val="en-AU"/>
                          </w:rPr>
                          <w:br/>
                          <w:t> </w:t>
                        </w:r>
                        <w:r w:rsidRPr="00A429FE">
                          <w:rPr>
                            <w:rFonts w:ascii="Times" w:hAnsi="Times" w:cs="Times New Roman"/>
                            <w:sz w:val="20"/>
                            <w:szCs w:val="20"/>
                            <w:lang w:val="en-AU"/>
                          </w:rPr>
                          <w:br/>
                          <w:t xml:space="preserve">The report defines financial reporting fraud as "a material misrepresentation resulting from an intentional failure to report financial information in accordance with generally accepted accounting principles." The CAQ's roundtable discussions identified three conditions, referred to as the "fraud triangle," that typically are connected to financial reporting fraud: pressure or incentive, opportunity and rationalisation. </w:t>
                        </w:r>
                        <w:r w:rsidRPr="00A429FE">
                          <w:rPr>
                            <w:rFonts w:ascii="Times" w:hAnsi="Times" w:cs="Times New Roman"/>
                            <w:sz w:val="20"/>
                            <w:szCs w:val="20"/>
                            <w:lang w:val="en-AU"/>
                          </w:rPr>
                          <w:br/>
                        </w:r>
                        <w:r w:rsidRPr="00A429FE">
                          <w:rPr>
                            <w:rFonts w:ascii="Times" w:hAnsi="Times" w:cs="Times New Roman"/>
                            <w:sz w:val="20"/>
                            <w:szCs w:val="20"/>
                            <w:lang w:val="en-AU"/>
                          </w:rPr>
                          <w:br/>
                          <w:t xml:space="preserve">The report is available on the </w:t>
                        </w:r>
                        <w:r w:rsidRPr="00A429FE">
                          <w:rPr>
                            <w:rFonts w:ascii="Times" w:hAnsi="Times" w:cs="Times New Roman"/>
                            <w:sz w:val="20"/>
                            <w:szCs w:val="20"/>
                            <w:lang w:val="en-AU"/>
                          </w:rPr>
                          <w:fldChar w:fldCharType="begin"/>
                        </w:r>
                        <w:r w:rsidRPr="00A429FE">
                          <w:rPr>
                            <w:rFonts w:ascii="Times" w:hAnsi="Times" w:cs="Times New Roman"/>
                            <w:sz w:val="20"/>
                            <w:szCs w:val="20"/>
                            <w:lang w:val="en-AU"/>
                          </w:rPr>
                          <w:instrText xml:space="preserve"> HYPERLINK "http://www.thecaq.org/Anti-FraudInitiative/CAQAnti-FraudReport.pdf" \t "_new" </w:instrText>
                        </w:r>
                        <w:r w:rsidRPr="00A429FE">
                          <w:rPr>
                            <w:rFonts w:ascii="Times" w:hAnsi="Times" w:cs="Times New Roman"/>
                            <w:sz w:val="20"/>
                            <w:szCs w:val="20"/>
                            <w:lang w:val="en-AU"/>
                          </w:rPr>
                        </w:r>
                        <w:r w:rsidRPr="00A429FE">
                          <w:rPr>
                            <w:rFonts w:ascii="Times" w:hAnsi="Times" w:cs="Times New Roman"/>
                            <w:sz w:val="20"/>
                            <w:szCs w:val="20"/>
                            <w:lang w:val="en-AU"/>
                          </w:rPr>
                          <w:fldChar w:fldCharType="separate"/>
                        </w:r>
                        <w:r w:rsidRPr="00A429FE">
                          <w:rPr>
                            <w:rFonts w:ascii="Times" w:hAnsi="Times" w:cs="Times New Roman"/>
                            <w:color w:val="0000FF"/>
                            <w:sz w:val="20"/>
                            <w:szCs w:val="20"/>
                            <w:u w:val="single"/>
                            <w:lang w:val="en-AU"/>
                          </w:rPr>
                          <w:t>CAQ</w:t>
                        </w:r>
                        <w:r w:rsidRPr="00A429FE">
                          <w:rPr>
                            <w:rFonts w:ascii="Times" w:hAnsi="Times" w:cs="Times New Roman"/>
                            <w:sz w:val="20"/>
                            <w:szCs w:val="20"/>
                            <w:lang w:val="en-AU"/>
                          </w:rPr>
                          <w:fldChar w:fldCharType="end"/>
                        </w:r>
                        <w:r w:rsidRPr="00A429FE">
                          <w:rPr>
                            <w:rFonts w:ascii="Times" w:hAnsi="Times" w:cs="Times New Roman"/>
                            <w:sz w:val="20"/>
                            <w:szCs w:val="20"/>
                            <w:lang w:val="en-AU"/>
                          </w:rPr>
                          <w:t xml:space="preserve"> website. </w:t>
                        </w:r>
                      </w:p>
                      <w:p w:rsidR="00A429FE" w:rsidRPr="00A429FE" w:rsidRDefault="00A429FE" w:rsidP="00A429F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7054" name="Picture 17054" descr="etailed Contents">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54" descr="etailed Contents">
                                        <a:hlinkClick r:id="rId93"/>
                                      </pic:cNvPr>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A429FE" w:rsidRPr="00A429FE" w:rsidRDefault="00A429FE" w:rsidP="00A429FE">
                        <w:pPr>
                          <w:rPr>
                            <w:rFonts w:ascii="Times" w:eastAsia="Times New Roman" w:hAnsi="Times" w:cs="Times New Roman"/>
                            <w:sz w:val="20"/>
                            <w:szCs w:val="20"/>
                            <w:lang w:val="en-AU"/>
                          </w:rPr>
                        </w:pPr>
                        <w:r w:rsidRPr="00A429FE">
                          <w:rPr>
                            <w:rFonts w:ascii="Times" w:eastAsia="Times New Roman" w:hAnsi="Times" w:cs="Times New Roman"/>
                            <w:sz w:val="20"/>
                            <w:szCs w:val="20"/>
                            <w:lang w:val="en-AU"/>
                          </w:rPr>
                          <w:pict>
                            <v:rect id="_x0000_i18079" style="width:0;height:1.5pt" o:hralign="center" o:hrstd="t" o:hr="t" fillcolor="#aaa" stroked="f"/>
                          </w:pict>
                        </w:r>
                      </w:p>
                      <w:p w:rsidR="00A429FE" w:rsidRPr="00A429FE" w:rsidRDefault="00A429FE" w:rsidP="00A429FE">
                        <w:pPr>
                          <w:spacing w:before="100" w:beforeAutospacing="1" w:after="100" w:afterAutospacing="1"/>
                          <w:rPr>
                            <w:rFonts w:ascii="Times" w:hAnsi="Times" w:cs="Times New Roman"/>
                            <w:sz w:val="20"/>
                            <w:szCs w:val="20"/>
                            <w:lang w:val="en-AU"/>
                          </w:rPr>
                        </w:pPr>
                        <w:bookmarkStart w:id="17" w:name="0112"/>
                        <w:bookmarkEnd w:id="17"/>
                        <w:r w:rsidRPr="00A429FE">
                          <w:rPr>
                            <w:rFonts w:ascii="Times" w:hAnsi="Times" w:cs="Times New Roman"/>
                            <w:b/>
                            <w:bCs/>
                            <w:sz w:val="20"/>
                            <w:szCs w:val="20"/>
                            <w:lang w:val="en-AU"/>
                          </w:rPr>
                          <w:t xml:space="preserve">1.12 Women in leadership census </w:t>
                        </w:r>
                        <w:r w:rsidRPr="00A429FE">
                          <w:rPr>
                            <w:rFonts w:ascii="Times" w:hAnsi="Times" w:cs="Times New Roman"/>
                            <w:sz w:val="20"/>
                            <w:szCs w:val="20"/>
                            <w:lang w:val="en-AU"/>
                          </w:rPr>
                          <w:br/>
                        </w:r>
                        <w:r w:rsidRPr="00A429FE">
                          <w:rPr>
                            <w:rFonts w:ascii="Times" w:hAnsi="Times" w:cs="Times New Roman"/>
                            <w:sz w:val="20"/>
                            <w:szCs w:val="20"/>
                            <w:lang w:val="en-AU"/>
                          </w:rPr>
                          <w:br/>
                          <w:t xml:space="preserve">On 6 October 2010, the Equal Opportunity for Women in the Workplace Agency published the latest edition of its biennial Australian Women in Leadership Census. The census examined the number of male and female board directors and executive key management personnel in ASX200 listed companies. </w:t>
                        </w:r>
                        <w:r w:rsidRPr="00A429FE">
                          <w:rPr>
                            <w:rFonts w:ascii="Times" w:hAnsi="Times" w:cs="Times New Roman"/>
                            <w:sz w:val="20"/>
                            <w:szCs w:val="20"/>
                            <w:lang w:val="en-AU"/>
                          </w:rPr>
                          <w:br/>
                          <w:t> </w:t>
                        </w:r>
                        <w:r w:rsidRPr="00A429FE">
                          <w:rPr>
                            <w:rFonts w:ascii="Times" w:hAnsi="Times" w:cs="Times New Roman"/>
                            <w:sz w:val="20"/>
                            <w:szCs w:val="20"/>
                            <w:lang w:val="en-AU"/>
                          </w:rPr>
                          <w:br/>
                          <w:t>The findings include the following:</w:t>
                        </w:r>
                      </w:p>
                      <w:p w:rsidR="00A429FE" w:rsidRPr="00A429FE" w:rsidRDefault="00A429FE" w:rsidP="00A429FE">
                        <w:pPr>
                          <w:tabs>
                            <w:tab w:val="num" w:pos="720"/>
                          </w:tabs>
                          <w:spacing w:before="100" w:beforeAutospacing="1" w:after="100" w:afterAutospacing="1"/>
                          <w:ind w:left="720" w:hanging="360"/>
                          <w:rPr>
                            <w:rFonts w:ascii="Times" w:eastAsia="Times New Roman" w:hAnsi="Times" w:cs="Times New Roman"/>
                            <w:sz w:val="20"/>
                            <w:szCs w:val="20"/>
                            <w:lang w:val="en-AU"/>
                          </w:rPr>
                        </w:pPr>
                        <w:r w:rsidRPr="00A429FE">
                          <w:rPr>
                            <w:rFonts w:ascii="Times" w:eastAsia="Times New Roman" w:hAnsi="Times" w:cs="Times New Roman"/>
                            <w:sz w:val="20"/>
                            <w:szCs w:val="20"/>
                            <w:lang w:val="en-AU"/>
                          </w:rPr>
                          <w:t xml:space="preserve">Women chair five boards and hold 8.4% of Board Directorships in the ASX 200 companies (123 seats out of 1467). This compares with 8.3% (125 seats out of 1504) reported in the 2008 Census, 8.7% (129 out of 1487) reported in 2006 and 8.2% (119 out of 1456) reported in 2004. </w:t>
                        </w:r>
                      </w:p>
                      <w:p w:rsidR="00A429FE" w:rsidRPr="00A429FE" w:rsidRDefault="00A429FE" w:rsidP="00A429FE">
                        <w:pPr>
                          <w:tabs>
                            <w:tab w:val="num" w:pos="720"/>
                          </w:tabs>
                          <w:spacing w:before="100" w:beforeAutospacing="1" w:after="100" w:afterAutospacing="1"/>
                          <w:ind w:left="720" w:hanging="360"/>
                          <w:rPr>
                            <w:rFonts w:ascii="Times" w:eastAsia="Times New Roman" w:hAnsi="Times" w:cs="Times New Roman"/>
                            <w:sz w:val="20"/>
                            <w:szCs w:val="20"/>
                            <w:lang w:val="en-AU"/>
                          </w:rPr>
                        </w:pPr>
                        <w:r w:rsidRPr="00A429FE">
                          <w:rPr>
                            <w:rFonts w:ascii="Times" w:eastAsia="Times New Roman" w:hAnsi="Times" w:cs="Times New Roman"/>
                            <w:sz w:val="20"/>
                            <w:szCs w:val="20"/>
                            <w:lang w:val="en-AU"/>
                          </w:rPr>
                          <w:t xml:space="preserve">In 7.0% of ASX 200 companies, 25% or more of the Board Directors are women. This is a return to just below the level of 2004 (7.1%). The increase to 12% in 2006 has not been sustained. In 13.0% of companies there are two or more women Board Directors, up from 11.5% in 2008 but still down from 13.5% in 2006. </w:t>
                        </w:r>
                      </w:p>
                      <w:p w:rsidR="00A429FE" w:rsidRPr="00A429FE" w:rsidRDefault="00A429FE" w:rsidP="00A429FE">
                        <w:pPr>
                          <w:tabs>
                            <w:tab w:val="num" w:pos="720"/>
                          </w:tabs>
                          <w:spacing w:before="100" w:beforeAutospacing="1" w:after="100" w:afterAutospacing="1"/>
                          <w:ind w:left="720" w:hanging="360"/>
                          <w:rPr>
                            <w:rFonts w:ascii="Times" w:eastAsia="Times New Roman" w:hAnsi="Times" w:cs="Times New Roman"/>
                            <w:sz w:val="20"/>
                            <w:szCs w:val="20"/>
                            <w:lang w:val="en-AU"/>
                          </w:rPr>
                        </w:pPr>
                        <w:r w:rsidRPr="00A429FE">
                          <w:rPr>
                            <w:rFonts w:ascii="Times" w:eastAsia="Times New Roman" w:hAnsi="Times" w:cs="Times New Roman"/>
                            <w:sz w:val="20"/>
                            <w:szCs w:val="20"/>
                            <w:lang w:val="en-AU"/>
                          </w:rPr>
                          <w:t xml:space="preserve">Industry groups with the highest percentage of women Board Directors were Insurance, Consumer Services, Banks, Software &amp; Services, and Diversified Financials. </w:t>
                        </w:r>
                      </w:p>
                      <w:p w:rsidR="00A429FE" w:rsidRPr="00A429FE" w:rsidRDefault="00A429FE" w:rsidP="00A429FE">
                        <w:pPr>
                          <w:tabs>
                            <w:tab w:val="num" w:pos="720"/>
                          </w:tabs>
                          <w:spacing w:before="100" w:beforeAutospacing="1" w:after="100" w:afterAutospacing="1"/>
                          <w:ind w:left="720" w:hanging="360"/>
                          <w:rPr>
                            <w:rFonts w:ascii="Times" w:eastAsia="Times New Roman" w:hAnsi="Times" w:cs="Times New Roman"/>
                            <w:sz w:val="20"/>
                            <w:szCs w:val="20"/>
                            <w:lang w:val="en-AU"/>
                          </w:rPr>
                        </w:pPr>
                        <w:r w:rsidRPr="00A429FE">
                          <w:rPr>
                            <w:rFonts w:ascii="Times" w:eastAsia="Times New Roman" w:hAnsi="Times" w:cs="Times New Roman"/>
                            <w:sz w:val="20"/>
                            <w:szCs w:val="20"/>
                            <w:lang w:val="en-AU"/>
                          </w:rPr>
                          <w:t xml:space="preserve">The percentage of companies with no women board directors has increased from 51.0% in 2008 to 54% in 2010. </w:t>
                        </w:r>
                      </w:p>
                      <w:p w:rsidR="00A429FE" w:rsidRPr="00A429FE" w:rsidRDefault="00A429FE" w:rsidP="00A429FE">
                        <w:pPr>
                          <w:tabs>
                            <w:tab w:val="num" w:pos="720"/>
                          </w:tabs>
                          <w:spacing w:before="100" w:beforeAutospacing="1" w:after="100" w:afterAutospacing="1"/>
                          <w:ind w:left="720" w:hanging="360"/>
                          <w:rPr>
                            <w:rFonts w:ascii="Times" w:eastAsia="Times New Roman" w:hAnsi="Times" w:cs="Times New Roman"/>
                            <w:sz w:val="20"/>
                            <w:szCs w:val="20"/>
                            <w:lang w:val="en-AU"/>
                          </w:rPr>
                        </w:pPr>
                        <w:r w:rsidRPr="00A429FE">
                          <w:rPr>
                            <w:rFonts w:ascii="Times" w:eastAsia="Times New Roman" w:hAnsi="Times" w:cs="Times New Roman"/>
                            <w:sz w:val="20"/>
                            <w:szCs w:val="20"/>
                            <w:lang w:val="en-AU"/>
                          </w:rPr>
                          <w:t xml:space="preserve">Women hold six Chief Executive Officer positions in 2010 compared with four in 2008, and 8.0% of Executive Key Management Personnel positions in the ASX 200 companies (104 out of 1300 positions). This compares with 7.0% in 2008 (81 out of 1152). </w:t>
                        </w:r>
                      </w:p>
                      <w:p w:rsidR="00A429FE" w:rsidRPr="00A429FE" w:rsidRDefault="00A429FE" w:rsidP="00A429FE">
                        <w:pPr>
                          <w:tabs>
                            <w:tab w:val="num" w:pos="720"/>
                          </w:tabs>
                          <w:spacing w:before="100" w:beforeAutospacing="1" w:after="100" w:afterAutospacing="1"/>
                          <w:ind w:left="720" w:hanging="360"/>
                          <w:rPr>
                            <w:rFonts w:ascii="Times" w:eastAsia="Times New Roman" w:hAnsi="Times" w:cs="Times New Roman"/>
                            <w:sz w:val="20"/>
                            <w:szCs w:val="20"/>
                            <w:lang w:val="en-AU"/>
                          </w:rPr>
                        </w:pPr>
                        <w:r w:rsidRPr="00A429FE">
                          <w:rPr>
                            <w:rFonts w:ascii="Times" w:eastAsia="Times New Roman" w:hAnsi="Times" w:cs="Times New Roman"/>
                            <w:sz w:val="20"/>
                            <w:szCs w:val="20"/>
                            <w:lang w:val="en-AU"/>
                          </w:rPr>
                          <w:t xml:space="preserve">The percentage of companies with no women Executive Key Management Personnel has declined slightly to 61.9% in 2010 from 65.1% in 2008. </w:t>
                        </w:r>
                      </w:p>
                      <w:p w:rsidR="00A429FE" w:rsidRPr="00A429FE" w:rsidRDefault="00A429FE" w:rsidP="00A429FE">
                        <w:pPr>
                          <w:tabs>
                            <w:tab w:val="num" w:pos="720"/>
                          </w:tabs>
                          <w:spacing w:before="100" w:beforeAutospacing="1" w:after="100" w:afterAutospacing="1"/>
                          <w:ind w:left="720" w:hanging="360"/>
                          <w:rPr>
                            <w:rFonts w:ascii="Times" w:eastAsia="Times New Roman" w:hAnsi="Times" w:cs="Times New Roman"/>
                            <w:sz w:val="20"/>
                            <w:szCs w:val="20"/>
                            <w:lang w:val="en-AU"/>
                          </w:rPr>
                        </w:pPr>
                        <w:r w:rsidRPr="00A429FE">
                          <w:rPr>
                            <w:rFonts w:ascii="Times" w:eastAsia="Times New Roman" w:hAnsi="Times" w:cs="Times New Roman"/>
                            <w:sz w:val="20"/>
                            <w:szCs w:val="20"/>
                            <w:lang w:val="en-AU"/>
                          </w:rPr>
                          <w:t xml:space="preserve">Women hold 4.1% of line roles (the same as in 2008) and 24.1% of support roles, an increase from 17.1% in 2008.  </w:t>
                        </w:r>
                      </w:p>
                      <w:p w:rsidR="00A429FE" w:rsidRPr="00A429FE" w:rsidRDefault="00A429FE" w:rsidP="00A429FE">
                        <w:pPr>
                          <w:spacing w:before="100" w:beforeAutospacing="1" w:after="100" w:afterAutospacing="1"/>
                          <w:rPr>
                            <w:rFonts w:ascii="Times" w:hAnsi="Times" w:cs="Times New Roman"/>
                            <w:sz w:val="20"/>
                            <w:szCs w:val="20"/>
                            <w:lang w:val="en-AU"/>
                          </w:rPr>
                        </w:pPr>
                        <w:r w:rsidRPr="00A429FE">
                          <w:rPr>
                            <w:rFonts w:ascii="Times" w:hAnsi="Times" w:cs="Times New Roman"/>
                            <w:sz w:val="20"/>
                            <w:szCs w:val="20"/>
                            <w:lang w:val="en-AU"/>
                          </w:rPr>
                          <w:t xml:space="preserve">The report is available on the </w:t>
                        </w:r>
                        <w:r w:rsidRPr="00A429FE">
                          <w:rPr>
                            <w:rFonts w:ascii="Times" w:hAnsi="Times" w:cs="Times New Roman"/>
                            <w:sz w:val="20"/>
                            <w:szCs w:val="20"/>
                            <w:lang w:val="en-AU"/>
                          </w:rPr>
                          <w:fldChar w:fldCharType="begin"/>
                        </w:r>
                        <w:r w:rsidRPr="00A429FE">
                          <w:rPr>
                            <w:rFonts w:ascii="Times" w:hAnsi="Times" w:cs="Times New Roman"/>
                            <w:sz w:val="20"/>
                            <w:szCs w:val="20"/>
                            <w:lang w:val="en-AU"/>
                          </w:rPr>
                          <w:instrText xml:space="preserve"> HYPERLINK "http://www.eowa.gov.au/" \t "_new" </w:instrText>
                        </w:r>
                        <w:r w:rsidRPr="00A429FE">
                          <w:rPr>
                            <w:rFonts w:ascii="Times" w:hAnsi="Times" w:cs="Times New Roman"/>
                            <w:sz w:val="20"/>
                            <w:szCs w:val="20"/>
                            <w:lang w:val="en-AU"/>
                          </w:rPr>
                        </w:r>
                        <w:r w:rsidRPr="00A429FE">
                          <w:rPr>
                            <w:rFonts w:ascii="Times" w:hAnsi="Times" w:cs="Times New Roman"/>
                            <w:sz w:val="20"/>
                            <w:szCs w:val="20"/>
                            <w:lang w:val="en-AU"/>
                          </w:rPr>
                          <w:fldChar w:fldCharType="separate"/>
                        </w:r>
                        <w:r w:rsidRPr="00A429FE">
                          <w:rPr>
                            <w:rFonts w:ascii="Times" w:hAnsi="Times" w:cs="Times New Roman"/>
                            <w:color w:val="0000FF"/>
                            <w:sz w:val="20"/>
                            <w:szCs w:val="20"/>
                            <w:u w:val="single"/>
                            <w:lang w:val="en-AU"/>
                          </w:rPr>
                          <w:t>Equal Opportunity for Women in the Workplace Agency</w:t>
                        </w:r>
                        <w:r w:rsidRPr="00A429FE">
                          <w:rPr>
                            <w:rFonts w:ascii="Times" w:hAnsi="Times" w:cs="Times New Roman"/>
                            <w:sz w:val="20"/>
                            <w:szCs w:val="20"/>
                            <w:lang w:val="en-AU"/>
                          </w:rPr>
                          <w:fldChar w:fldCharType="end"/>
                        </w:r>
                        <w:r w:rsidRPr="00A429FE">
                          <w:rPr>
                            <w:rFonts w:ascii="Times" w:hAnsi="Times" w:cs="Times New Roman"/>
                            <w:sz w:val="20"/>
                            <w:szCs w:val="20"/>
                            <w:lang w:val="en-AU"/>
                          </w:rPr>
                          <w:t xml:space="preserve"> website. </w:t>
                        </w:r>
                      </w:p>
                      <w:p w:rsidR="00A429FE" w:rsidRPr="00A429FE" w:rsidRDefault="00A429FE" w:rsidP="00A429F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7056" name="Picture 17056" descr="etailed Contents">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56" descr="etailed Contents">
                                        <a:hlinkClick r:id="rId93"/>
                                      </pic:cNvPr>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A429FE" w:rsidRPr="00A429FE" w:rsidRDefault="00A429FE" w:rsidP="00A429FE">
                        <w:pPr>
                          <w:rPr>
                            <w:rFonts w:ascii="Times" w:eastAsia="Times New Roman" w:hAnsi="Times" w:cs="Times New Roman"/>
                            <w:sz w:val="20"/>
                            <w:szCs w:val="20"/>
                            <w:lang w:val="en-AU"/>
                          </w:rPr>
                        </w:pPr>
                        <w:r w:rsidRPr="00A429FE">
                          <w:rPr>
                            <w:rFonts w:ascii="Times" w:eastAsia="Times New Roman" w:hAnsi="Times" w:cs="Times New Roman"/>
                            <w:sz w:val="20"/>
                            <w:szCs w:val="20"/>
                            <w:lang w:val="en-AU"/>
                          </w:rPr>
                          <w:pict>
                            <v:rect id="_x0000_i18081" style="width:0;height:1.5pt" o:hralign="center" o:hrstd="t" o:hr="t" fillcolor="#aaa" stroked="f"/>
                          </w:pict>
                        </w:r>
                      </w:p>
                      <w:p w:rsidR="00A429FE" w:rsidRPr="00A429FE" w:rsidRDefault="00A429FE" w:rsidP="00A429FE">
                        <w:pPr>
                          <w:spacing w:before="100" w:beforeAutospacing="1" w:after="100" w:afterAutospacing="1"/>
                          <w:rPr>
                            <w:rFonts w:ascii="Times" w:hAnsi="Times" w:cs="Times New Roman"/>
                            <w:sz w:val="20"/>
                            <w:szCs w:val="20"/>
                            <w:lang w:val="en-AU"/>
                          </w:rPr>
                        </w:pPr>
                        <w:bookmarkStart w:id="18" w:name="0113"/>
                        <w:bookmarkEnd w:id="18"/>
                        <w:r w:rsidRPr="00A429FE">
                          <w:rPr>
                            <w:rFonts w:ascii="Times" w:hAnsi="Times" w:cs="Times New Roman"/>
                            <w:b/>
                            <w:bCs/>
                            <w:sz w:val="20"/>
                            <w:szCs w:val="20"/>
                            <w:lang w:val="en-AU"/>
                          </w:rPr>
                          <w:t xml:space="preserve">1.13 SEC seeks public comment on asset-backed securities rule proposal </w:t>
                        </w:r>
                        <w:r w:rsidRPr="00A429FE">
                          <w:rPr>
                            <w:rFonts w:ascii="Times" w:hAnsi="Times" w:cs="Times New Roman"/>
                            <w:b/>
                            <w:bCs/>
                            <w:sz w:val="20"/>
                            <w:szCs w:val="20"/>
                            <w:lang w:val="en-AU"/>
                          </w:rPr>
                          <w:br/>
                        </w:r>
                        <w:r w:rsidRPr="00A429FE">
                          <w:rPr>
                            <w:rFonts w:ascii="Times" w:hAnsi="Times" w:cs="Times New Roman"/>
                            <w:sz w:val="20"/>
                            <w:szCs w:val="20"/>
                            <w:lang w:val="en-AU"/>
                          </w:rPr>
                          <w:t> </w:t>
                        </w:r>
                        <w:r w:rsidRPr="00A429FE">
                          <w:rPr>
                            <w:rFonts w:ascii="Times" w:hAnsi="Times" w:cs="Times New Roman"/>
                            <w:sz w:val="20"/>
                            <w:szCs w:val="20"/>
                            <w:lang w:val="en-AU"/>
                          </w:rPr>
                          <w:br/>
                          <w:t>On 6 October 2010, the US Securities and Exchange Commission (SEC) announced that it is seeking public comment on proposed regulations to require issuers of asset-backed securities (ABS) and credit rating agencies that rate ABS to provide investors with new disclosures about representations, warranties, and enforcement mechanisms.</w:t>
                        </w:r>
                        <w:r w:rsidRPr="00A429FE">
                          <w:rPr>
                            <w:rFonts w:ascii="Times" w:hAnsi="Times" w:cs="Times New Roman"/>
                            <w:sz w:val="20"/>
                            <w:szCs w:val="20"/>
                            <w:lang w:val="en-AU"/>
                          </w:rPr>
                          <w:br/>
                          <w:t> </w:t>
                        </w:r>
                        <w:r w:rsidRPr="00A429FE">
                          <w:rPr>
                            <w:rFonts w:ascii="Times" w:hAnsi="Times" w:cs="Times New Roman"/>
                            <w:sz w:val="20"/>
                            <w:szCs w:val="20"/>
                            <w:lang w:val="en-AU"/>
                          </w:rPr>
                          <w:br/>
                          <w:t xml:space="preserve">Section 943 of the Dodd-Frank Wall Street Reform and Consumer Protection Act requires the Commission to prescribe regulations on the use of representations and warranties in the ABS market by 14 January 2011 (180 days after enactment). </w:t>
                        </w:r>
                        <w:r w:rsidRPr="00A429FE">
                          <w:rPr>
                            <w:rFonts w:ascii="Times" w:hAnsi="Times" w:cs="Times New Roman"/>
                            <w:sz w:val="20"/>
                            <w:szCs w:val="20"/>
                            <w:lang w:val="en-AU"/>
                          </w:rPr>
                          <w:br/>
                          <w:t> </w:t>
                        </w:r>
                        <w:r w:rsidRPr="00A429FE">
                          <w:rPr>
                            <w:rFonts w:ascii="Times" w:hAnsi="Times" w:cs="Times New Roman"/>
                            <w:sz w:val="20"/>
                            <w:szCs w:val="20"/>
                            <w:lang w:val="en-AU"/>
                          </w:rPr>
                          <w:br/>
                          <w:t xml:space="preserve">ABS are created by buying and bundling loans such as residential mortgage loans, commercial loans or student loans and creating securities backed by those assets that are then sold to investors. In the transaction agreements that govern a securitization, ABS issuers or originators of those loans typically make "representations and warranties" about the characteristics and the quality of those loans. If a loan does not comply with the representation or warranty, an ABS issuer or lender can be required to repurchase the loan from the pool or replace it with a substitute asset. </w:t>
                        </w:r>
                        <w:r w:rsidRPr="00A429FE">
                          <w:rPr>
                            <w:rFonts w:ascii="Times" w:hAnsi="Times" w:cs="Times New Roman"/>
                            <w:sz w:val="20"/>
                            <w:szCs w:val="20"/>
                            <w:lang w:val="en-AU"/>
                          </w:rPr>
                          <w:br/>
                          <w:t> </w:t>
                        </w:r>
                        <w:r w:rsidRPr="00A429FE">
                          <w:rPr>
                            <w:rFonts w:ascii="Times" w:hAnsi="Times" w:cs="Times New Roman"/>
                            <w:sz w:val="20"/>
                            <w:szCs w:val="20"/>
                            <w:lang w:val="en-AU"/>
                          </w:rPr>
                          <w:br/>
                          <w:t>Since the financial crisis, many investors and other transaction parties have questioned whether the loans in the bundle meet the characteristics specified by the representations and warranties in transaction agreements, and have been seeking to enforce repurchase provisions. The Dodd-Frank Act imposes new disclosure obligations so that investors receive information about the representations and warranties and repurchase history so they may identify originators with clear underwriting deficiencies.</w:t>
                        </w:r>
                        <w:r w:rsidRPr="00A429FE">
                          <w:rPr>
                            <w:rFonts w:ascii="Times" w:hAnsi="Times" w:cs="Times New Roman"/>
                            <w:sz w:val="20"/>
                            <w:szCs w:val="20"/>
                            <w:lang w:val="en-AU"/>
                          </w:rPr>
                          <w:br/>
                          <w:t> </w:t>
                        </w:r>
                        <w:r w:rsidRPr="00A429FE">
                          <w:rPr>
                            <w:rFonts w:ascii="Times" w:hAnsi="Times" w:cs="Times New Roman"/>
                            <w:sz w:val="20"/>
                            <w:szCs w:val="20"/>
                            <w:lang w:val="en-AU"/>
                          </w:rPr>
                          <w:br/>
                          <w:t>The SEC's proposed rules would:</w:t>
                        </w:r>
                      </w:p>
                      <w:p w:rsidR="00A429FE" w:rsidRPr="00A429FE" w:rsidRDefault="00A429FE" w:rsidP="00A429FE">
                        <w:pPr>
                          <w:tabs>
                            <w:tab w:val="num" w:pos="720"/>
                          </w:tabs>
                          <w:spacing w:before="100" w:beforeAutospacing="1" w:after="100" w:afterAutospacing="1"/>
                          <w:ind w:left="720" w:hanging="360"/>
                          <w:rPr>
                            <w:rFonts w:ascii="Times" w:eastAsia="Times New Roman" w:hAnsi="Times" w:cs="Times New Roman"/>
                            <w:sz w:val="20"/>
                            <w:szCs w:val="20"/>
                            <w:lang w:val="en-AU"/>
                          </w:rPr>
                        </w:pPr>
                        <w:r w:rsidRPr="00A429FE">
                          <w:rPr>
                            <w:rFonts w:ascii="Times" w:eastAsia="Times New Roman" w:hAnsi="Times" w:cs="Times New Roman"/>
                            <w:sz w:val="20"/>
                            <w:szCs w:val="20"/>
                            <w:lang w:val="en-AU"/>
                          </w:rPr>
                          <w:t xml:space="preserve">Require disclosure of repurchase history; </w:t>
                        </w:r>
                      </w:p>
                      <w:p w:rsidR="00A429FE" w:rsidRPr="00A429FE" w:rsidRDefault="00A429FE" w:rsidP="00A429FE">
                        <w:pPr>
                          <w:tabs>
                            <w:tab w:val="num" w:pos="720"/>
                          </w:tabs>
                          <w:spacing w:before="100" w:beforeAutospacing="1" w:after="100" w:afterAutospacing="1"/>
                          <w:ind w:left="720" w:hanging="360"/>
                          <w:rPr>
                            <w:rFonts w:ascii="Times" w:eastAsia="Times New Roman" w:hAnsi="Times" w:cs="Times New Roman"/>
                            <w:sz w:val="20"/>
                            <w:szCs w:val="20"/>
                            <w:lang w:val="en-AU"/>
                          </w:rPr>
                        </w:pPr>
                        <w:r w:rsidRPr="00A429FE">
                          <w:rPr>
                            <w:rFonts w:ascii="Times" w:eastAsia="Times New Roman" w:hAnsi="Times" w:cs="Times New Roman"/>
                            <w:sz w:val="20"/>
                            <w:szCs w:val="20"/>
                            <w:lang w:val="en-AU"/>
                          </w:rPr>
                          <w:t xml:space="preserve">Require disclosure of repurchase history in prospectuses and ongoing reports; and </w:t>
                        </w:r>
                      </w:p>
                      <w:p w:rsidR="00A429FE" w:rsidRPr="00A429FE" w:rsidRDefault="00A429FE" w:rsidP="00A429FE">
                        <w:pPr>
                          <w:tabs>
                            <w:tab w:val="num" w:pos="720"/>
                          </w:tabs>
                          <w:spacing w:before="100" w:beforeAutospacing="1" w:after="100" w:afterAutospacing="1"/>
                          <w:ind w:left="720" w:hanging="360"/>
                          <w:rPr>
                            <w:rFonts w:ascii="Times" w:eastAsia="Times New Roman" w:hAnsi="Times" w:cs="Times New Roman"/>
                            <w:sz w:val="20"/>
                            <w:szCs w:val="20"/>
                            <w:lang w:val="en-AU"/>
                          </w:rPr>
                        </w:pPr>
                        <w:r w:rsidRPr="00A429FE">
                          <w:rPr>
                            <w:rFonts w:ascii="Times" w:eastAsia="Times New Roman" w:hAnsi="Times" w:cs="Times New Roman"/>
                            <w:sz w:val="20"/>
                            <w:szCs w:val="20"/>
                            <w:lang w:val="en-AU"/>
                          </w:rPr>
                          <w:t xml:space="preserve">Require NRSROs to provide disclosure in any report accompanying a credit rating. </w:t>
                        </w:r>
                      </w:p>
                      <w:p w:rsidR="00A429FE" w:rsidRPr="00A429FE" w:rsidRDefault="00A429FE" w:rsidP="00A429FE">
                        <w:pPr>
                          <w:spacing w:before="100" w:beforeAutospacing="1" w:after="100" w:afterAutospacing="1"/>
                          <w:rPr>
                            <w:rFonts w:ascii="Times" w:hAnsi="Times" w:cs="Times New Roman"/>
                            <w:sz w:val="20"/>
                            <w:szCs w:val="20"/>
                            <w:lang w:val="en-AU"/>
                          </w:rPr>
                        </w:pPr>
                        <w:r w:rsidRPr="00A429FE">
                          <w:rPr>
                            <w:rFonts w:ascii="Times" w:hAnsi="Times" w:cs="Times New Roman"/>
                            <w:sz w:val="20"/>
                            <w:szCs w:val="20"/>
                            <w:lang w:val="en-AU"/>
                          </w:rPr>
                          <w:t xml:space="preserve">The proposal is available on the </w:t>
                        </w:r>
                        <w:r w:rsidRPr="00A429FE">
                          <w:rPr>
                            <w:rFonts w:ascii="Times" w:hAnsi="Times" w:cs="Times New Roman"/>
                            <w:sz w:val="20"/>
                            <w:szCs w:val="20"/>
                            <w:lang w:val="en-AU"/>
                          </w:rPr>
                          <w:fldChar w:fldCharType="begin"/>
                        </w:r>
                        <w:r w:rsidRPr="00A429FE">
                          <w:rPr>
                            <w:rFonts w:ascii="Times" w:hAnsi="Times" w:cs="Times New Roman"/>
                            <w:sz w:val="20"/>
                            <w:szCs w:val="20"/>
                            <w:lang w:val="en-AU"/>
                          </w:rPr>
                          <w:instrText xml:space="preserve"> HYPERLINK "http://www.sec.gov/rules/proposed/2010/33-9148.pdf" \t "_new" </w:instrText>
                        </w:r>
                        <w:r w:rsidRPr="00A429FE">
                          <w:rPr>
                            <w:rFonts w:ascii="Times" w:hAnsi="Times" w:cs="Times New Roman"/>
                            <w:sz w:val="20"/>
                            <w:szCs w:val="20"/>
                            <w:lang w:val="en-AU"/>
                          </w:rPr>
                        </w:r>
                        <w:r w:rsidRPr="00A429FE">
                          <w:rPr>
                            <w:rFonts w:ascii="Times" w:hAnsi="Times" w:cs="Times New Roman"/>
                            <w:sz w:val="20"/>
                            <w:szCs w:val="20"/>
                            <w:lang w:val="en-AU"/>
                          </w:rPr>
                          <w:fldChar w:fldCharType="separate"/>
                        </w:r>
                        <w:r w:rsidRPr="00A429FE">
                          <w:rPr>
                            <w:rFonts w:ascii="Times" w:hAnsi="Times" w:cs="Times New Roman"/>
                            <w:color w:val="0000FF"/>
                            <w:sz w:val="20"/>
                            <w:szCs w:val="20"/>
                            <w:u w:val="single"/>
                            <w:lang w:val="en-AU"/>
                          </w:rPr>
                          <w:t>SEC</w:t>
                        </w:r>
                        <w:r w:rsidRPr="00A429FE">
                          <w:rPr>
                            <w:rFonts w:ascii="Times" w:hAnsi="Times" w:cs="Times New Roman"/>
                            <w:sz w:val="20"/>
                            <w:szCs w:val="20"/>
                            <w:lang w:val="en-AU"/>
                          </w:rPr>
                          <w:fldChar w:fldCharType="end"/>
                        </w:r>
                        <w:r w:rsidRPr="00A429FE">
                          <w:rPr>
                            <w:rFonts w:ascii="Times" w:hAnsi="Times" w:cs="Times New Roman"/>
                            <w:sz w:val="20"/>
                            <w:szCs w:val="20"/>
                            <w:lang w:val="en-AU"/>
                          </w:rPr>
                          <w:t xml:space="preserve"> website. </w:t>
                        </w:r>
                      </w:p>
                      <w:p w:rsidR="00A429FE" w:rsidRPr="00A429FE" w:rsidRDefault="00A429FE" w:rsidP="00A429F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7058" name="Picture 17058" descr="etailed Contents">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58" descr="etailed Contents">
                                        <a:hlinkClick r:id="rId93"/>
                                      </pic:cNvPr>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A429FE" w:rsidRPr="00A429FE" w:rsidRDefault="00A429FE" w:rsidP="00A429FE">
                        <w:pPr>
                          <w:rPr>
                            <w:rFonts w:ascii="Times" w:eastAsia="Times New Roman" w:hAnsi="Times" w:cs="Times New Roman"/>
                            <w:sz w:val="20"/>
                            <w:szCs w:val="20"/>
                            <w:lang w:val="en-AU"/>
                          </w:rPr>
                        </w:pPr>
                        <w:r w:rsidRPr="00A429FE">
                          <w:rPr>
                            <w:rFonts w:ascii="Times" w:eastAsia="Times New Roman" w:hAnsi="Times" w:cs="Times New Roman"/>
                            <w:sz w:val="20"/>
                            <w:szCs w:val="20"/>
                            <w:lang w:val="en-AU"/>
                          </w:rPr>
                          <w:pict>
                            <v:rect id="_x0000_i18083" style="width:0;height:1.5pt" o:hralign="center" o:hrstd="t" o:hr="t" fillcolor="#aaa" stroked="f"/>
                          </w:pict>
                        </w:r>
                      </w:p>
                      <w:p w:rsidR="00A429FE" w:rsidRPr="00A429FE" w:rsidRDefault="00A429FE" w:rsidP="00A429FE">
                        <w:pPr>
                          <w:spacing w:before="100" w:beforeAutospacing="1" w:after="100" w:afterAutospacing="1"/>
                          <w:rPr>
                            <w:rFonts w:ascii="Times" w:hAnsi="Times" w:cs="Times New Roman"/>
                            <w:sz w:val="20"/>
                            <w:szCs w:val="20"/>
                            <w:lang w:val="en-AU"/>
                          </w:rPr>
                        </w:pPr>
                        <w:bookmarkStart w:id="19" w:name="0114"/>
                        <w:bookmarkEnd w:id="19"/>
                        <w:r w:rsidRPr="00A429FE">
                          <w:rPr>
                            <w:rFonts w:ascii="Times" w:hAnsi="Times" w:cs="Times New Roman"/>
                            <w:b/>
                            <w:bCs/>
                            <w:sz w:val="20"/>
                            <w:szCs w:val="20"/>
                            <w:lang w:val="en-AU"/>
                          </w:rPr>
                          <w:t>1.14 Principles for enhancing corporate governance issued by the Basel Committee</w:t>
                        </w:r>
                        <w:r w:rsidRPr="00A429FE">
                          <w:rPr>
                            <w:rFonts w:ascii="Times" w:hAnsi="Times" w:cs="Times New Roman"/>
                            <w:b/>
                            <w:bCs/>
                            <w:sz w:val="20"/>
                            <w:szCs w:val="20"/>
                            <w:lang w:val="en-AU"/>
                          </w:rPr>
                          <w:br/>
                        </w:r>
                        <w:r w:rsidRPr="00A429FE">
                          <w:rPr>
                            <w:rFonts w:ascii="Times" w:hAnsi="Times" w:cs="Times New Roman"/>
                            <w:sz w:val="20"/>
                            <w:szCs w:val="20"/>
                            <w:lang w:val="en-AU"/>
                          </w:rPr>
                          <w:t> </w:t>
                        </w:r>
                        <w:r w:rsidRPr="00A429FE">
                          <w:rPr>
                            <w:rFonts w:ascii="Times" w:hAnsi="Times" w:cs="Times New Roman"/>
                            <w:sz w:val="20"/>
                            <w:szCs w:val="20"/>
                            <w:lang w:val="en-AU"/>
                          </w:rPr>
                          <w:br/>
                          <w:t xml:space="preserve">On 4 October 2010, the Basel Committee on Banking Supervision issued a set of principles for enhancing sound corporate governance practices at banking organisations. </w:t>
                        </w:r>
                        <w:r w:rsidRPr="00A429FE">
                          <w:rPr>
                            <w:rFonts w:ascii="Times" w:hAnsi="Times" w:cs="Times New Roman"/>
                            <w:sz w:val="20"/>
                            <w:szCs w:val="20"/>
                            <w:lang w:val="en-AU"/>
                          </w:rPr>
                          <w:br/>
                          <w:t> </w:t>
                        </w:r>
                        <w:r w:rsidRPr="00A429FE">
                          <w:rPr>
                            <w:rFonts w:ascii="Times" w:hAnsi="Times" w:cs="Times New Roman"/>
                            <w:sz w:val="20"/>
                            <w:szCs w:val="20"/>
                            <w:lang w:val="en-AU"/>
                          </w:rPr>
                          <w:br/>
                          <w:t xml:space="preserve">The principles for enhancing corporate governance address fundamental deficiencies in bank corporate governance that became apparent during the financial crisis. The principles were first issued for consultation in March 2010. Comments received were highly supportive of the Committee's proposed corporate governance guidance. </w:t>
                        </w:r>
                        <w:r w:rsidRPr="00A429FE">
                          <w:rPr>
                            <w:rFonts w:ascii="Times" w:hAnsi="Times" w:cs="Times New Roman"/>
                            <w:sz w:val="20"/>
                            <w:szCs w:val="20"/>
                            <w:lang w:val="en-AU"/>
                          </w:rPr>
                          <w:br/>
                          <w:t> </w:t>
                        </w:r>
                        <w:r w:rsidRPr="00A429FE">
                          <w:rPr>
                            <w:rFonts w:ascii="Times" w:hAnsi="Times" w:cs="Times New Roman"/>
                            <w:sz w:val="20"/>
                            <w:szCs w:val="20"/>
                            <w:lang w:val="en-AU"/>
                          </w:rPr>
                          <w:br/>
                          <w:t xml:space="preserve">The principles cover: </w:t>
                        </w:r>
                      </w:p>
                      <w:p w:rsidR="00A429FE" w:rsidRPr="00A429FE" w:rsidRDefault="00A429FE" w:rsidP="00A429FE">
                        <w:pPr>
                          <w:tabs>
                            <w:tab w:val="num" w:pos="720"/>
                          </w:tabs>
                          <w:spacing w:before="100" w:beforeAutospacing="1" w:after="100" w:afterAutospacing="1"/>
                          <w:ind w:left="720" w:hanging="360"/>
                          <w:rPr>
                            <w:rFonts w:ascii="Times" w:eastAsia="Times New Roman" w:hAnsi="Times" w:cs="Times New Roman"/>
                            <w:sz w:val="20"/>
                            <w:szCs w:val="20"/>
                            <w:lang w:val="en-AU"/>
                          </w:rPr>
                        </w:pPr>
                        <w:r w:rsidRPr="00A429FE">
                          <w:rPr>
                            <w:rFonts w:ascii="Times" w:eastAsia="Times New Roman" w:hAnsi="Times" w:cs="Times New Roman"/>
                            <w:sz w:val="20"/>
                            <w:szCs w:val="20"/>
                            <w:lang w:val="en-AU"/>
                          </w:rPr>
                          <w:t xml:space="preserve">the role of the board, which includes approving and overseeing the implementation of the bank's risk strategy, taking account of the bank's long-term financial interests and safety; </w:t>
                        </w:r>
                      </w:p>
                      <w:p w:rsidR="00A429FE" w:rsidRPr="00A429FE" w:rsidRDefault="00A429FE" w:rsidP="00A429FE">
                        <w:pPr>
                          <w:tabs>
                            <w:tab w:val="num" w:pos="720"/>
                          </w:tabs>
                          <w:spacing w:before="100" w:beforeAutospacing="1" w:after="100" w:afterAutospacing="1"/>
                          <w:ind w:left="720" w:hanging="360"/>
                          <w:rPr>
                            <w:rFonts w:ascii="Times" w:eastAsia="Times New Roman" w:hAnsi="Times" w:cs="Times New Roman"/>
                            <w:sz w:val="20"/>
                            <w:szCs w:val="20"/>
                            <w:lang w:val="en-AU"/>
                          </w:rPr>
                        </w:pPr>
                        <w:r w:rsidRPr="00A429FE">
                          <w:rPr>
                            <w:rFonts w:ascii="Times" w:eastAsia="Times New Roman" w:hAnsi="Times" w:cs="Times New Roman"/>
                            <w:sz w:val="20"/>
                            <w:szCs w:val="20"/>
                            <w:lang w:val="en-AU"/>
                          </w:rPr>
                          <w:t xml:space="preserve">the board's qualifications. For example, the board should have adequate knowledge and experience relevant to each of the material financial activities the bank intends to pursue to enable effective governance and oversight of the bank; </w:t>
                        </w:r>
                      </w:p>
                      <w:p w:rsidR="00A429FE" w:rsidRPr="00A429FE" w:rsidRDefault="00A429FE" w:rsidP="00A429FE">
                        <w:pPr>
                          <w:tabs>
                            <w:tab w:val="num" w:pos="720"/>
                          </w:tabs>
                          <w:spacing w:before="100" w:beforeAutospacing="1" w:after="100" w:afterAutospacing="1"/>
                          <w:ind w:left="720" w:hanging="360"/>
                          <w:rPr>
                            <w:rFonts w:ascii="Times" w:eastAsia="Times New Roman" w:hAnsi="Times" w:cs="Times New Roman"/>
                            <w:sz w:val="20"/>
                            <w:szCs w:val="20"/>
                            <w:lang w:val="en-AU"/>
                          </w:rPr>
                        </w:pPr>
                        <w:r w:rsidRPr="00A429FE">
                          <w:rPr>
                            <w:rFonts w:ascii="Times" w:eastAsia="Times New Roman" w:hAnsi="Times" w:cs="Times New Roman"/>
                            <w:sz w:val="20"/>
                            <w:szCs w:val="20"/>
                            <w:lang w:val="en-AU"/>
                          </w:rPr>
                          <w:t xml:space="preserve">the importance of a risk management function (including a chief risk officer or equivalent for large banks and internationally active banks), a compliance function and an internal audit function, each with sufficient authority, stature, independence, resources and access to the board; </w:t>
                        </w:r>
                      </w:p>
                      <w:p w:rsidR="00A429FE" w:rsidRPr="00A429FE" w:rsidRDefault="00A429FE" w:rsidP="00A429FE">
                        <w:pPr>
                          <w:tabs>
                            <w:tab w:val="num" w:pos="720"/>
                          </w:tabs>
                          <w:spacing w:before="100" w:beforeAutospacing="1" w:after="100" w:afterAutospacing="1"/>
                          <w:ind w:left="720" w:hanging="360"/>
                          <w:rPr>
                            <w:rFonts w:ascii="Times" w:eastAsia="Times New Roman" w:hAnsi="Times" w:cs="Times New Roman"/>
                            <w:sz w:val="20"/>
                            <w:szCs w:val="20"/>
                            <w:lang w:val="en-AU"/>
                          </w:rPr>
                        </w:pPr>
                        <w:r w:rsidRPr="00A429FE">
                          <w:rPr>
                            <w:rFonts w:ascii="Times" w:eastAsia="Times New Roman" w:hAnsi="Times" w:cs="Times New Roman"/>
                            <w:sz w:val="20"/>
                            <w:szCs w:val="20"/>
                            <w:lang w:val="en-AU"/>
                          </w:rPr>
                          <w:t xml:space="preserve">the need to identify, monitor and manage risks on an ongoing firm-wide and individual entity basis. This should be based on risk management systems and internal control infrastructures that are appropriate for the external risk landscape and the bank's risk profile; and </w:t>
                        </w:r>
                      </w:p>
                      <w:p w:rsidR="00A429FE" w:rsidRPr="00A429FE" w:rsidRDefault="00A429FE" w:rsidP="00A429FE">
                        <w:pPr>
                          <w:tabs>
                            <w:tab w:val="num" w:pos="720"/>
                          </w:tabs>
                          <w:spacing w:before="100" w:beforeAutospacing="1" w:after="100" w:afterAutospacing="1"/>
                          <w:ind w:left="720" w:hanging="360"/>
                          <w:rPr>
                            <w:rFonts w:ascii="Times" w:eastAsia="Times New Roman" w:hAnsi="Times" w:cs="Times New Roman"/>
                            <w:sz w:val="20"/>
                            <w:szCs w:val="20"/>
                            <w:lang w:val="en-AU"/>
                          </w:rPr>
                        </w:pPr>
                        <w:r w:rsidRPr="00A429FE">
                          <w:rPr>
                            <w:rFonts w:ascii="Times" w:eastAsia="Times New Roman" w:hAnsi="Times" w:cs="Times New Roman"/>
                            <w:sz w:val="20"/>
                            <w:szCs w:val="20"/>
                            <w:lang w:val="en-AU"/>
                          </w:rPr>
                          <w:t xml:space="preserve">the board's active oversight of the compensation system's design and operation, including careful alignment of employee compensation with prudent risk-taking, consistent with the Financial Stability Board's principles. </w:t>
                        </w:r>
                      </w:p>
                      <w:p w:rsidR="00A429FE" w:rsidRPr="00A429FE" w:rsidRDefault="00A429FE" w:rsidP="00A429FE">
                        <w:pPr>
                          <w:spacing w:before="100" w:beforeAutospacing="1" w:after="100" w:afterAutospacing="1"/>
                          <w:rPr>
                            <w:rFonts w:ascii="Times" w:hAnsi="Times" w:cs="Times New Roman"/>
                            <w:sz w:val="20"/>
                            <w:szCs w:val="20"/>
                            <w:lang w:val="en-AU"/>
                          </w:rPr>
                        </w:pPr>
                        <w:r w:rsidRPr="00A429FE">
                          <w:rPr>
                            <w:rFonts w:ascii="Times" w:hAnsi="Times" w:cs="Times New Roman"/>
                            <w:sz w:val="20"/>
                            <w:szCs w:val="20"/>
                            <w:lang w:val="en-AU"/>
                          </w:rPr>
                          <w:t xml:space="preserve">The principles also stress the importance of the board and senior management having a clear knowledge and understanding of the bank's operational structure and risks. This includes risks arising from special purpose entities or related structures. </w:t>
                        </w:r>
                        <w:r w:rsidRPr="00A429FE">
                          <w:rPr>
                            <w:rFonts w:ascii="Times" w:hAnsi="Times" w:cs="Times New Roman"/>
                            <w:sz w:val="20"/>
                            <w:szCs w:val="20"/>
                            <w:lang w:val="en-AU"/>
                          </w:rPr>
                          <w:br/>
                          <w:t> </w:t>
                        </w:r>
                        <w:r w:rsidRPr="00A429FE">
                          <w:rPr>
                            <w:rFonts w:ascii="Times" w:hAnsi="Times" w:cs="Times New Roman"/>
                            <w:sz w:val="20"/>
                            <w:szCs w:val="20"/>
                            <w:lang w:val="en-AU"/>
                          </w:rPr>
                          <w:br/>
                          <w:t xml:space="preserve">Supervisors also have a critical role in ensuring that banks practice good corporate governance. In line with the Committee's principles, supervisors should establish guidance or rules requiring banks to have robust corporate governance strategies, policies and procedures. Commensurate with a bank's size, complexity, structure and risk profile, supervisors should regularly evaluate the bank's corporate governance policies and practices as well as its implementation of the Committee's principles. </w:t>
                        </w:r>
                        <w:r w:rsidRPr="00A429FE">
                          <w:rPr>
                            <w:rFonts w:ascii="Times" w:hAnsi="Times" w:cs="Times New Roman"/>
                            <w:sz w:val="20"/>
                            <w:szCs w:val="20"/>
                            <w:lang w:val="en-AU"/>
                          </w:rPr>
                          <w:br/>
                          <w:t> </w:t>
                        </w:r>
                        <w:r w:rsidRPr="00A429FE">
                          <w:rPr>
                            <w:rFonts w:ascii="Times" w:hAnsi="Times" w:cs="Times New Roman"/>
                            <w:sz w:val="20"/>
                            <w:szCs w:val="20"/>
                            <w:lang w:val="en-AU"/>
                          </w:rPr>
                          <w:br/>
                          <w:t xml:space="preserve">The principles are available on the </w:t>
                        </w:r>
                        <w:r w:rsidRPr="00A429FE">
                          <w:rPr>
                            <w:rFonts w:ascii="Times" w:hAnsi="Times" w:cs="Times New Roman"/>
                            <w:sz w:val="20"/>
                            <w:szCs w:val="20"/>
                            <w:lang w:val="en-AU"/>
                          </w:rPr>
                          <w:fldChar w:fldCharType="begin"/>
                        </w:r>
                        <w:r w:rsidRPr="00A429FE">
                          <w:rPr>
                            <w:rFonts w:ascii="Times" w:hAnsi="Times" w:cs="Times New Roman"/>
                            <w:sz w:val="20"/>
                            <w:szCs w:val="20"/>
                            <w:lang w:val="en-AU"/>
                          </w:rPr>
                          <w:instrText xml:space="preserve"> HYPERLINK "http://www.bis.org/publ/bcbs176.pdf" \t "_new" </w:instrText>
                        </w:r>
                        <w:r w:rsidRPr="00A429FE">
                          <w:rPr>
                            <w:rFonts w:ascii="Times" w:hAnsi="Times" w:cs="Times New Roman"/>
                            <w:sz w:val="20"/>
                            <w:szCs w:val="20"/>
                            <w:lang w:val="en-AU"/>
                          </w:rPr>
                        </w:r>
                        <w:r w:rsidRPr="00A429FE">
                          <w:rPr>
                            <w:rFonts w:ascii="Times" w:hAnsi="Times" w:cs="Times New Roman"/>
                            <w:sz w:val="20"/>
                            <w:szCs w:val="20"/>
                            <w:lang w:val="en-AU"/>
                          </w:rPr>
                          <w:fldChar w:fldCharType="separate"/>
                        </w:r>
                        <w:r w:rsidRPr="00A429FE">
                          <w:rPr>
                            <w:rFonts w:ascii="Times" w:hAnsi="Times" w:cs="Times New Roman"/>
                            <w:color w:val="0000FF"/>
                            <w:sz w:val="20"/>
                            <w:szCs w:val="20"/>
                            <w:u w:val="single"/>
                            <w:lang w:val="en-AU"/>
                          </w:rPr>
                          <w:t>BIS</w:t>
                        </w:r>
                        <w:r w:rsidRPr="00A429FE">
                          <w:rPr>
                            <w:rFonts w:ascii="Times" w:hAnsi="Times" w:cs="Times New Roman"/>
                            <w:sz w:val="20"/>
                            <w:szCs w:val="20"/>
                            <w:lang w:val="en-AU"/>
                          </w:rPr>
                          <w:fldChar w:fldCharType="end"/>
                        </w:r>
                        <w:r w:rsidRPr="00A429FE">
                          <w:rPr>
                            <w:rFonts w:ascii="Times" w:hAnsi="Times" w:cs="Times New Roman"/>
                            <w:sz w:val="20"/>
                            <w:szCs w:val="20"/>
                            <w:lang w:val="en-AU"/>
                          </w:rPr>
                          <w:t xml:space="preserve"> website.</w:t>
                        </w:r>
                      </w:p>
                      <w:p w:rsidR="00A429FE" w:rsidRPr="00A429FE" w:rsidRDefault="00A429FE" w:rsidP="00A429F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7060" name="Picture 17060" descr="etailed Contents">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60" descr="etailed Contents">
                                        <a:hlinkClick r:id="rId93"/>
                                      </pic:cNvPr>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A429FE" w:rsidRPr="00A429FE" w:rsidRDefault="00A429FE" w:rsidP="00A429FE">
                        <w:pPr>
                          <w:rPr>
                            <w:rFonts w:ascii="Times" w:eastAsia="Times New Roman" w:hAnsi="Times" w:cs="Times New Roman"/>
                            <w:sz w:val="20"/>
                            <w:szCs w:val="20"/>
                            <w:lang w:val="en-AU"/>
                          </w:rPr>
                        </w:pPr>
                        <w:r w:rsidRPr="00A429FE">
                          <w:rPr>
                            <w:rFonts w:ascii="Times" w:eastAsia="Times New Roman" w:hAnsi="Times" w:cs="Times New Roman"/>
                            <w:sz w:val="20"/>
                            <w:szCs w:val="20"/>
                            <w:lang w:val="en-AU"/>
                          </w:rPr>
                          <w:pict>
                            <v:rect id="_x0000_i18085" style="width:0;height:1.5pt" o:hralign="center" o:hrstd="t" o:hr="t" fillcolor="#aaa" stroked="f"/>
                          </w:pict>
                        </w:r>
                      </w:p>
                      <w:p w:rsidR="00A429FE" w:rsidRPr="00A429FE" w:rsidRDefault="00A429FE" w:rsidP="00A429FE">
                        <w:pPr>
                          <w:spacing w:before="100" w:beforeAutospacing="1" w:after="100" w:afterAutospacing="1"/>
                          <w:rPr>
                            <w:rFonts w:ascii="Times" w:hAnsi="Times" w:cs="Times New Roman"/>
                            <w:sz w:val="20"/>
                            <w:szCs w:val="20"/>
                            <w:lang w:val="en-AU"/>
                          </w:rPr>
                        </w:pPr>
                        <w:bookmarkStart w:id="20" w:name="0115"/>
                        <w:bookmarkEnd w:id="20"/>
                        <w:r w:rsidRPr="00A429FE">
                          <w:rPr>
                            <w:rFonts w:ascii="Times" w:hAnsi="Times" w:cs="Times New Roman"/>
                            <w:b/>
                            <w:bCs/>
                            <w:sz w:val="20"/>
                            <w:szCs w:val="20"/>
                            <w:lang w:val="en-AU"/>
                          </w:rPr>
                          <w:t>1.15 IMF financial stability report</w:t>
                        </w:r>
                        <w:r w:rsidRPr="00A429FE">
                          <w:rPr>
                            <w:rFonts w:ascii="Times" w:hAnsi="Times" w:cs="Times New Roman"/>
                            <w:b/>
                            <w:bCs/>
                            <w:sz w:val="20"/>
                            <w:szCs w:val="20"/>
                            <w:lang w:val="en-AU"/>
                          </w:rPr>
                          <w:br/>
                        </w:r>
                        <w:r w:rsidRPr="00A429FE">
                          <w:rPr>
                            <w:rFonts w:ascii="Times" w:hAnsi="Times" w:cs="Times New Roman"/>
                            <w:sz w:val="20"/>
                            <w:szCs w:val="20"/>
                            <w:lang w:val="en-AU"/>
                          </w:rPr>
                          <w:t> </w:t>
                        </w:r>
                        <w:r w:rsidRPr="00A429FE">
                          <w:rPr>
                            <w:rFonts w:ascii="Times" w:hAnsi="Times" w:cs="Times New Roman"/>
                            <w:sz w:val="20"/>
                            <w:szCs w:val="20"/>
                            <w:lang w:val="en-AU"/>
                          </w:rPr>
                          <w:br/>
                          <w:t>On 1 October 2010, the International Monetary Fund (IMF) published its semi annual Financial Stability Report. The report deals with two main issues:</w:t>
                        </w:r>
                        <w:r w:rsidRPr="00A429FE">
                          <w:rPr>
                            <w:rFonts w:ascii="Times" w:hAnsi="Times" w:cs="Times New Roman"/>
                            <w:sz w:val="20"/>
                            <w:szCs w:val="20"/>
                            <w:lang w:val="en-AU"/>
                          </w:rPr>
                          <w:br/>
                          <w:t> </w:t>
                        </w:r>
                        <w:r w:rsidRPr="00A429FE">
                          <w:rPr>
                            <w:rFonts w:ascii="Times" w:hAnsi="Times" w:cs="Times New Roman"/>
                            <w:sz w:val="20"/>
                            <w:szCs w:val="20"/>
                            <w:lang w:val="en-AU"/>
                          </w:rPr>
                          <w:br/>
                        </w:r>
                        <w:r w:rsidRPr="00A429FE">
                          <w:rPr>
                            <w:rFonts w:ascii="Times" w:hAnsi="Times" w:cs="Times New Roman"/>
                            <w:b/>
                            <w:bCs/>
                            <w:sz w:val="20"/>
                            <w:szCs w:val="20"/>
                            <w:lang w:val="en-AU"/>
                          </w:rPr>
                          <w:t>(a) Systemic liquidity risk: Improving the resilience of institutions and markets</w:t>
                        </w:r>
                      </w:p>
                      <w:p w:rsidR="00A429FE" w:rsidRPr="00A429FE" w:rsidRDefault="00A429FE" w:rsidP="00A429FE">
                        <w:pPr>
                          <w:tabs>
                            <w:tab w:val="num" w:pos="720"/>
                          </w:tabs>
                          <w:spacing w:before="100" w:beforeAutospacing="1" w:after="100" w:afterAutospacing="1"/>
                          <w:ind w:left="720" w:hanging="360"/>
                          <w:rPr>
                            <w:rFonts w:ascii="Times" w:eastAsia="Times New Roman" w:hAnsi="Times" w:cs="Times New Roman"/>
                            <w:sz w:val="20"/>
                            <w:szCs w:val="20"/>
                            <w:lang w:val="en-AU"/>
                          </w:rPr>
                        </w:pPr>
                        <w:r w:rsidRPr="00A429FE">
                          <w:rPr>
                            <w:rFonts w:ascii="Times" w:eastAsia="Times New Roman" w:hAnsi="Times" w:cs="Times New Roman"/>
                            <w:sz w:val="20"/>
                            <w:szCs w:val="20"/>
                            <w:lang w:val="en-AU"/>
                          </w:rPr>
                          <w:t xml:space="preserve">Review of the Systemic Liquidity Shock through Various Short-Term Funding Markets </w:t>
                        </w:r>
                      </w:p>
                      <w:p w:rsidR="00A429FE" w:rsidRPr="00A429FE" w:rsidRDefault="00A429FE" w:rsidP="00A429FE">
                        <w:pPr>
                          <w:tabs>
                            <w:tab w:val="num" w:pos="720"/>
                          </w:tabs>
                          <w:spacing w:before="100" w:beforeAutospacing="1" w:after="100" w:afterAutospacing="1"/>
                          <w:ind w:left="720" w:hanging="360"/>
                          <w:rPr>
                            <w:rFonts w:ascii="Times" w:eastAsia="Times New Roman" w:hAnsi="Times" w:cs="Times New Roman"/>
                            <w:sz w:val="20"/>
                            <w:szCs w:val="20"/>
                            <w:lang w:val="en-AU"/>
                          </w:rPr>
                        </w:pPr>
                        <w:r w:rsidRPr="00A429FE">
                          <w:rPr>
                            <w:rFonts w:ascii="Times" w:eastAsia="Times New Roman" w:hAnsi="Times" w:cs="Times New Roman"/>
                            <w:sz w:val="20"/>
                            <w:szCs w:val="20"/>
                            <w:lang w:val="en-AU"/>
                          </w:rPr>
                          <w:t xml:space="preserve">Funding Markets as Propagation Channels of Systemic Liquidity Risk </w:t>
                        </w:r>
                      </w:p>
                      <w:p w:rsidR="00A429FE" w:rsidRPr="00A429FE" w:rsidRDefault="00A429FE" w:rsidP="00A429FE">
                        <w:pPr>
                          <w:tabs>
                            <w:tab w:val="num" w:pos="720"/>
                          </w:tabs>
                          <w:spacing w:before="100" w:beforeAutospacing="1" w:after="100" w:afterAutospacing="1"/>
                          <w:ind w:left="720" w:hanging="360"/>
                          <w:rPr>
                            <w:rFonts w:ascii="Times" w:eastAsia="Times New Roman" w:hAnsi="Times" w:cs="Times New Roman"/>
                            <w:sz w:val="20"/>
                            <w:szCs w:val="20"/>
                            <w:lang w:val="en-AU"/>
                          </w:rPr>
                        </w:pPr>
                        <w:r w:rsidRPr="00A429FE">
                          <w:rPr>
                            <w:rFonts w:ascii="Times" w:eastAsia="Times New Roman" w:hAnsi="Times" w:cs="Times New Roman"/>
                            <w:sz w:val="20"/>
                            <w:szCs w:val="20"/>
                            <w:lang w:val="en-AU"/>
                          </w:rPr>
                          <w:t xml:space="preserve">Policies to Strengthen the Resilience of Funding Markets </w:t>
                        </w:r>
                      </w:p>
                      <w:p w:rsidR="00A429FE" w:rsidRPr="00A429FE" w:rsidRDefault="00A429FE" w:rsidP="00A429FE">
                        <w:pPr>
                          <w:tabs>
                            <w:tab w:val="num" w:pos="720"/>
                          </w:tabs>
                          <w:spacing w:before="100" w:beforeAutospacing="1" w:after="100" w:afterAutospacing="1"/>
                          <w:ind w:left="720" w:hanging="360"/>
                          <w:rPr>
                            <w:rFonts w:ascii="Times" w:eastAsia="Times New Roman" w:hAnsi="Times" w:cs="Times New Roman"/>
                            <w:sz w:val="20"/>
                            <w:szCs w:val="20"/>
                            <w:lang w:val="en-AU"/>
                          </w:rPr>
                        </w:pPr>
                        <w:r w:rsidRPr="00A429FE">
                          <w:rPr>
                            <w:rFonts w:ascii="Times" w:eastAsia="Times New Roman" w:hAnsi="Times" w:cs="Times New Roman"/>
                            <w:sz w:val="20"/>
                            <w:szCs w:val="20"/>
                            <w:lang w:val="en-AU"/>
                          </w:rPr>
                          <w:t xml:space="preserve">Policies to Strengthen Prudential Liquidity Regulations for Institutions </w:t>
                        </w:r>
                      </w:p>
                      <w:p w:rsidR="00A429FE" w:rsidRPr="00A429FE" w:rsidRDefault="00A429FE" w:rsidP="00A429FE">
                        <w:pPr>
                          <w:tabs>
                            <w:tab w:val="num" w:pos="720"/>
                          </w:tabs>
                          <w:spacing w:before="100" w:beforeAutospacing="1" w:after="100" w:afterAutospacing="1"/>
                          <w:ind w:left="720" w:hanging="360"/>
                          <w:rPr>
                            <w:rFonts w:ascii="Times" w:eastAsia="Times New Roman" w:hAnsi="Times" w:cs="Times New Roman"/>
                            <w:sz w:val="20"/>
                            <w:szCs w:val="20"/>
                            <w:lang w:val="en-AU"/>
                          </w:rPr>
                        </w:pPr>
                        <w:r w:rsidRPr="00A429FE">
                          <w:rPr>
                            <w:rFonts w:ascii="Times" w:eastAsia="Times New Roman" w:hAnsi="Times" w:cs="Times New Roman"/>
                            <w:sz w:val="20"/>
                            <w:szCs w:val="20"/>
                            <w:lang w:val="en-AU"/>
                          </w:rPr>
                          <w:t xml:space="preserve">Outstanding Policy Issues in Addressing Systemic Liquidity Risk </w:t>
                        </w:r>
                      </w:p>
                      <w:p w:rsidR="00A429FE" w:rsidRPr="00A429FE" w:rsidRDefault="00A429FE" w:rsidP="00A429FE">
                        <w:pPr>
                          <w:tabs>
                            <w:tab w:val="num" w:pos="720"/>
                          </w:tabs>
                          <w:spacing w:before="100" w:beforeAutospacing="1" w:after="100" w:afterAutospacing="1"/>
                          <w:ind w:left="720" w:hanging="360"/>
                          <w:rPr>
                            <w:rFonts w:ascii="Times" w:eastAsia="Times New Roman" w:hAnsi="Times" w:cs="Times New Roman"/>
                            <w:sz w:val="20"/>
                            <w:szCs w:val="20"/>
                            <w:lang w:val="en-AU"/>
                          </w:rPr>
                        </w:pPr>
                        <w:r w:rsidRPr="00A429FE">
                          <w:rPr>
                            <w:rFonts w:ascii="Times" w:eastAsia="Times New Roman" w:hAnsi="Times" w:cs="Times New Roman"/>
                            <w:sz w:val="20"/>
                            <w:szCs w:val="20"/>
                            <w:lang w:val="en-AU"/>
                          </w:rPr>
                          <w:t xml:space="preserve">Conclusions and Policy Considerations  </w:t>
                        </w:r>
                      </w:p>
                      <w:p w:rsidR="00A429FE" w:rsidRPr="00A429FE" w:rsidRDefault="00A429FE" w:rsidP="00A429FE">
                        <w:pPr>
                          <w:spacing w:before="100" w:beforeAutospacing="1" w:after="100" w:afterAutospacing="1"/>
                          <w:rPr>
                            <w:rFonts w:ascii="Times" w:hAnsi="Times" w:cs="Times New Roman"/>
                            <w:sz w:val="20"/>
                            <w:szCs w:val="20"/>
                            <w:lang w:val="en-AU"/>
                          </w:rPr>
                        </w:pPr>
                        <w:r w:rsidRPr="00A429FE">
                          <w:rPr>
                            <w:rFonts w:ascii="Times" w:hAnsi="Times" w:cs="Times New Roman"/>
                            <w:b/>
                            <w:bCs/>
                            <w:sz w:val="20"/>
                            <w:szCs w:val="20"/>
                            <w:lang w:val="en-AU"/>
                          </w:rPr>
                          <w:t>(b) The uses and abuses of sovereign credit ratings</w:t>
                        </w:r>
                      </w:p>
                      <w:p w:rsidR="00A429FE" w:rsidRPr="00A429FE" w:rsidRDefault="00A429FE" w:rsidP="00A429FE">
                        <w:pPr>
                          <w:tabs>
                            <w:tab w:val="num" w:pos="720"/>
                          </w:tabs>
                          <w:spacing w:before="100" w:beforeAutospacing="1" w:after="100" w:afterAutospacing="1"/>
                          <w:ind w:left="720" w:hanging="360"/>
                          <w:rPr>
                            <w:rFonts w:ascii="Times" w:eastAsia="Times New Roman" w:hAnsi="Times" w:cs="Times New Roman"/>
                            <w:sz w:val="20"/>
                            <w:szCs w:val="20"/>
                            <w:lang w:val="en-AU"/>
                          </w:rPr>
                        </w:pPr>
                        <w:r w:rsidRPr="00A429FE">
                          <w:rPr>
                            <w:rFonts w:ascii="Times" w:eastAsia="Times New Roman" w:hAnsi="Times" w:cs="Times New Roman"/>
                            <w:sz w:val="20"/>
                            <w:szCs w:val="20"/>
                            <w:lang w:val="en-AU"/>
                          </w:rPr>
                          <w:t xml:space="preserve">Basic Rating Definitions and Principles </w:t>
                        </w:r>
                      </w:p>
                      <w:p w:rsidR="00A429FE" w:rsidRPr="00A429FE" w:rsidRDefault="00A429FE" w:rsidP="00A429FE">
                        <w:pPr>
                          <w:tabs>
                            <w:tab w:val="num" w:pos="720"/>
                          </w:tabs>
                          <w:spacing w:before="100" w:beforeAutospacing="1" w:after="100" w:afterAutospacing="1"/>
                          <w:ind w:left="720" w:hanging="360"/>
                          <w:rPr>
                            <w:rFonts w:ascii="Times" w:eastAsia="Times New Roman" w:hAnsi="Times" w:cs="Times New Roman"/>
                            <w:sz w:val="20"/>
                            <w:szCs w:val="20"/>
                            <w:lang w:val="en-AU"/>
                          </w:rPr>
                        </w:pPr>
                        <w:r w:rsidRPr="00A429FE">
                          <w:rPr>
                            <w:rFonts w:ascii="Times" w:eastAsia="Times New Roman" w:hAnsi="Times" w:cs="Times New Roman"/>
                            <w:sz w:val="20"/>
                            <w:szCs w:val="20"/>
                            <w:lang w:val="en-AU"/>
                          </w:rPr>
                          <w:t xml:space="preserve">The Evolving Roles and Regulation of Credit Ratings and Credit Rating Agencies  </w:t>
                        </w:r>
                      </w:p>
                      <w:p w:rsidR="00A429FE" w:rsidRPr="00A429FE" w:rsidRDefault="00A429FE" w:rsidP="00A429FE">
                        <w:pPr>
                          <w:tabs>
                            <w:tab w:val="num" w:pos="720"/>
                          </w:tabs>
                          <w:spacing w:before="100" w:beforeAutospacing="1" w:after="100" w:afterAutospacing="1"/>
                          <w:ind w:left="720" w:hanging="360"/>
                          <w:rPr>
                            <w:rFonts w:ascii="Times" w:eastAsia="Times New Roman" w:hAnsi="Times" w:cs="Times New Roman"/>
                            <w:sz w:val="20"/>
                            <w:szCs w:val="20"/>
                            <w:lang w:val="en-AU"/>
                          </w:rPr>
                        </w:pPr>
                        <w:r w:rsidRPr="00A429FE">
                          <w:rPr>
                            <w:rFonts w:ascii="Times" w:eastAsia="Times New Roman" w:hAnsi="Times" w:cs="Times New Roman"/>
                            <w:sz w:val="20"/>
                            <w:szCs w:val="20"/>
                            <w:lang w:val="en-AU"/>
                          </w:rPr>
                          <w:t xml:space="preserve">Fundamental Sovereign Credit Risk Analysis </w:t>
                        </w:r>
                      </w:p>
                      <w:p w:rsidR="00A429FE" w:rsidRPr="00A429FE" w:rsidRDefault="00A429FE" w:rsidP="00A429FE">
                        <w:pPr>
                          <w:tabs>
                            <w:tab w:val="num" w:pos="720"/>
                          </w:tabs>
                          <w:spacing w:before="100" w:beforeAutospacing="1" w:after="100" w:afterAutospacing="1"/>
                          <w:ind w:left="720" w:hanging="360"/>
                          <w:rPr>
                            <w:rFonts w:ascii="Times" w:eastAsia="Times New Roman" w:hAnsi="Times" w:cs="Times New Roman"/>
                            <w:sz w:val="20"/>
                            <w:szCs w:val="20"/>
                            <w:lang w:val="en-AU"/>
                          </w:rPr>
                        </w:pPr>
                        <w:r w:rsidRPr="00A429FE">
                          <w:rPr>
                            <w:rFonts w:ascii="Times" w:eastAsia="Times New Roman" w:hAnsi="Times" w:cs="Times New Roman"/>
                            <w:sz w:val="20"/>
                            <w:szCs w:val="20"/>
                            <w:lang w:val="en-AU"/>
                          </w:rPr>
                          <w:t xml:space="preserve">The Accuracy and Informational Value of Sovereign Ratings </w:t>
                        </w:r>
                      </w:p>
                      <w:p w:rsidR="00A429FE" w:rsidRPr="00A429FE" w:rsidRDefault="00A429FE" w:rsidP="00A429FE">
                        <w:pPr>
                          <w:tabs>
                            <w:tab w:val="num" w:pos="720"/>
                          </w:tabs>
                          <w:spacing w:before="100" w:beforeAutospacing="1" w:after="100" w:afterAutospacing="1"/>
                          <w:ind w:left="720" w:hanging="360"/>
                          <w:rPr>
                            <w:rFonts w:ascii="Times" w:eastAsia="Times New Roman" w:hAnsi="Times" w:cs="Times New Roman"/>
                            <w:sz w:val="20"/>
                            <w:szCs w:val="20"/>
                            <w:lang w:val="en-AU"/>
                          </w:rPr>
                        </w:pPr>
                        <w:r w:rsidRPr="00A429FE">
                          <w:rPr>
                            <w:rFonts w:ascii="Times" w:eastAsia="Times New Roman" w:hAnsi="Times" w:cs="Times New Roman"/>
                            <w:sz w:val="20"/>
                            <w:szCs w:val="20"/>
                            <w:lang w:val="en-AU"/>
                          </w:rPr>
                          <w:t xml:space="preserve">Conclusions and Policy Implications  </w:t>
                        </w:r>
                      </w:p>
                      <w:p w:rsidR="00A429FE" w:rsidRPr="00A429FE" w:rsidRDefault="00A429FE" w:rsidP="00A429FE">
                        <w:pPr>
                          <w:spacing w:before="100" w:beforeAutospacing="1" w:after="100" w:afterAutospacing="1"/>
                          <w:rPr>
                            <w:rFonts w:ascii="Times" w:hAnsi="Times" w:cs="Times New Roman"/>
                            <w:sz w:val="20"/>
                            <w:szCs w:val="20"/>
                            <w:lang w:val="en-AU"/>
                          </w:rPr>
                        </w:pPr>
                        <w:r w:rsidRPr="00A429FE">
                          <w:rPr>
                            <w:rFonts w:ascii="Times" w:hAnsi="Times" w:cs="Times New Roman"/>
                            <w:sz w:val="20"/>
                            <w:szCs w:val="20"/>
                            <w:lang w:val="en-AU"/>
                          </w:rPr>
                          <w:t xml:space="preserve">In relation to the systemic liquidity risk issues, it is stated in the report that the inability of multiple financial institutions to roll over or obtain new short-term funding was one of the defining hallmarks of the crisis. Banks and non-banks financial institutions, in particular in advanced countries, increased their reliance on short-term markets for funding, exposing them to significant risks when these markets dried up. Secured lending through repurchase operations grew immensely, greasing the funding markets. Perhaps insufficiently recognized was that the wholesale providers of funds had changed - instead of banks playing a central role in intermediating unsecured funds where needed, others, such as money market mutual funds, were growing suppliers of funds while traditional, more stable, depositors were not. Underestimated were also the risks associated with the greater use of low quality securities as collateral for secured funding. Moreover, the crisis demonstrated that regulators, and banks themselves, had underestimated the risks emanating from the reliance on cross-border funding. </w:t>
                        </w:r>
                        <w:r w:rsidRPr="00A429FE">
                          <w:rPr>
                            <w:rFonts w:ascii="Times" w:hAnsi="Times" w:cs="Times New Roman"/>
                            <w:sz w:val="20"/>
                            <w:szCs w:val="20"/>
                            <w:lang w:val="en-AU"/>
                          </w:rPr>
                          <w:br/>
                          <w:t> </w:t>
                        </w:r>
                        <w:r w:rsidRPr="00A429FE">
                          <w:rPr>
                            <w:rFonts w:ascii="Times" w:hAnsi="Times" w:cs="Times New Roman"/>
                            <w:sz w:val="20"/>
                            <w:szCs w:val="20"/>
                            <w:lang w:val="en-AU"/>
                          </w:rPr>
                          <w:br/>
                          <w:t>A number of policy proposals are included in the report:</w:t>
                        </w:r>
                      </w:p>
                      <w:p w:rsidR="00A429FE" w:rsidRPr="00A429FE" w:rsidRDefault="00A429FE" w:rsidP="00A429FE">
                        <w:pPr>
                          <w:tabs>
                            <w:tab w:val="num" w:pos="720"/>
                          </w:tabs>
                          <w:spacing w:before="100" w:beforeAutospacing="1" w:after="100" w:afterAutospacing="1"/>
                          <w:ind w:left="720" w:hanging="360"/>
                          <w:rPr>
                            <w:rFonts w:ascii="Times" w:eastAsia="Times New Roman" w:hAnsi="Times" w:cs="Times New Roman"/>
                            <w:sz w:val="20"/>
                            <w:szCs w:val="20"/>
                            <w:lang w:val="en-AU"/>
                          </w:rPr>
                        </w:pPr>
                        <w:r w:rsidRPr="00A429FE">
                          <w:rPr>
                            <w:rFonts w:ascii="Times" w:eastAsia="Times New Roman" w:hAnsi="Times" w:cs="Times New Roman"/>
                            <w:sz w:val="20"/>
                            <w:szCs w:val="20"/>
                            <w:lang w:val="en-AU"/>
                          </w:rPr>
                          <w:t xml:space="preserve">Policymakers should strengthen collateral valuation and margin practices in the secured funding markets. Important would be to have more realistic assumptions about how long it might take to sell the collateral, more frequent adjustments to collateral to avoid the problem of abrupt shortfalls in cash. Supervisors should also encourage markets to value collateral through a full credit cycle so to discourage excessive funding when values are high. Moreover, financial supervisors should periodically validate the models banks use to price collateral used to secure funding. </w:t>
                        </w:r>
                      </w:p>
                      <w:p w:rsidR="00A429FE" w:rsidRPr="00A429FE" w:rsidRDefault="00A429FE" w:rsidP="00A429FE">
                        <w:pPr>
                          <w:tabs>
                            <w:tab w:val="num" w:pos="720"/>
                          </w:tabs>
                          <w:spacing w:before="100" w:beforeAutospacing="1" w:after="100" w:afterAutospacing="1"/>
                          <w:ind w:left="720" w:hanging="360"/>
                          <w:rPr>
                            <w:rFonts w:ascii="Times" w:eastAsia="Times New Roman" w:hAnsi="Times" w:cs="Times New Roman"/>
                            <w:sz w:val="20"/>
                            <w:szCs w:val="20"/>
                            <w:lang w:val="en-AU"/>
                          </w:rPr>
                        </w:pPr>
                        <w:r w:rsidRPr="00A429FE">
                          <w:rPr>
                            <w:rFonts w:ascii="Times" w:eastAsia="Times New Roman" w:hAnsi="Times" w:cs="Times New Roman"/>
                            <w:sz w:val="20"/>
                            <w:szCs w:val="20"/>
                            <w:lang w:val="en-AU"/>
                          </w:rPr>
                          <w:t xml:space="preserve">Market regulators should advocate greater use of central counterparties to lower operational and counterparty risk associated with repo transactions. Central counterparties serving repo markets should be subject to minimum regulatory requirements to ensure safety and soundness. Central bank emergency liquidity should be made available to well-run central counterparties in times of systemic liquidity crisis. </w:t>
                        </w:r>
                      </w:p>
                      <w:p w:rsidR="00A429FE" w:rsidRPr="00A429FE" w:rsidRDefault="00A429FE" w:rsidP="00A429FE">
                        <w:pPr>
                          <w:tabs>
                            <w:tab w:val="num" w:pos="720"/>
                          </w:tabs>
                          <w:spacing w:before="100" w:beforeAutospacing="1" w:after="100" w:afterAutospacing="1"/>
                          <w:ind w:left="720" w:hanging="360"/>
                          <w:rPr>
                            <w:rFonts w:ascii="Times" w:eastAsia="Times New Roman" w:hAnsi="Times" w:cs="Times New Roman"/>
                            <w:sz w:val="20"/>
                            <w:szCs w:val="20"/>
                            <w:lang w:val="en-AU"/>
                          </w:rPr>
                        </w:pPr>
                        <w:r w:rsidRPr="00A429FE">
                          <w:rPr>
                            <w:rFonts w:ascii="Times" w:eastAsia="Times New Roman" w:hAnsi="Times" w:cs="Times New Roman"/>
                            <w:sz w:val="20"/>
                            <w:szCs w:val="20"/>
                            <w:lang w:val="en-AU"/>
                          </w:rPr>
                          <w:t xml:space="preserve">Over time, money market mutual funds should have to choose to either become mutual funds whose net asset value fluctuates, or be regulated as banks. Ensuring that investments in such funds are regularly valued at market prices would enhance investors' awareness that they bear investment risks and that their funds are different from a bank deposit in that the principal is not guaranteed and not backed by a public deposit insurance scheme. </w:t>
                        </w:r>
                      </w:p>
                      <w:p w:rsidR="00A429FE" w:rsidRPr="00A429FE" w:rsidRDefault="00A429FE" w:rsidP="00A429FE">
                        <w:pPr>
                          <w:tabs>
                            <w:tab w:val="num" w:pos="720"/>
                          </w:tabs>
                          <w:spacing w:before="100" w:beforeAutospacing="1" w:after="100" w:afterAutospacing="1"/>
                          <w:ind w:left="720" w:hanging="360"/>
                          <w:rPr>
                            <w:rFonts w:ascii="Times" w:eastAsia="Times New Roman" w:hAnsi="Times" w:cs="Times New Roman"/>
                            <w:sz w:val="20"/>
                            <w:szCs w:val="20"/>
                            <w:lang w:val="en-AU"/>
                          </w:rPr>
                        </w:pPr>
                        <w:r w:rsidRPr="00A429FE">
                          <w:rPr>
                            <w:rFonts w:ascii="Times" w:eastAsia="Times New Roman" w:hAnsi="Times" w:cs="Times New Roman"/>
                            <w:sz w:val="20"/>
                            <w:szCs w:val="20"/>
                            <w:lang w:val="en-AU"/>
                          </w:rPr>
                          <w:t xml:space="preserve">The agreement reached to implement the quantitative liquidity requirements as proposed by the Basel Committee on Banking Supervision in September 2010 is a significant step towards lowering liquidity risk. The rules will encourage banks to hold higher liquidity buffers and reduce the mismatch between the cash flows of their assets and payment obligations of their liabilities. </w:t>
                        </w:r>
                      </w:p>
                      <w:p w:rsidR="00A429FE" w:rsidRPr="00A429FE" w:rsidRDefault="00A429FE" w:rsidP="00A429FE">
                        <w:pPr>
                          <w:tabs>
                            <w:tab w:val="num" w:pos="720"/>
                          </w:tabs>
                          <w:spacing w:before="100" w:beforeAutospacing="1" w:after="100" w:afterAutospacing="1"/>
                          <w:ind w:left="720" w:hanging="360"/>
                          <w:rPr>
                            <w:rFonts w:ascii="Times" w:eastAsia="Times New Roman" w:hAnsi="Times" w:cs="Times New Roman"/>
                            <w:sz w:val="20"/>
                            <w:szCs w:val="20"/>
                            <w:lang w:val="en-AU"/>
                          </w:rPr>
                        </w:pPr>
                        <w:r w:rsidRPr="00A429FE">
                          <w:rPr>
                            <w:rFonts w:ascii="Times" w:eastAsia="Times New Roman" w:hAnsi="Times" w:cs="Times New Roman"/>
                            <w:sz w:val="20"/>
                            <w:szCs w:val="20"/>
                            <w:lang w:val="en-AU"/>
                          </w:rPr>
                          <w:t xml:space="preserve">Policymakers should also consider extending the Basel quantitative rules, in some form, to other financial institutions that, as the crisis demonstrated, can contribute to maturity transformation and a build up of systemic risk. This would help mitigate the build up of liquidity risks in the less-regulated "shadow banking" system. </w:t>
                        </w:r>
                      </w:p>
                      <w:p w:rsidR="00A429FE" w:rsidRPr="00A429FE" w:rsidRDefault="00A429FE" w:rsidP="00A429FE">
                        <w:pPr>
                          <w:tabs>
                            <w:tab w:val="num" w:pos="720"/>
                          </w:tabs>
                          <w:spacing w:before="100" w:beforeAutospacing="1" w:after="100" w:afterAutospacing="1"/>
                          <w:ind w:left="720" w:hanging="360"/>
                          <w:rPr>
                            <w:rFonts w:ascii="Times" w:eastAsia="Times New Roman" w:hAnsi="Times" w:cs="Times New Roman"/>
                            <w:sz w:val="20"/>
                            <w:szCs w:val="20"/>
                            <w:lang w:val="en-AU"/>
                          </w:rPr>
                        </w:pPr>
                        <w:r w:rsidRPr="00A429FE">
                          <w:rPr>
                            <w:rFonts w:ascii="Times" w:eastAsia="Times New Roman" w:hAnsi="Times" w:cs="Times New Roman"/>
                            <w:sz w:val="20"/>
                            <w:szCs w:val="20"/>
                            <w:lang w:val="en-AU"/>
                          </w:rPr>
                          <w:t xml:space="preserve">Policymakers should consider ensuring that foreign exchange swap facilities of central banks are readily available in the future in times of stress. This should be complemented by placing greater emphasis on the cross-border, cross-currency dimension in the new liquidity regulations. </w:t>
                        </w:r>
                      </w:p>
                      <w:p w:rsidR="00A429FE" w:rsidRPr="00A429FE" w:rsidRDefault="00A429FE" w:rsidP="00A429FE">
                        <w:pPr>
                          <w:tabs>
                            <w:tab w:val="num" w:pos="720"/>
                          </w:tabs>
                          <w:spacing w:before="100" w:beforeAutospacing="1" w:after="100" w:afterAutospacing="1"/>
                          <w:ind w:left="720" w:hanging="360"/>
                          <w:rPr>
                            <w:rFonts w:ascii="Times" w:eastAsia="Times New Roman" w:hAnsi="Times" w:cs="Times New Roman"/>
                            <w:sz w:val="20"/>
                            <w:szCs w:val="20"/>
                            <w:lang w:val="en-AU"/>
                          </w:rPr>
                        </w:pPr>
                        <w:r w:rsidRPr="00A429FE">
                          <w:rPr>
                            <w:rFonts w:ascii="Times" w:eastAsia="Times New Roman" w:hAnsi="Times" w:cs="Times New Roman"/>
                            <w:sz w:val="20"/>
                            <w:szCs w:val="20"/>
                            <w:lang w:val="en-AU"/>
                          </w:rPr>
                          <w:t xml:space="preserve">Finally, closer international coordination is called for to improve the collection of financial information on relevant funding markets and institutions to allow for an adequate assessment of build up of liquidity risks in the financial system.  </w:t>
                        </w:r>
                      </w:p>
                      <w:p w:rsidR="00A429FE" w:rsidRPr="00A429FE" w:rsidRDefault="00A429FE" w:rsidP="00A429FE">
                        <w:pPr>
                          <w:spacing w:before="100" w:beforeAutospacing="1" w:after="100" w:afterAutospacing="1"/>
                          <w:rPr>
                            <w:rFonts w:ascii="Times" w:hAnsi="Times" w:cs="Times New Roman"/>
                            <w:sz w:val="20"/>
                            <w:szCs w:val="20"/>
                            <w:lang w:val="en-AU"/>
                          </w:rPr>
                        </w:pPr>
                        <w:r w:rsidRPr="00A429FE">
                          <w:rPr>
                            <w:rFonts w:ascii="Times" w:hAnsi="Times" w:cs="Times New Roman"/>
                            <w:sz w:val="20"/>
                            <w:szCs w:val="20"/>
                            <w:lang w:val="en-AU"/>
                          </w:rPr>
                          <w:t xml:space="preserve">The report is available on the </w:t>
                        </w:r>
                        <w:r w:rsidRPr="00A429FE">
                          <w:rPr>
                            <w:rFonts w:ascii="Times" w:hAnsi="Times" w:cs="Times New Roman"/>
                            <w:sz w:val="20"/>
                            <w:szCs w:val="20"/>
                            <w:lang w:val="en-AU"/>
                          </w:rPr>
                          <w:fldChar w:fldCharType="begin"/>
                        </w:r>
                        <w:r w:rsidRPr="00A429FE">
                          <w:rPr>
                            <w:rFonts w:ascii="Times" w:hAnsi="Times" w:cs="Times New Roman"/>
                            <w:sz w:val="20"/>
                            <w:szCs w:val="20"/>
                            <w:lang w:val="en-AU"/>
                          </w:rPr>
                          <w:instrText xml:space="preserve"> HYPERLINK "http://www.imf.org/external/pubs/ft/gfsr/2010/02/pdf/press.pdf" \t "_new" </w:instrText>
                        </w:r>
                        <w:r w:rsidRPr="00A429FE">
                          <w:rPr>
                            <w:rFonts w:ascii="Times" w:hAnsi="Times" w:cs="Times New Roman"/>
                            <w:sz w:val="20"/>
                            <w:szCs w:val="20"/>
                            <w:lang w:val="en-AU"/>
                          </w:rPr>
                        </w:r>
                        <w:r w:rsidRPr="00A429FE">
                          <w:rPr>
                            <w:rFonts w:ascii="Times" w:hAnsi="Times" w:cs="Times New Roman"/>
                            <w:sz w:val="20"/>
                            <w:szCs w:val="20"/>
                            <w:lang w:val="en-AU"/>
                          </w:rPr>
                          <w:fldChar w:fldCharType="separate"/>
                        </w:r>
                        <w:r w:rsidRPr="00A429FE">
                          <w:rPr>
                            <w:rFonts w:ascii="Times" w:hAnsi="Times" w:cs="Times New Roman"/>
                            <w:color w:val="0000FF"/>
                            <w:sz w:val="20"/>
                            <w:szCs w:val="20"/>
                            <w:u w:val="single"/>
                            <w:lang w:val="en-AU"/>
                          </w:rPr>
                          <w:t>IMF</w:t>
                        </w:r>
                        <w:r w:rsidRPr="00A429FE">
                          <w:rPr>
                            <w:rFonts w:ascii="Times" w:hAnsi="Times" w:cs="Times New Roman"/>
                            <w:sz w:val="20"/>
                            <w:szCs w:val="20"/>
                            <w:lang w:val="en-AU"/>
                          </w:rPr>
                          <w:fldChar w:fldCharType="end"/>
                        </w:r>
                        <w:r w:rsidRPr="00A429FE">
                          <w:rPr>
                            <w:rFonts w:ascii="Times" w:hAnsi="Times" w:cs="Times New Roman"/>
                            <w:sz w:val="20"/>
                            <w:szCs w:val="20"/>
                            <w:lang w:val="en-AU"/>
                          </w:rPr>
                          <w:t xml:space="preserve"> website. </w:t>
                        </w:r>
                      </w:p>
                      <w:p w:rsidR="00A429FE" w:rsidRPr="00A429FE" w:rsidRDefault="00A429FE" w:rsidP="00A429F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7062" name="Picture 17062" descr="etailed Contents">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62" descr="etailed Contents">
                                        <a:hlinkClick r:id="rId93"/>
                                      </pic:cNvPr>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A429FE" w:rsidRPr="00A429FE" w:rsidRDefault="00A429FE" w:rsidP="00A429FE">
                        <w:pPr>
                          <w:rPr>
                            <w:rFonts w:ascii="Times" w:eastAsia="Times New Roman" w:hAnsi="Times" w:cs="Times New Roman"/>
                            <w:sz w:val="20"/>
                            <w:szCs w:val="20"/>
                            <w:lang w:val="en-AU"/>
                          </w:rPr>
                        </w:pPr>
                        <w:r w:rsidRPr="00A429FE">
                          <w:rPr>
                            <w:rFonts w:ascii="Times" w:eastAsia="Times New Roman" w:hAnsi="Times" w:cs="Times New Roman"/>
                            <w:sz w:val="20"/>
                            <w:szCs w:val="20"/>
                            <w:lang w:val="en-AU"/>
                          </w:rPr>
                          <w:pict>
                            <v:rect id="_x0000_i18087" style="width:0;height:1.5pt" o:hralign="center" o:hrstd="t" o:hr="t" fillcolor="#aaa" stroked="f"/>
                          </w:pict>
                        </w:r>
                      </w:p>
                      <w:p w:rsidR="00A429FE" w:rsidRPr="00A429FE" w:rsidRDefault="00A429FE" w:rsidP="00A429FE">
                        <w:pPr>
                          <w:spacing w:before="100" w:beforeAutospacing="1" w:after="100" w:afterAutospacing="1"/>
                          <w:rPr>
                            <w:rFonts w:ascii="Times" w:hAnsi="Times" w:cs="Times New Roman"/>
                            <w:sz w:val="20"/>
                            <w:szCs w:val="20"/>
                            <w:lang w:val="en-AU"/>
                          </w:rPr>
                        </w:pPr>
                        <w:bookmarkStart w:id="21" w:name="0116"/>
                        <w:bookmarkEnd w:id="21"/>
                        <w:r w:rsidRPr="00A429FE">
                          <w:rPr>
                            <w:rFonts w:ascii="Times" w:hAnsi="Times" w:cs="Times New Roman"/>
                            <w:b/>
                            <w:bCs/>
                            <w:sz w:val="20"/>
                            <w:szCs w:val="20"/>
                            <w:lang w:val="en-AU"/>
                          </w:rPr>
                          <w:t>1.16 IMF urges more comprehensive reform of the global financial system</w:t>
                        </w:r>
                        <w:r w:rsidRPr="00A429FE">
                          <w:rPr>
                            <w:rFonts w:ascii="Times" w:hAnsi="Times" w:cs="Times New Roman"/>
                            <w:b/>
                            <w:bCs/>
                            <w:sz w:val="20"/>
                            <w:szCs w:val="20"/>
                            <w:lang w:val="en-AU"/>
                          </w:rPr>
                          <w:br/>
                        </w:r>
                        <w:r w:rsidRPr="00A429FE">
                          <w:rPr>
                            <w:rFonts w:ascii="Times" w:hAnsi="Times" w:cs="Times New Roman"/>
                            <w:sz w:val="20"/>
                            <w:szCs w:val="20"/>
                            <w:lang w:val="en-AU"/>
                          </w:rPr>
                          <w:t> </w:t>
                        </w:r>
                        <w:r w:rsidRPr="00A429FE">
                          <w:rPr>
                            <w:rFonts w:ascii="Times" w:hAnsi="Times" w:cs="Times New Roman"/>
                            <w:sz w:val="20"/>
                            <w:szCs w:val="20"/>
                            <w:lang w:val="en-AU"/>
                          </w:rPr>
                          <w:br/>
                          <w:t xml:space="preserve">On 3 October 2010, the International Monetary Fund (IMF) published a report indicating that there is much left to be done to build a global financial system that can provide a lasting foundation for stable and sustainable economic growth. </w:t>
                        </w:r>
                        <w:r w:rsidRPr="00A429FE">
                          <w:rPr>
                            <w:rFonts w:ascii="Times" w:hAnsi="Times" w:cs="Times New Roman"/>
                            <w:sz w:val="20"/>
                            <w:szCs w:val="20"/>
                            <w:lang w:val="en-AU"/>
                          </w:rPr>
                          <w:br/>
                          <w:t> </w:t>
                        </w:r>
                        <w:r w:rsidRPr="00A429FE">
                          <w:rPr>
                            <w:rFonts w:ascii="Times" w:hAnsi="Times" w:cs="Times New Roman"/>
                            <w:sz w:val="20"/>
                            <w:szCs w:val="20"/>
                            <w:lang w:val="en-AU"/>
                          </w:rPr>
                          <w:br/>
                          <w:t>While current reforms are moving in the right direction, the Fund's latest staff position note, "Shaping the new financial system," finds that many difficult decisions lie ahead both at the national and international levels, which are both urgent and challenging.</w:t>
                        </w:r>
                        <w:r w:rsidRPr="00A429FE">
                          <w:rPr>
                            <w:rFonts w:ascii="Times" w:hAnsi="Times" w:cs="Times New Roman"/>
                            <w:sz w:val="20"/>
                            <w:szCs w:val="20"/>
                            <w:lang w:val="en-AU"/>
                          </w:rPr>
                          <w:br/>
                          <w:t> </w:t>
                        </w:r>
                        <w:r w:rsidRPr="00A429FE">
                          <w:rPr>
                            <w:rFonts w:ascii="Times" w:hAnsi="Times" w:cs="Times New Roman"/>
                            <w:sz w:val="20"/>
                            <w:szCs w:val="20"/>
                            <w:lang w:val="en-AU"/>
                          </w:rPr>
                          <w:br/>
                          <w:t>The following five goals are identified by the IMF as key priorities in the reform agenda:</w:t>
                        </w:r>
                      </w:p>
                      <w:p w:rsidR="00A429FE" w:rsidRPr="00A429FE" w:rsidRDefault="00A429FE" w:rsidP="00A429FE">
                        <w:pPr>
                          <w:spacing w:before="100" w:beforeAutospacing="1" w:after="100" w:afterAutospacing="1"/>
                          <w:rPr>
                            <w:rFonts w:ascii="Times" w:hAnsi="Times" w:cs="Times New Roman"/>
                            <w:sz w:val="20"/>
                            <w:szCs w:val="20"/>
                            <w:lang w:val="en-AU"/>
                          </w:rPr>
                        </w:pPr>
                        <w:r w:rsidRPr="00A429FE">
                          <w:rPr>
                            <w:rFonts w:ascii="Times" w:hAnsi="Times" w:cs="Times New Roman"/>
                            <w:b/>
                            <w:bCs/>
                            <w:sz w:val="20"/>
                            <w:szCs w:val="20"/>
                            <w:lang w:val="en-AU"/>
                          </w:rPr>
                          <w:t xml:space="preserve">Ensure a level playing field in regulation: </w:t>
                        </w:r>
                        <w:r w:rsidRPr="00A429FE">
                          <w:rPr>
                            <w:rFonts w:ascii="Times" w:hAnsi="Times" w:cs="Times New Roman"/>
                            <w:sz w:val="20"/>
                            <w:szCs w:val="20"/>
                            <w:lang w:val="en-AU"/>
                          </w:rPr>
                          <w:t>Global coordination is needed to promote the benefits of global finance; foster competition; and minimize regulatory arbitrage.</w:t>
                        </w:r>
                        <w:r w:rsidRPr="00A429FE">
                          <w:rPr>
                            <w:rFonts w:ascii="Times" w:hAnsi="Times" w:cs="Times New Roman"/>
                            <w:sz w:val="20"/>
                            <w:szCs w:val="20"/>
                            <w:lang w:val="en-AU"/>
                          </w:rPr>
                          <w:br/>
                        </w:r>
                        <w:r w:rsidRPr="00A429FE">
                          <w:rPr>
                            <w:rFonts w:ascii="Times" w:hAnsi="Times" w:cs="Times New Roman"/>
                            <w:sz w:val="20"/>
                            <w:szCs w:val="20"/>
                            <w:lang w:val="en-AU"/>
                          </w:rPr>
                          <w:br/>
                        </w:r>
                        <w:r w:rsidRPr="00A429FE">
                          <w:rPr>
                            <w:rFonts w:ascii="Times" w:hAnsi="Times" w:cs="Times New Roman"/>
                            <w:b/>
                            <w:bCs/>
                            <w:sz w:val="20"/>
                            <w:szCs w:val="20"/>
                            <w:lang w:val="en-AU"/>
                          </w:rPr>
                          <w:t>Improve the effectiveness of supervision:</w:t>
                        </w:r>
                        <w:r w:rsidRPr="00A429FE">
                          <w:rPr>
                            <w:rFonts w:ascii="Times" w:hAnsi="Times" w:cs="Times New Roman"/>
                            <w:sz w:val="20"/>
                            <w:szCs w:val="20"/>
                            <w:lang w:val="en-AU"/>
                          </w:rPr>
                          <w:t xml:space="preserve"> Stronger supervision is necessary if a new cycle of leveraging and excessive risk taking is to be prevented. Supervision needs to be more intensive and intrusive, as well as more focused on cross-border exposures.</w:t>
                        </w:r>
                        <w:r w:rsidRPr="00A429FE">
                          <w:rPr>
                            <w:rFonts w:ascii="Times" w:hAnsi="Times" w:cs="Times New Roman"/>
                            <w:sz w:val="20"/>
                            <w:szCs w:val="20"/>
                            <w:lang w:val="en-AU"/>
                          </w:rPr>
                          <w:br/>
                          <w:t> </w:t>
                        </w:r>
                        <w:r w:rsidRPr="00A429FE">
                          <w:rPr>
                            <w:rFonts w:ascii="Times" w:hAnsi="Times" w:cs="Times New Roman"/>
                            <w:sz w:val="20"/>
                            <w:szCs w:val="20"/>
                            <w:lang w:val="en-AU"/>
                          </w:rPr>
                          <w:br/>
                        </w:r>
                        <w:r w:rsidRPr="00A429FE">
                          <w:rPr>
                            <w:rFonts w:ascii="Times" w:hAnsi="Times" w:cs="Times New Roman"/>
                            <w:b/>
                            <w:bCs/>
                            <w:sz w:val="20"/>
                            <w:szCs w:val="20"/>
                            <w:lang w:val="en-AU"/>
                          </w:rPr>
                          <w:t xml:space="preserve">Develop coherent resolution mechanisms at the national level and for cross-border financial institutions: </w:t>
                        </w:r>
                        <w:r w:rsidRPr="00A429FE">
                          <w:rPr>
                            <w:rFonts w:ascii="Times" w:hAnsi="Times" w:cs="Times New Roman"/>
                            <w:sz w:val="20"/>
                            <w:szCs w:val="20"/>
                            <w:lang w:val="en-AU"/>
                          </w:rPr>
                          <w:t>Given the global reach of financial institutions, an enhanced cross-border resolution framework that eliminates moral hazard while preserving financial stability is needed. The first step is to focus on making this operational among a small set of countries that are home to most cross-border financial institutions, particularly to address the problem of "too important to fail."</w:t>
                        </w:r>
                        <w:r w:rsidRPr="00A429FE">
                          <w:rPr>
                            <w:rFonts w:ascii="Times" w:hAnsi="Times" w:cs="Times New Roman"/>
                            <w:sz w:val="20"/>
                            <w:szCs w:val="20"/>
                            <w:lang w:val="en-AU"/>
                          </w:rPr>
                          <w:br/>
                          <w:t> </w:t>
                        </w:r>
                        <w:r w:rsidRPr="00A429FE">
                          <w:rPr>
                            <w:rFonts w:ascii="Times" w:hAnsi="Times" w:cs="Times New Roman"/>
                            <w:sz w:val="20"/>
                            <w:szCs w:val="20"/>
                            <w:lang w:val="en-AU"/>
                          </w:rPr>
                          <w:br/>
                        </w:r>
                        <w:r w:rsidRPr="00A429FE">
                          <w:rPr>
                            <w:rFonts w:ascii="Times" w:hAnsi="Times" w:cs="Times New Roman"/>
                            <w:b/>
                            <w:bCs/>
                            <w:sz w:val="20"/>
                            <w:szCs w:val="20"/>
                            <w:lang w:val="en-AU"/>
                          </w:rPr>
                          <w:t xml:space="preserve">Establish a comprehensive macro prudential framework: </w:t>
                        </w:r>
                        <w:r w:rsidRPr="00A429FE">
                          <w:rPr>
                            <w:rFonts w:ascii="Times" w:hAnsi="Times" w:cs="Times New Roman"/>
                            <w:sz w:val="20"/>
                            <w:szCs w:val="20"/>
                            <w:lang w:val="en-AU"/>
                          </w:rPr>
                          <w:t>Micro prudential regulations designed to improve the resilience of individual institutions must be complemented with effective macro prudential regulations that strengthen the resilience of the financial system. This will require indentifying, monitoring, and addressing systemic risks generated by individual firms and collective behaviour.</w:t>
                        </w:r>
                        <w:r w:rsidRPr="00A429FE">
                          <w:rPr>
                            <w:rFonts w:ascii="Times" w:hAnsi="Times" w:cs="Times New Roman"/>
                            <w:sz w:val="20"/>
                            <w:szCs w:val="20"/>
                            <w:lang w:val="en-AU"/>
                          </w:rPr>
                          <w:br/>
                        </w:r>
                        <w:r w:rsidRPr="00A429FE">
                          <w:rPr>
                            <w:rFonts w:ascii="Times" w:hAnsi="Times" w:cs="Times New Roman"/>
                            <w:sz w:val="20"/>
                            <w:szCs w:val="20"/>
                            <w:lang w:val="en-AU"/>
                          </w:rPr>
                          <w:br/>
                        </w:r>
                        <w:r w:rsidRPr="00A429FE">
                          <w:rPr>
                            <w:rFonts w:ascii="Times" w:hAnsi="Times" w:cs="Times New Roman"/>
                            <w:b/>
                            <w:bCs/>
                            <w:sz w:val="20"/>
                            <w:szCs w:val="20"/>
                            <w:lang w:val="en-AU"/>
                          </w:rPr>
                          <w:t>Cast a wide net:</w:t>
                        </w:r>
                        <w:r w:rsidRPr="00A429FE">
                          <w:rPr>
                            <w:rFonts w:ascii="Times" w:hAnsi="Times" w:cs="Times New Roman"/>
                            <w:sz w:val="20"/>
                            <w:szCs w:val="20"/>
                            <w:lang w:val="en-AU"/>
                          </w:rPr>
                          <w:t xml:space="preserve"> Reforms must address emerging exposures and risks in the entire financial system, not just banks. There is a danger that riskier activities and products will migrate to less regulated or un-regulated segments of the system.</w:t>
                        </w:r>
                        <w:r w:rsidRPr="00A429FE">
                          <w:rPr>
                            <w:rFonts w:ascii="Times" w:hAnsi="Times" w:cs="Times New Roman"/>
                            <w:sz w:val="20"/>
                            <w:szCs w:val="20"/>
                            <w:lang w:val="en-AU"/>
                          </w:rPr>
                          <w:br/>
                          <w:t> </w:t>
                        </w:r>
                        <w:r w:rsidRPr="00A429FE">
                          <w:rPr>
                            <w:rFonts w:ascii="Times" w:hAnsi="Times" w:cs="Times New Roman"/>
                            <w:sz w:val="20"/>
                            <w:szCs w:val="20"/>
                            <w:lang w:val="en-AU"/>
                          </w:rPr>
                          <w:br/>
                          <w:t xml:space="preserve">The report is available on the </w:t>
                        </w:r>
                        <w:r w:rsidRPr="00A429FE">
                          <w:rPr>
                            <w:rFonts w:ascii="Times" w:hAnsi="Times" w:cs="Times New Roman"/>
                            <w:sz w:val="20"/>
                            <w:szCs w:val="20"/>
                            <w:lang w:val="en-AU"/>
                          </w:rPr>
                          <w:fldChar w:fldCharType="begin"/>
                        </w:r>
                        <w:r w:rsidRPr="00A429FE">
                          <w:rPr>
                            <w:rFonts w:ascii="Times" w:hAnsi="Times" w:cs="Times New Roman"/>
                            <w:sz w:val="20"/>
                            <w:szCs w:val="20"/>
                            <w:lang w:val="en-AU"/>
                          </w:rPr>
                          <w:instrText xml:space="preserve"> HYPERLINK "http://www.imf.org/external/pubs/ft/spn/2010/spn1015.pdf" \t "_new" </w:instrText>
                        </w:r>
                        <w:r w:rsidRPr="00A429FE">
                          <w:rPr>
                            <w:rFonts w:ascii="Times" w:hAnsi="Times" w:cs="Times New Roman"/>
                            <w:sz w:val="20"/>
                            <w:szCs w:val="20"/>
                            <w:lang w:val="en-AU"/>
                          </w:rPr>
                        </w:r>
                        <w:r w:rsidRPr="00A429FE">
                          <w:rPr>
                            <w:rFonts w:ascii="Times" w:hAnsi="Times" w:cs="Times New Roman"/>
                            <w:sz w:val="20"/>
                            <w:szCs w:val="20"/>
                            <w:lang w:val="en-AU"/>
                          </w:rPr>
                          <w:fldChar w:fldCharType="separate"/>
                        </w:r>
                        <w:r w:rsidRPr="00A429FE">
                          <w:rPr>
                            <w:rFonts w:ascii="Times" w:hAnsi="Times" w:cs="Times New Roman"/>
                            <w:color w:val="0000FF"/>
                            <w:sz w:val="20"/>
                            <w:szCs w:val="20"/>
                            <w:u w:val="single"/>
                            <w:lang w:val="en-AU"/>
                          </w:rPr>
                          <w:t>IMF</w:t>
                        </w:r>
                        <w:r w:rsidRPr="00A429FE">
                          <w:rPr>
                            <w:rFonts w:ascii="Times" w:hAnsi="Times" w:cs="Times New Roman"/>
                            <w:sz w:val="20"/>
                            <w:szCs w:val="20"/>
                            <w:lang w:val="en-AU"/>
                          </w:rPr>
                          <w:fldChar w:fldCharType="end"/>
                        </w:r>
                        <w:r w:rsidRPr="00A429FE">
                          <w:rPr>
                            <w:rFonts w:ascii="Times" w:hAnsi="Times" w:cs="Times New Roman"/>
                            <w:sz w:val="20"/>
                            <w:szCs w:val="20"/>
                            <w:lang w:val="en-AU"/>
                          </w:rPr>
                          <w:t xml:space="preserve"> website.</w:t>
                        </w:r>
                      </w:p>
                      <w:p w:rsidR="00A429FE" w:rsidRPr="00A429FE" w:rsidRDefault="00A429FE" w:rsidP="00A429F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7064" name="Picture 17064" descr="etailed Contents">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64" descr="etailed Contents">
                                        <a:hlinkClick r:id="rId93"/>
                                      </pic:cNvPr>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A429FE" w:rsidRPr="00A429FE" w:rsidRDefault="00A429FE" w:rsidP="00A429FE">
                        <w:pPr>
                          <w:rPr>
                            <w:rFonts w:ascii="Times" w:eastAsia="Times New Roman" w:hAnsi="Times" w:cs="Times New Roman"/>
                            <w:sz w:val="20"/>
                            <w:szCs w:val="20"/>
                            <w:lang w:val="en-AU"/>
                          </w:rPr>
                        </w:pPr>
                        <w:r w:rsidRPr="00A429FE">
                          <w:rPr>
                            <w:rFonts w:ascii="Times" w:eastAsia="Times New Roman" w:hAnsi="Times" w:cs="Times New Roman"/>
                            <w:sz w:val="20"/>
                            <w:szCs w:val="20"/>
                            <w:lang w:val="en-AU"/>
                          </w:rPr>
                          <w:pict>
                            <v:rect id="_x0000_i18089" style="width:0;height:1.5pt" o:hralign="center" o:hrstd="t" o:hr="t" fillcolor="#aaa" stroked="f"/>
                          </w:pict>
                        </w:r>
                      </w:p>
                      <w:p w:rsidR="00A429FE" w:rsidRPr="00A429FE" w:rsidRDefault="00A429FE" w:rsidP="00A429FE">
                        <w:pPr>
                          <w:spacing w:before="100" w:beforeAutospacing="1" w:after="100" w:afterAutospacing="1"/>
                          <w:rPr>
                            <w:rFonts w:ascii="Times" w:hAnsi="Times" w:cs="Times New Roman"/>
                            <w:sz w:val="20"/>
                            <w:szCs w:val="20"/>
                            <w:lang w:val="en-AU"/>
                          </w:rPr>
                        </w:pPr>
                        <w:bookmarkStart w:id="22" w:name="0117"/>
                        <w:bookmarkEnd w:id="22"/>
                        <w:r w:rsidRPr="00A429FE">
                          <w:rPr>
                            <w:rFonts w:ascii="Times" w:hAnsi="Times" w:cs="Times New Roman"/>
                            <w:b/>
                            <w:bCs/>
                            <w:sz w:val="20"/>
                            <w:szCs w:val="20"/>
                            <w:lang w:val="en-AU"/>
                          </w:rPr>
                          <w:t>1.17 Reintroduction of corporate law legislation into Parliament</w:t>
                        </w:r>
                        <w:r w:rsidRPr="00A429FE">
                          <w:rPr>
                            <w:rFonts w:ascii="Times" w:hAnsi="Times" w:cs="Times New Roman"/>
                            <w:b/>
                            <w:bCs/>
                            <w:sz w:val="20"/>
                            <w:szCs w:val="20"/>
                            <w:lang w:val="en-AU"/>
                          </w:rPr>
                          <w:br/>
                        </w:r>
                        <w:r w:rsidRPr="00A429FE">
                          <w:rPr>
                            <w:rFonts w:ascii="Times" w:hAnsi="Times" w:cs="Times New Roman"/>
                            <w:sz w:val="20"/>
                            <w:szCs w:val="20"/>
                            <w:lang w:val="en-AU"/>
                          </w:rPr>
                          <w:t> </w:t>
                        </w:r>
                        <w:r w:rsidRPr="00A429FE">
                          <w:rPr>
                            <w:rFonts w:ascii="Times" w:hAnsi="Times" w:cs="Times New Roman"/>
                            <w:sz w:val="20"/>
                            <w:szCs w:val="20"/>
                            <w:lang w:val="en-AU"/>
                          </w:rPr>
                          <w:br/>
                          <w:t>On 29 September 2010, the Australian Government announced that following the recent election the following Bills, which lapsed with the calling of the election, have been reintroduced into Parliament.</w:t>
                        </w:r>
                        <w:r w:rsidRPr="00A429FE">
                          <w:rPr>
                            <w:rFonts w:ascii="Times" w:hAnsi="Times" w:cs="Times New Roman"/>
                            <w:sz w:val="20"/>
                            <w:szCs w:val="20"/>
                            <w:lang w:val="en-AU"/>
                          </w:rPr>
                          <w:br/>
                          <w:t> </w:t>
                        </w:r>
                        <w:r w:rsidRPr="00A429FE">
                          <w:rPr>
                            <w:rFonts w:ascii="Times" w:hAnsi="Times" w:cs="Times New Roman"/>
                            <w:sz w:val="20"/>
                            <w:szCs w:val="20"/>
                            <w:lang w:val="en-AU"/>
                          </w:rPr>
                          <w:br/>
                        </w:r>
                        <w:r w:rsidRPr="00A429FE">
                          <w:rPr>
                            <w:rFonts w:ascii="Times" w:hAnsi="Times" w:cs="Times New Roman"/>
                            <w:b/>
                            <w:bCs/>
                            <w:sz w:val="20"/>
                            <w:szCs w:val="20"/>
                            <w:lang w:val="en-AU"/>
                          </w:rPr>
                          <w:t>(a) Market misconduct and unsolicited share offers</w:t>
                        </w:r>
                      </w:p>
                      <w:p w:rsidR="00A429FE" w:rsidRPr="00A429FE" w:rsidRDefault="00A429FE" w:rsidP="00A429FE">
                        <w:pPr>
                          <w:spacing w:before="100" w:beforeAutospacing="1" w:after="100" w:afterAutospacing="1"/>
                          <w:rPr>
                            <w:rFonts w:ascii="Times" w:hAnsi="Times" w:cs="Times New Roman"/>
                            <w:sz w:val="20"/>
                            <w:szCs w:val="20"/>
                            <w:lang w:val="en-AU"/>
                          </w:rPr>
                        </w:pPr>
                        <w:r w:rsidRPr="00A429FE">
                          <w:rPr>
                            <w:rFonts w:ascii="Times" w:hAnsi="Times" w:cs="Times New Roman"/>
                            <w:sz w:val="20"/>
                            <w:szCs w:val="20"/>
                            <w:lang w:val="en-AU"/>
                          </w:rPr>
                          <w:t xml:space="preserve">The </w:t>
                        </w:r>
                        <w:r w:rsidRPr="00A429FE">
                          <w:rPr>
                            <w:rFonts w:ascii="Times" w:hAnsi="Times" w:cs="Times New Roman"/>
                            <w:sz w:val="20"/>
                            <w:szCs w:val="20"/>
                            <w:lang w:val="en-AU"/>
                          </w:rPr>
                          <w:fldChar w:fldCharType="begin"/>
                        </w:r>
                        <w:r w:rsidRPr="00A429FE">
                          <w:rPr>
                            <w:rFonts w:ascii="Times" w:hAnsi="Times" w:cs="Times New Roman"/>
                            <w:sz w:val="20"/>
                            <w:szCs w:val="20"/>
                            <w:lang w:val="en-AU"/>
                          </w:rPr>
                          <w:instrText xml:space="preserve"> HYPERLINK "http://my.lawlex.com.au/index.asp?pact=coredoc&amp;nav=col&amp;cid=118027" \t "Default" </w:instrText>
                        </w:r>
                        <w:r w:rsidRPr="00A429FE">
                          <w:rPr>
                            <w:rFonts w:ascii="Times" w:hAnsi="Times" w:cs="Times New Roman"/>
                            <w:sz w:val="20"/>
                            <w:szCs w:val="20"/>
                            <w:lang w:val="en-AU"/>
                          </w:rPr>
                        </w:r>
                        <w:r w:rsidRPr="00A429FE">
                          <w:rPr>
                            <w:rFonts w:ascii="Times" w:hAnsi="Times" w:cs="Times New Roman"/>
                            <w:sz w:val="20"/>
                            <w:szCs w:val="20"/>
                            <w:lang w:val="en-AU"/>
                          </w:rPr>
                          <w:fldChar w:fldCharType="separate"/>
                        </w:r>
                        <w:r w:rsidRPr="00A429FE">
                          <w:rPr>
                            <w:rFonts w:ascii="Times" w:hAnsi="Times" w:cs="Times New Roman"/>
                            <w:color w:val="0000FF"/>
                            <w:sz w:val="20"/>
                            <w:szCs w:val="20"/>
                            <w:u w:val="single"/>
                            <w:lang w:val="en-AU"/>
                          </w:rPr>
                          <w:t>Corporations Amendment (No. 1) Bill 2010</w:t>
                        </w:r>
                        <w:r w:rsidRPr="00A429FE">
                          <w:rPr>
                            <w:rFonts w:ascii="Times" w:hAnsi="Times" w:cs="Times New Roman"/>
                            <w:sz w:val="20"/>
                            <w:szCs w:val="20"/>
                            <w:lang w:val="en-AU"/>
                          </w:rPr>
                          <w:fldChar w:fldCharType="end"/>
                        </w:r>
                        <w:r w:rsidRPr="00A429FE">
                          <w:rPr>
                            <w:rFonts w:ascii="Times" w:hAnsi="Times" w:cs="Times New Roman"/>
                            <w:sz w:val="20"/>
                            <w:szCs w:val="20"/>
                            <w:lang w:val="en-AU"/>
                          </w:rPr>
                          <w:t xml:space="preserve"> targets the practice of unsolicited off-market share offers that are below value to vulnerable investors. The legislation also substantially increases the penalties for persons or businesses that breach the market manipulation and insider trading provisions.</w:t>
                        </w:r>
                        <w:r w:rsidRPr="00A429FE">
                          <w:rPr>
                            <w:rFonts w:ascii="Times" w:hAnsi="Times" w:cs="Times New Roman"/>
                            <w:sz w:val="20"/>
                            <w:szCs w:val="20"/>
                            <w:lang w:val="en-AU"/>
                          </w:rPr>
                          <w:br/>
                          <w:t> </w:t>
                        </w:r>
                        <w:r w:rsidRPr="00A429FE">
                          <w:rPr>
                            <w:rFonts w:ascii="Times" w:hAnsi="Times" w:cs="Times New Roman"/>
                            <w:sz w:val="20"/>
                            <w:szCs w:val="20"/>
                            <w:lang w:val="en-AU"/>
                          </w:rPr>
                          <w:br/>
                          <w:t xml:space="preserve">The legislation would change the way information contained in company registers is accessed by requiring someone seeking a copy of the register to state what use they will make of the information contained in the register. Importantly, the legislation will enable companies to refuse to provide information if the purpose is improper, as provided for in the </w:t>
                        </w:r>
                        <w:r w:rsidRPr="00A429FE">
                          <w:rPr>
                            <w:rFonts w:ascii="Times" w:hAnsi="Times" w:cs="Times New Roman"/>
                            <w:sz w:val="20"/>
                            <w:szCs w:val="20"/>
                            <w:lang w:val="en-AU"/>
                          </w:rPr>
                          <w:fldChar w:fldCharType="begin"/>
                        </w:r>
                        <w:r w:rsidRPr="00A429FE">
                          <w:rPr>
                            <w:rFonts w:ascii="Times" w:hAnsi="Times" w:cs="Times New Roman"/>
                            <w:sz w:val="20"/>
                            <w:szCs w:val="20"/>
                            <w:lang w:val="en-AU"/>
                          </w:rPr>
                          <w:instrText xml:space="preserve"> HYPERLINK "http://my.lawlex.com.au/index.asp?pact=coredoc&amp;nav=col&amp;cid=56758" \t "Default" </w:instrText>
                        </w:r>
                        <w:r w:rsidRPr="00A429FE">
                          <w:rPr>
                            <w:rFonts w:ascii="Times" w:hAnsi="Times" w:cs="Times New Roman"/>
                            <w:sz w:val="20"/>
                            <w:szCs w:val="20"/>
                            <w:lang w:val="en-AU"/>
                          </w:rPr>
                        </w:r>
                        <w:r w:rsidRPr="00A429FE">
                          <w:rPr>
                            <w:rFonts w:ascii="Times" w:hAnsi="Times" w:cs="Times New Roman"/>
                            <w:sz w:val="20"/>
                            <w:szCs w:val="20"/>
                            <w:lang w:val="en-AU"/>
                          </w:rPr>
                          <w:fldChar w:fldCharType="separate"/>
                        </w:r>
                        <w:r w:rsidRPr="00A429FE">
                          <w:rPr>
                            <w:rFonts w:ascii="Times" w:hAnsi="Times" w:cs="Times New Roman"/>
                            <w:color w:val="0000FF"/>
                            <w:sz w:val="20"/>
                            <w:szCs w:val="20"/>
                            <w:u w:val="single"/>
                            <w:lang w:val="en-AU"/>
                          </w:rPr>
                          <w:t>Corporations Regulations</w:t>
                        </w:r>
                        <w:r w:rsidRPr="00A429FE">
                          <w:rPr>
                            <w:rFonts w:ascii="Times" w:hAnsi="Times" w:cs="Times New Roman"/>
                            <w:sz w:val="20"/>
                            <w:szCs w:val="20"/>
                            <w:lang w:val="en-AU"/>
                          </w:rPr>
                          <w:fldChar w:fldCharType="end"/>
                        </w:r>
                        <w:r w:rsidRPr="00A429FE">
                          <w:rPr>
                            <w:rFonts w:ascii="Times" w:hAnsi="Times" w:cs="Times New Roman"/>
                            <w:sz w:val="20"/>
                            <w:szCs w:val="20"/>
                            <w:lang w:val="en-AU"/>
                          </w:rPr>
                          <w:t xml:space="preserve">. It will be an offence to make a false statement when requesting a copy of the register and the penalty will be up to 12 months imprisonment. The legislation will also make it an offence to use any information obtained for any improper purpose. </w:t>
                        </w:r>
                        <w:r w:rsidRPr="00A429FE">
                          <w:rPr>
                            <w:rFonts w:ascii="Times" w:hAnsi="Times" w:cs="Times New Roman"/>
                            <w:sz w:val="20"/>
                            <w:szCs w:val="20"/>
                            <w:lang w:val="en-AU"/>
                          </w:rPr>
                          <w:br/>
                          <w:t> </w:t>
                        </w:r>
                        <w:r w:rsidRPr="00A429FE">
                          <w:rPr>
                            <w:rFonts w:ascii="Times" w:hAnsi="Times" w:cs="Times New Roman"/>
                            <w:sz w:val="20"/>
                            <w:szCs w:val="20"/>
                            <w:lang w:val="en-AU"/>
                          </w:rPr>
                          <w:br/>
                          <w:t xml:space="preserve">These reforms will prohibit a person from using the information in the register to: </w:t>
                        </w:r>
                      </w:p>
                      <w:p w:rsidR="00A429FE" w:rsidRPr="00A429FE" w:rsidRDefault="00A429FE" w:rsidP="00A429FE">
                        <w:pPr>
                          <w:tabs>
                            <w:tab w:val="num" w:pos="720"/>
                          </w:tabs>
                          <w:spacing w:before="100" w:beforeAutospacing="1" w:after="100" w:afterAutospacing="1"/>
                          <w:ind w:left="720" w:hanging="360"/>
                          <w:rPr>
                            <w:rFonts w:ascii="Times" w:eastAsia="Times New Roman" w:hAnsi="Times" w:cs="Times New Roman"/>
                            <w:sz w:val="20"/>
                            <w:szCs w:val="20"/>
                            <w:lang w:val="en-AU"/>
                          </w:rPr>
                        </w:pPr>
                        <w:r w:rsidRPr="00A429FE">
                          <w:rPr>
                            <w:rFonts w:ascii="Times" w:eastAsia="Times New Roman" w:hAnsi="Times" w:cs="Times New Roman"/>
                            <w:sz w:val="20"/>
                            <w:szCs w:val="20"/>
                            <w:lang w:val="en-AU"/>
                          </w:rPr>
                          <w:t xml:space="preserve">make unsolicited share offers (other than a takeover); </w:t>
                        </w:r>
                      </w:p>
                      <w:p w:rsidR="00A429FE" w:rsidRPr="00A429FE" w:rsidRDefault="00A429FE" w:rsidP="00A429FE">
                        <w:pPr>
                          <w:tabs>
                            <w:tab w:val="num" w:pos="720"/>
                          </w:tabs>
                          <w:spacing w:before="100" w:beforeAutospacing="1" w:after="100" w:afterAutospacing="1"/>
                          <w:ind w:left="720" w:hanging="360"/>
                          <w:rPr>
                            <w:rFonts w:ascii="Times" w:eastAsia="Times New Roman" w:hAnsi="Times" w:cs="Times New Roman"/>
                            <w:sz w:val="20"/>
                            <w:szCs w:val="20"/>
                            <w:lang w:val="en-AU"/>
                          </w:rPr>
                        </w:pPr>
                        <w:r w:rsidRPr="00A429FE">
                          <w:rPr>
                            <w:rFonts w:ascii="Times" w:eastAsia="Times New Roman" w:hAnsi="Times" w:cs="Times New Roman"/>
                            <w:sz w:val="20"/>
                            <w:szCs w:val="20"/>
                            <w:lang w:val="en-AU"/>
                          </w:rPr>
                          <w:t xml:space="preserve">solicit members by brokers; </w:t>
                        </w:r>
                      </w:p>
                      <w:p w:rsidR="00A429FE" w:rsidRPr="00A429FE" w:rsidRDefault="00A429FE" w:rsidP="00A429FE">
                        <w:pPr>
                          <w:tabs>
                            <w:tab w:val="num" w:pos="720"/>
                          </w:tabs>
                          <w:spacing w:before="100" w:beforeAutospacing="1" w:after="100" w:afterAutospacing="1"/>
                          <w:ind w:left="720" w:hanging="360"/>
                          <w:rPr>
                            <w:rFonts w:ascii="Times" w:eastAsia="Times New Roman" w:hAnsi="Times" w:cs="Times New Roman"/>
                            <w:sz w:val="20"/>
                            <w:szCs w:val="20"/>
                            <w:lang w:val="en-AU"/>
                          </w:rPr>
                        </w:pPr>
                        <w:r w:rsidRPr="00A429FE">
                          <w:rPr>
                            <w:rFonts w:ascii="Times" w:eastAsia="Times New Roman" w:hAnsi="Times" w:cs="Times New Roman"/>
                            <w:sz w:val="20"/>
                            <w:szCs w:val="20"/>
                            <w:lang w:val="en-AU"/>
                          </w:rPr>
                          <w:t xml:space="preserve">solicit members by charities; and </w:t>
                        </w:r>
                      </w:p>
                      <w:p w:rsidR="00A429FE" w:rsidRPr="00A429FE" w:rsidRDefault="00A429FE" w:rsidP="00A429FE">
                        <w:pPr>
                          <w:tabs>
                            <w:tab w:val="num" w:pos="720"/>
                          </w:tabs>
                          <w:spacing w:before="100" w:beforeAutospacing="1" w:after="100" w:afterAutospacing="1"/>
                          <w:ind w:left="720" w:hanging="360"/>
                          <w:rPr>
                            <w:rFonts w:ascii="Times" w:eastAsia="Times New Roman" w:hAnsi="Times" w:cs="Times New Roman"/>
                            <w:sz w:val="20"/>
                            <w:szCs w:val="20"/>
                            <w:lang w:val="en-AU"/>
                          </w:rPr>
                        </w:pPr>
                        <w:r w:rsidRPr="00A429FE">
                          <w:rPr>
                            <w:rFonts w:ascii="Times" w:eastAsia="Times New Roman" w:hAnsi="Times" w:cs="Times New Roman"/>
                            <w:sz w:val="20"/>
                            <w:szCs w:val="20"/>
                            <w:lang w:val="en-AU"/>
                          </w:rPr>
                          <w:t xml:space="preserve">use the register to gather information about the wealth of individuals.  </w:t>
                        </w:r>
                      </w:p>
                      <w:p w:rsidR="00A429FE" w:rsidRPr="00A429FE" w:rsidRDefault="00A429FE" w:rsidP="00A429FE">
                        <w:pPr>
                          <w:spacing w:before="100" w:beforeAutospacing="1" w:after="100" w:afterAutospacing="1"/>
                          <w:rPr>
                            <w:rFonts w:ascii="Times" w:hAnsi="Times" w:cs="Times New Roman"/>
                            <w:sz w:val="20"/>
                            <w:szCs w:val="20"/>
                            <w:lang w:val="en-AU"/>
                          </w:rPr>
                        </w:pPr>
                        <w:r w:rsidRPr="00A429FE">
                          <w:rPr>
                            <w:rFonts w:ascii="Times" w:hAnsi="Times" w:cs="Times New Roman"/>
                            <w:sz w:val="20"/>
                            <w:szCs w:val="20"/>
                            <w:lang w:val="en-AU"/>
                          </w:rPr>
                          <w:t>The legislation will also increase the penalties for market offences, such as insider trading and market manipulation. Currently, the benefits that can be gained from engaging in such conduct can significantly exceed the present maximum penalty. As these offences are recognised as being difficult to investigate and prove, the legislation will also improve how they can be investigated through enhancing the Australian Securities and Investments Commission search warrant power and by enabling telecommunications interception material to be collected by agencies such as the Australian Federal Police.</w:t>
                        </w:r>
                        <w:r w:rsidRPr="00A429FE">
                          <w:rPr>
                            <w:rFonts w:ascii="Times" w:hAnsi="Times" w:cs="Times New Roman"/>
                            <w:sz w:val="20"/>
                            <w:szCs w:val="20"/>
                            <w:lang w:val="en-AU"/>
                          </w:rPr>
                          <w:br/>
                          <w:t> </w:t>
                        </w:r>
                        <w:r w:rsidRPr="00A429FE">
                          <w:rPr>
                            <w:rFonts w:ascii="Times" w:hAnsi="Times" w:cs="Times New Roman"/>
                            <w:sz w:val="20"/>
                            <w:szCs w:val="20"/>
                            <w:lang w:val="en-AU"/>
                          </w:rPr>
                          <w:br/>
                        </w:r>
                        <w:r w:rsidRPr="00A429FE">
                          <w:rPr>
                            <w:rFonts w:ascii="Times" w:hAnsi="Times" w:cs="Times New Roman"/>
                            <w:b/>
                            <w:bCs/>
                            <w:sz w:val="20"/>
                            <w:szCs w:val="20"/>
                            <w:lang w:val="en-AU"/>
                          </w:rPr>
                          <w:t>(b) Reversal of the High Court decision in Sons of Gwalia</w:t>
                        </w:r>
                        <w:r w:rsidRPr="00A429FE">
                          <w:rPr>
                            <w:rFonts w:ascii="Times" w:hAnsi="Times" w:cs="Times New Roman"/>
                            <w:sz w:val="20"/>
                            <w:szCs w:val="20"/>
                            <w:lang w:val="en-AU"/>
                          </w:rPr>
                          <w:br/>
                        </w:r>
                        <w:r w:rsidRPr="00A429FE">
                          <w:rPr>
                            <w:rFonts w:ascii="Times" w:hAnsi="Times" w:cs="Times New Roman"/>
                            <w:sz w:val="20"/>
                            <w:szCs w:val="20"/>
                            <w:lang w:val="en-AU"/>
                          </w:rPr>
                          <w:br/>
                          <w:t xml:space="preserve">The </w:t>
                        </w:r>
                        <w:r w:rsidRPr="00A429FE">
                          <w:rPr>
                            <w:rFonts w:ascii="Times" w:hAnsi="Times" w:cs="Times New Roman"/>
                            <w:sz w:val="20"/>
                            <w:szCs w:val="20"/>
                            <w:lang w:val="en-AU"/>
                          </w:rPr>
                          <w:fldChar w:fldCharType="begin"/>
                        </w:r>
                        <w:r w:rsidRPr="00A429FE">
                          <w:rPr>
                            <w:rFonts w:ascii="Times" w:hAnsi="Times" w:cs="Times New Roman"/>
                            <w:sz w:val="20"/>
                            <w:szCs w:val="20"/>
                            <w:lang w:val="en-AU"/>
                          </w:rPr>
                          <w:instrText xml:space="preserve"> HYPERLINK "http://my.lawlex.com.au/index.asp?pact=coredoc&amp;nav=col&amp;cid=118026" \t "Default" </w:instrText>
                        </w:r>
                        <w:r w:rsidRPr="00A429FE">
                          <w:rPr>
                            <w:rFonts w:ascii="Times" w:hAnsi="Times" w:cs="Times New Roman"/>
                            <w:sz w:val="20"/>
                            <w:szCs w:val="20"/>
                            <w:lang w:val="en-AU"/>
                          </w:rPr>
                        </w:r>
                        <w:r w:rsidRPr="00A429FE">
                          <w:rPr>
                            <w:rFonts w:ascii="Times" w:hAnsi="Times" w:cs="Times New Roman"/>
                            <w:sz w:val="20"/>
                            <w:szCs w:val="20"/>
                            <w:lang w:val="en-AU"/>
                          </w:rPr>
                          <w:fldChar w:fldCharType="separate"/>
                        </w:r>
                        <w:r w:rsidRPr="00A429FE">
                          <w:rPr>
                            <w:rFonts w:ascii="Times" w:hAnsi="Times" w:cs="Times New Roman"/>
                            <w:color w:val="0000FF"/>
                            <w:sz w:val="20"/>
                            <w:szCs w:val="20"/>
                            <w:u w:val="single"/>
                            <w:lang w:val="en-AU"/>
                          </w:rPr>
                          <w:t>Corporations Amendment (Sons of Gwalia) Bill 2010</w:t>
                        </w:r>
                        <w:r w:rsidRPr="00A429FE">
                          <w:rPr>
                            <w:rFonts w:ascii="Times" w:hAnsi="Times" w:cs="Times New Roman"/>
                            <w:sz w:val="20"/>
                            <w:szCs w:val="20"/>
                            <w:lang w:val="en-AU"/>
                          </w:rPr>
                          <w:fldChar w:fldCharType="end"/>
                        </w:r>
                        <w:r w:rsidRPr="00A429FE">
                          <w:rPr>
                            <w:rFonts w:ascii="Times" w:hAnsi="Times" w:cs="Times New Roman"/>
                            <w:sz w:val="20"/>
                            <w:szCs w:val="20"/>
                            <w:lang w:val="en-AU"/>
                          </w:rPr>
                          <w:t xml:space="preserve"> gives effect to the Government's decision to reverse the High Court's decision in </w:t>
                        </w:r>
                        <w:r w:rsidRPr="00A429FE">
                          <w:rPr>
                            <w:rFonts w:ascii="Times" w:hAnsi="Times" w:cs="Times New Roman"/>
                            <w:i/>
                            <w:iCs/>
                            <w:sz w:val="20"/>
                            <w:szCs w:val="20"/>
                            <w:lang w:val="en-AU"/>
                          </w:rPr>
                          <w:t>Sons of Gwalia v Margaretic</w:t>
                        </w:r>
                        <w:r w:rsidRPr="00A429FE">
                          <w:rPr>
                            <w:rFonts w:ascii="Times" w:hAnsi="Times" w:cs="Times New Roman"/>
                            <w:sz w:val="20"/>
                            <w:szCs w:val="20"/>
                            <w:lang w:val="en-AU"/>
                          </w:rPr>
                          <w:t xml:space="preserve">. The Sons of Gwalia decision determined that, in a corporate insolvency, certain shareholder claims against a company ranked equally with the claims of other unsecured creditors. The Bill returns the order of claims to that which existed prior to the Sons of Gwalia judgment. </w:t>
                        </w:r>
                        <w:r w:rsidRPr="00A429FE">
                          <w:rPr>
                            <w:rFonts w:ascii="Times" w:hAnsi="Times" w:cs="Times New Roman"/>
                            <w:sz w:val="20"/>
                            <w:szCs w:val="20"/>
                            <w:lang w:val="en-AU"/>
                          </w:rPr>
                          <w:br/>
                          <w:t> </w:t>
                        </w:r>
                        <w:r w:rsidRPr="00A429FE">
                          <w:rPr>
                            <w:rFonts w:ascii="Times" w:hAnsi="Times" w:cs="Times New Roman"/>
                            <w:sz w:val="20"/>
                            <w:szCs w:val="20"/>
                            <w:lang w:val="en-AU"/>
                          </w:rPr>
                          <w:br/>
                          <w:t>The Bill also makes procedural reforms relating to notices to creditors and shareholder voting, designed to remove a cost burden on companies in external administration, and will clarify the position of shareholders bringing claims for damages against companies.</w:t>
                        </w:r>
                        <w:r w:rsidRPr="00A429FE">
                          <w:rPr>
                            <w:rFonts w:ascii="Times" w:hAnsi="Times" w:cs="Times New Roman"/>
                            <w:sz w:val="20"/>
                            <w:szCs w:val="20"/>
                            <w:lang w:val="en-AU"/>
                          </w:rPr>
                          <w:br/>
                          <w:t> </w:t>
                        </w:r>
                        <w:r w:rsidRPr="00A429FE">
                          <w:rPr>
                            <w:rFonts w:ascii="Times" w:hAnsi="Times" w:cs="Times New Roman"/>
                            <w:sz w:val="20"/>
                            <w:szCs w:val="20"/>
                            <w:lang w:val="en-AU"/>
                          </w:rPr>
                          <w:br/>
                          <w:t xml:space="preserve">Specifically, the Bill removes the right of persons bringing claims regarding shareholdings to: </w:t>
                        </w:r>
                      </w:p>
                      <w:p w:rsidR="00A429FE" w:rsidRPr="00A429FE" w:rsidRDefault="00A429FE" w:rsidP="00A429FE">
                        <w:pPr>
                          <w:tabs>
                            <w:tab w:val="num" w:pos="720"/>
                          </w:tabs>
                          <w:spacing w:before="100" w:beforeAutospacing="1" w:after="100" w:afterAutospacing="1"/>
                          <w:ind w:left="720" w:hanging="360"/>
                          <w:rPr>
                            <w:rFonts w:ascii="Times" w:eastAsia="Times New Roman" w:hAnsi="Times" w:cs="Times New Roman"/>
                            <w:sz w:val="20"/>
                            <w:szCs w:val="20"/>
                            <w:lang w:val="en-AU"/>
                          </w:rPr>
                        </w:pPr>
                        <w:r w:rsidRPr="00A429FE">
                          <w:rPr>
                            <w:rFonts w:ascii="Times" w:eastAsia="Times New Roman" w:hAnsi="Times" w:cs="Times New Roman"/>
                            <w:sz w:val="20"/>
                            <w:szCs w:val="20"/>
                            <w:lang w:val="en-AU"/>
                          </w:rPr>
                          <w:t xml:space="preserve">vote as creditors in a voluntary administration or a winding-up, unless they receive permission from the court; or </w:t>
                        </w:r>
                      </w:p>
                      <w:p w:rsidR="00A429FE" w:rsidRPr="00A429FE" w:rsidRDefault="00A429FE" w:rsidP="00A429FE">
                        <w:pPr>
                          <w:tabs>
                            <w:tab w:val="num" w:pos="720"/>
                          </w:tabs>
                          <w:spacing w:before="100" w:beforeAutospacing="1" w:after="100" w:afterAutospacing="1"/>
                          <w:ind w:left="720" w:hanging="360"/>
                          <w:rPr>
                            <w:rFonts w:ascii="Times" w:eastAsia="Times New Roman" w:hAnsi="Times" w:cs="Times New Roman"/>
                            <w:sz w:val="20"/>
                            <w:szCs w:val="20"/>
                            <w:lang w:val="en-AU"/>
                          </w:rPr>
                        </w:pPr>
                        <w:r w:rsidRPr="00A429FE">
                          <w:rPr>
                            <w:rFonts w:ascii="Times" w:eastAsia="Times New Roman" w:hAnsi="Times" w:cs="Times New Roman"/>
                            <w:sz w:val="20"/>
                            <w:szCs w:val="20"/>
                            <w:lang w:val="en-AU"/>
                          </w:rPr>
                          <w:t xml:space="preserve">receive reports to creditors, unless they make a request in writing to the external administrator.  </w:t>
                        </w:r>
                      </w:p>
                      <w:p w:rsidR="00A429FE" w:rsidRPr="00A429FE" w:rsidRDefault="00A429FE" w:rsidP="00A429FE">
                        <w:pPr>
                          <w:spacing w:before="100" w:beforeAutospacing="1" w:after="100" w:afterAutospacing="1"/>
                          <w:rPr>
                            <w:rFonts w:ascii="Times" w:hAnsi="Times" w:cs="Times New Roman"/>
                            <w:sz w:val="20"/>
                            <w:szCs w:val="20"/>
                            <w:lang w:val="en-AU"/>
                          </w:rPr>
                        </w:pPr>
                        <w:r w:rsidRPr="00A429FE">
                          <w:rPr>
                            <w:rFonts w:ascii="Times" w:hAnsi="Times" w:cs="Times New Roman"/>
                            <w:sz w:val="20"/>
                            <w:szCs w:val="20"/>
                            <w:lang w:val="en-AU"/>
                          </w:rPr>
                          <w:t xml:space="preserve">The Bill also eliminates a number of restrictions on the capacity of a shareholder to recover damages against a company based on how they acquired the shares or whether they still hold the shares. </w:t>
                        </w:r>
                        <w:r w:rsidRPr="00A429FE">
                          <w:rPr>
                            <w:rFonts w:ascii="Times" w:hAnsi="Times" w:cs="Times New Roman"/>
                            <w:sz w:val="20"/>
                            <w:szCs w:val="20"/>
                            <w:lang w:val="en-AU"/>
                          </w:rPr>
                          <w:br/>
                        </w:r>
                        <w:r w:rsidRPr="00A429FE">
                          <w:rPr>
                            <w:rFonts w:ascii="Times" w:hAnsi="Times" w:cs="Times New Roman"/>
                            <w:sz w:val="20"/>
                            <w:szCs w:val="20"/>
                            <w:lang w:val="en-AU"/>
                          </w:rPr>
                          <w:br/>
                          <w:t>On 30 September 2010, the Senate referred this Bill to the Legal and Constitutional Affairs Committee for inquiry. The Committee is to report by 18 November 2010.</w:t>
                        </w:r>
                      </w:p>
                      <w:p w:rsidR="00A429FE" w:rsidRPr="00A429FE" w:rsidRDefault="00A429FE" w:rsidP="00A429F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7066" name="Picture 17066" descr="etailed Contents">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66" descr="etailed Contents">
                                        <a:hlinkClick r:id="rId93"/>
                                      </pic:cNvPr>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A429FE" w:rsidRPr="00A429FE" w:rsidRDefault="00A429FE" w:rsidP="00A429FE">
                        <w:pPr>
                          <w:rPr>
                            <w:rFonts w:ascii="Times" w:eastAsia="Times New Roman" w:hAnsi="Times" w:cs="Times New Roman"/>
                            <w:sz w:val="20"/>
                            <w:szCs w:val="20"/>
                            <w:lang w:val="en-AU"/>
                          </w:rPr>
                        </w:pPr>
                        <w:r w:rsidRPr="00A429FE">
                          <w:rPr>
                            <w:rFonts w:ascii="Times" w:eastAsia="Times New Roman" w:hAnsi="Times" w:cs="Times New Roman"/>
                            <w:sz w:val="20"/>
                            <w:szCs w:val="20"/>
                            <w:lang w:val="en-AU"/>
                          </w:rPr>
                          <w:pict>
                            <v:rect id="_x0000_i18091" style="width:0;height:1.5pt" o:hralign="center" o:hrstd="t" o:hr="t" fillcolor="#aaa" stroked="f"/>
                          </w:pict>
                        </w:r>
                      </w:p>
                      <w:p w:rsidR="00A429FE" w:rsidRPr="00A429FE" w:rsidRDefault="00A429FE" w:rsidP="00A429FE">
                        <w:pPr>
                          <w:spacing w:before="100" w:beforeAutospacing="1" w:after="100" w:afterAutospacing="1"/>
                          <w:rPr>
                            <w:rFonts w:ascii="Times" w:hAnsi="Times" w:cs="Times New Roman"/>
                            <w:sz w:val="20"/>
                            <w:szCs w:val="20"/>
                            <w:lang w:val="en-AU"/>
                          </w:rPr>
                        </w:pPr>
                        <w:bookmarkStart w:id="23" w:name="0118"/>
                        <w:bookmarkEnd w:id="23"/>
                        <w:r w:rsidRPr="00A429FE">
                          <w:rPr>
                            <w:rFonts w:ascii="Times" w:hAnsi="Times" w:cs="Times New Roman"/>
                            <w:b/>
                            <w:bCs/>
                            <w:sz w:val="20"/>
                            <w:szCs w:val="20"/>
                            <w:lang w:val="en-AU"/>
                          </w:rPr>
                          <w:t>1.18 EC/US joint statement on regulation of the OTC derivatives markets</w:t>
                        </w:r>
                        <w:r w:rsidRPr="00A429FE">
                          <w:rPr>
                            <w:rFonts w:ascii="Times" w:hAnsi="Times" w:cs="Times New Roman"/>
                            <w:b/>
                            <w:bCs/>
                            <w:sz w:val="20"/>
                            <w:szCs w:val="20"/>
                            <w:lang w:val="en-AU"/>
                          </w:rPr>
                          <w:br/>
                        </w:r>
                        <w:r w:rsidRPr="00A429FE">
                          <w:rPr>
                            <w:rFonts w:ascii="Times" w:hAnsi="Times" w:cs="Times New Roman"/>
                            <w:sz w:val="20"/>
                            <w:szCs w:val="20"/>
                            <w:lang w:val="en-AU"/>
                          </w:rPr>
                          <w:t> </w:t>
                        </w:r>
                        <w:r w:rsidRPr="00A429FE">
                          <w:rPr>
                            <w:rFonts w:ascii="Times" w:hAnsi="Times" w:cs="Times New Roman"/>
                            <w:sz w:val="20"/>
                            <w:szCs w:val="20"/>
                            <w:lang w:val="en-AU"/>
                          </w:rPr>
                          <w:br/>
                          <w:t>On 29 September 2010, US Commodity Futures Trading Commission (CFTC) Chairman Gary Gensler and European Commissioner Michel Barnier issued a joint statement about regulatory reform of the over-the-counter (OTC) derivatives markets with respect to the Dodd-Frank Wall Street Reform and Consumer Protection Act and the September 2010 European proposal for a Regulation on OTC derivatives, central counterparties and trade repositories. The issues discussed include:</w:t>
                        </w:r>
                      </w:p>
                      <w:p w:rsidR="00A429FE" w:rsidRPr="00A429FE" w:rsidRDefault="00A429FE" w:rsidP="00A429FE">
                        <w:pPr>
                          <w:tabs>
                            <w:tab w:val="num" w:pos="720"/>
                          </w:tabs>
                          <w:spacing w:before="100" w:beforeAutospacing="1" w:after="100" w:afterAutospacing="1"/>
                          <w:ind w:left="720" w:hanging="360"/>
                          <w:rPr>
                            <w:rFonts w:ascii="Times" w:eastAsia="Times New Roman" w:hAnsi="Times" w:cs="Times New Roman"/>
                            <w:sz w:val="20"/>
                            <w:szCs w:val="20"/>
                            <w:lang w:val="en-AU"/>
                          </w:rPr>
                        </w:pPr>
                        <w:r w:rsidRPr="00A429FE">
                          <w:rPr>
                            <w:rFonts w:ascii="Times" w:eastAsia="Times New Roman" w:hAnsi="Times" w:cs="Times New Roman"/>
                            <w:sz w:val="20"/>
                            <w:szCs w:val="20"/>
                            <w:lang w:val="en-AU"/>
                          </w:rPr>
                          <w:t xml:space="preserve">comprehensively regulating derivatives dealers for capital and margin, recordkeeping and reporting and business conduct standards; </w:t>
                        </w:r>
                      </w:p>
                      <w:p w:rsidR="00A429FE" w:rsidRPr="00A429FE" w:rsidRDefault="00A429FE" w:rsidP="00A429FE">
                        <w:pPr>
                          <w:tabs>
                            <w:tab w:val="num" w:pos="720"/>
                          </w:tabs>
                          <w:spacing w:before="100" w:beforeAutospacing="1" w:after="100" w:afterAutospacing="1"/>
                          <w:ind w:left="720" w:hanging="360"/>
                          <w:rPr>
                            <w:rFonts w:ascii="Times" w:eastAsia="Times New Roman" w:hAnsi="Times" w:cs="Times New Roman"/>
                            <w:sz w:val="20"/>
                            <w:szCs w:val="20"/>
                            <w:lang w:val="en-AU"/>
                          </w:rPr>
                        </w:pPr>
                        <w:r w:rsidRPr="00A429FE">
                          <w:rPr>
                            <w:rFonts w:ascii="Times" w:eastAsia="Times New Roman" w:hAnsi="Times" w:cs="Times New Roman"/>
                            <w:sz w:val="20"/>
                            <w:szCs w:val="20"/>
                            <w:lang w:val="en-AU"/>
                          </w:rPr>
                          <w:t xml:space="preserve">requiring standardised OTC derivatives to be cleared by central counterparties, imposing stringent prudential and organisation rules for central counterparties and imposing risk mitigation standards for non-standardised contracts that are not centrally cleared; and </w:t>
                        </w:r>
                      </w:p>
                      <w:p w:rsidR="00A429FE" w:rsidRPr="00A429FE" w:rsidRDefault="00A429FE" w:rsidP="00A429FE">
                        <w:pPr>
                          <w:tabs>
                            <w:tab w:val="num" w:pos="720"/>
                          </w:tabs>
                          <w:spacing w:before="100" w:beforeAutospacing="1" w:after="100" w:afterAutospacing="1"/>
                          <w:ind w:left="720" w:hanging="360"/>
                          <w:rPr>
                            <w:rFonts w:ascii="Times" w:eastAsia="Times New Roman" w:hAnsi="Times" w:cs="Times New Roman"/>
                            <w:sz w:val="20"/>
                            <w:szCs w:val="20"/>
                            <w:lang w:val="en-AU"/>
                          </w:rPr>
                        </w:pPr>
                        <w:r w:rsidRPr="00A429FE">
                          <w:rPr>
                            <w:rFonts w:ascii="Times" w:eastAsia="Times New Roman" w:hAnsi="Times" w:cs="Times New Roman"/>
                            <w:sz w:val="20"/>
                            <w:szCs w:val="20"/>
                            <w:lang w:val="en-AU"/>
                          </w:rPr>
                          <w:t xml:space="preserve">increasing transparency of OTC derivatives. </w:t>
                        </w:r>
                      </w:p>
                      <w:p w:rsidR="00A429FE" w:rsidRPr="00A429FE" w:rsidRDefault="00A429FE" w:rsidP="00A429F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7068" name="Picture 17068" descr="etailed Contents">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68" descr="etailed Contents">
                                        <a:hlinkClick r:id="rId93"/>
                                      </pic:cNvPr>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A429FE" w:rsidRPr="00A429FE" w:rsidRDefault="00A429FE" w:rsidP="00A429FE">
                        <w:pPr>
                          <w:rPr>
                            <w:rFonts w:ascii="Times" w:eastAsia="Times New Roman" w:hAnsi="Times" w:cs="Times New Roman"/>
                            <w:sz w:val="20"/>
                            <w:szCs w:val="20"/>
                            <w:lang w:val="en-AU"/>
                          </w:rPr>
                        </w:pPr>
                        <w:r w:rsidRPr="00A429FE">
                          <w:rPr>
                            <w:rFonts w:ascii="Times" w:eastAsia="Times New Roman" w:hAnsi="Times" w:cs="Times New Roman"/>
                            <w:sz w:val="20"/>
                            <w:szCs w:val="20"/>
                            <w:lang w:val="en-AU"/>
                          </w:rPr>
                          <w:pict>
                            <v:rect id="_x0000_i18093" style="width:0;height:1.5pt" o:hralign="center" o:hrstd="t" o:hr="t" fillcolor="#aaa" stroked="f"/>
                          </w:pict>
                        </w:r>
                      </w:p>
                      <w:p w:rsidR="00A429FE" w:rsidRPr="00A429FE" w:rsidRDefault="00A429FE" w:rsidP="00A429FE">
                        <w:pPr>
                          <w:spacing w:before="100" w:beforeAutospacing="1" w:after="100" w:afterAutospacing="1"/>
                          <w:rPr>
                            <w:rFonts w:ascii="Times" w:hAnsi="Times" w:cs="Times New Roman"/>
                            <w:sz w:val="20"/>
                            <w:szCs w:val="20"/>
                            <w:lang w:val="en-AU"/>
                          </w:rPr>
                        </w:pPr>
                        <w:bookmarkStart w:id="24" w:name="0119"/>
                        <w:bookmarkEnd w:id="24"/>
                        <w:r w:rsidRPr="00A429FE">
                          <w:rPr>
                            <w:rFonts w:ascii="Times" w:hAnsi="Times" w:cs="Times New Roman"/>
                            <w:b/>
                            <w:bCs/>
                            <w:sz w:val="20"/>
                            <w:szCs w:val="20"/>
                            <w:lang w:val="en-AU"/>
                          </w:rPr>
                          <w:t>1.19 PCAOB issues report on inspection observations of auditing during the economic crisis </w:t>
                        </w:r>
                        <w:r w:rsidRPr="00A429FE">
                          <w:rPr>
                            <w:rFonts w:ascii="Times" w:hAnsi="Times" w:cs="Times New Roman"/>
                            <w:b/>
                            <w:bCs/>
                            <w:sz w:val="20"/>
                            <w:szCs w:val="20"/>
                            <w:lang w:val="en-AU"/>
                          </w:rPr>
                          <w:br/>
                        </w:r>
                        <w:r w:rsidRPr="00A429FE">
                          <w:rPr>
                            <w:rFonts w:ascii="Times" w:hAnsi="Times" w:cs="Times New Roman"/>
                            <w:sz w:val="20"/>
                            <w:szCs w:val="20"/>
                            <w:lang w:val="en-AU"/>
                          </w:rPr>
                          <w:t> </w:t>
                        </w:r>
                        <w:r w:rsidRPr="00A429FE">
                          <w:rPr>
                            <w:rFonts w:ascii="Times" w:hAnsi="Times" w:cs="Times New Roman"/>
                            <w:sz w:val="20"/>
                            <w:szCs w:val="20"/>
                            <w:lang w:val="en-AU"/>
                          </w:rPr>
                          <w:br/>
                          <w:t>On 29 September 2010, the US Public Company Accounting Oversight Board (PCAOB) released a report summarising inspection observations of audits of financial institutions and other companies during the economic crisis.</w:t>
                        </w:r>
                      </w:p>
                      <w:p w:rsidR="00A429FE" w:rsidRPr="00A429FE" w:rsidRDefault="00A429FE" w:rsidP="00A429FE">
                        <w:pPr>
                          <w:spacing w:before="100" w:beforeAutospacing="1" w:after="100" w:afterAutospacing="1"/>
                          <w:rPr>
                            <w:rFonts w:ascii="Times" w:hAnsi="Times" w:cs="Times New Roman"/>
                            <w:sz w:val="20"/>
                            <w:szCs w:val="20"/>
                            <w:lang w:val="en-AU"/>
                          </w:rPr>
                        </w:pPr>
                        <w:r w:rsidRPr="00A429FE">
                          <w:rPr>
                            <w:rFonts w:ascii="Times" w:hAnsi="Times" w:cs="Times New Roman"/>
                            <w:sz w:val="20"/>
                            <w:szCs w:val="20"/>
                            <w:lang w:val="en-AU"/>
                          </w:rPr>
                          <w:t>The key points discussed in the report include:</w:t>
                        </w:r>
                      </w:p>
                      <w:p w:rsidR="00A429FE" w:rsidRPr="00A429FE" w:rsidRDefault="00A429FE" w:rsidP="00A429FE">
                        <w:pPr>
                          <w:tabs>
                            <w:tab w:val="num" w:pos="720"/>
                          </w:tabs>
                          <w:spacing w:before="100" w:beforeAutospacing="1" w:after="100" w:afterAutospacing="1"/>
                          <w:ind w:left="720" w:hanging="360"/>
                          <w:rPr>
                            <w:rFonts w:ascii="Times" w:eastAsia="Times New Roman" w:hAnsi="Times" w:cs="Times New Roman"/>
                            <w:sz w:val="20"/>
                            <w:szCs w:val="20"/>
                            <w:lang w:val="en-AU"/>
                          </w:rPr>
                        </w:pPr>
                        <w:r w:rsidRPr="00A429FE">
                          <w:rPr>
                            <w:rFonts w:ascii="Times" w:eastAsia="Times New Roman" w:hAnsi="Times" w:cs="Times New Roman"/>
                            <w:sz w:val="20"/>
                            <w:szCs w:val="20"/>
                            <w:lang w:val="en-AU"/>
                          </w:rPr>
                          <w:t xml:space="preserve">PCAOB inspectors identified instances where auditors appeared not to have complied with PCAOB auditing standards in connection with audit areas that were significantly affected by the economic crisis, such as fair value measurements, impairment of goodwill, indefinite-lived intangible assets, and other long-lived assets, allowance for loan losses, off-balance-sheet structures, revenue recognition, inventory, and income taxes. </w:t>
                        </w:r>
                      </w:p>
                      <w:p w:rsidR="00A429FE" w:rsidRPr="00A429FE" w:rsidRDefault="00A429FE" w:rsidP="00A429FE">
                        <w:pPr>
                          <w:tabs>
                            <w:tab w:val="num" w:pos="720"/>
                          </w:tabs>
                          <w:spacing w:before="100" w:beforeAutospacing="1" w:after="100" w:afterAutospacing="1"/>
                          <w:ind w:left="720" w:hanging="360"/>
                          <w:rPr>
                            <w:rFonts w:ascii="Times" w:eastAsia="Times New Roman" w:hAnsi="Times" w:cs="Times New Roman"/>
                            <w:sz w:val="20"/>
                            <w:szCs w:val="20"/>
                            <w:lang w:val="en-AU"/>
                          </w:rPr>
                        </w:pPr>
                        <w:r w:rsidRPr="00A429FE">
                          <w:rPr>
                            <w:rFonts w:ascii="Times" w:eastAsia="Times New Roman" w:hAnsi="Times" w:cs="Times New Roman"/>
                            <w:sz w:val="20"/>
                            <w:szCs w:val="20"/>
                            <w:lang w:val="en-AU"/>
                          </w:rPr>
                          <w:t xml:space="preserve">Firms have made efforts to respond to the increased risks stemming from the economic crisis. The deficiencies identified by inspectors in their reviews of issuer audits suggest that firms should continue to focus on making improvements to their quality control systems. </w:t>
                        </w:r>
                      </w:p>
                      <w:p w:rsidR="00A429FE" w:rsidRPr="00A429FE" w:rsidRDefault="00A429FE" w:rsidP="00A429FE">
                        <w:pPr>
                          <w:tabs>
                            <w:tab w:val="num" w:pos="720"/>
                          </w:tabs>
                          <w:spacing w:before="100" w:beforeAutospacing="1" w:after="100" w:afterAutospacing="1"/>
                          <w:ind w:left="720" w:hanging="360"/>
                          <w:rPr>
                            <w:rFonts w:ascii="Times" w:eastAsia="Times New Roman" w:hAnsi="Times" w:cs="Times New Roman"/>
                            <w:sz w:val="20"/>
                            <w:szCs w:val="20"/>
                            <w:lang w:val="en-AU"/>
                          </w:rPr>
                        </w:pPr>
                        <w:r w:rsidRPr="00A429FE">
                          <w:rPr>
                            <w:rFonts w:ascii="Times" w:eastAsia="Times New Roman" w:hAnsi="Times" w:cs="Times New Roman"/>
                            <w:sz w:val="20"/>
                            <w:szCs w:val="20"/>
                            <w:lang w:val="en-AU"/>
                          </w:rPr>
                          <w:t xml:space="preserve">The PCAOB will focus on whether firms' actions to address quality control deficiencies described in Board inspection reports have, in fact, reduced or eliminated subsequent occurrences of the kinds of deficiencies described in the report. </w:t>
                        </w:r>
                      </w:p>
                      <w:p w:rsidR="00A429FE" w:rsidRPr="00A429FE" w:rsidRDefault="00A429FE" w:rsidP="00A429FE">
                        <w:pPr>
                          <w:tabs>
                            <w:tab w:val="num" w:pos="720"/>
                          </w:tabs>
                          <w:spacing w:before="100" w:beforeAutospacing="1" w:after="100" w:afterAutospacing="1"/>
                          <w:ind w:left="720" w:hanging="360"/>
                          <w:rPr>
                            <w:rFonts w:ascii="Times" w:eastAsia="Times New Roman" w:hAnsi="Times" w:cs="Times New Roman"/>
                            <w:sz w:val="20"/>
                            <w:szCs w:val="20"/>
                            <w:lang w:val="en-AU"/>
                          </w:rPr>
                        </w:pPr>
                        <w:r w:rsidRPr="00A429FE">
                          <w:rPr>
                            <w:rFonts w:ascii="Times" w:eastAsia="Times New Roman" w:hAnsi="Times" w:cs="Times New Roman"/>
                            <w:sz w:val="20"/>
                            <w:szCs w:val="20"/>
                            <w:lang w:val="en-AU"/>
                          </w:rPr>
                          <w:t xml:space="preserve">The observations described in the report will serve to inform future PCAOB actions in connection with certain inspection, enforcement, and standard-setting activities. The Board will consider whether additional guidance is needed related to existing standards. </w:t>
                        </w:r>
                      </w:p>
                      <w:p w:rsidR="00A429FE" w:rsidRPr="00A429FE" w:rsidRDefault="00A429FE" w:rsidP="00A429FE">
                        <w:pPr>
                          <w:tabs>
                            <w:tab w:val="num" w:pos="720"/>
                          </w:tabs>
                          <w:spacing w:before="100" w:beforeAutospacing="1" w:after="100" w:afterAutospacing="1"/>
                          <w:ind w:left="720" w:hanging="360"/>
                          <w:rPr>
                            <w:rFonts w:ascii="Times" w:eastAsia="Times New Roman" w:hAnsi="Times" w:cs="Times New Roman"/>
                            <w:sz w:val="20"/>
                            <w:szCs w:val="20"/>
                            <w:lang w:val="en-AU"/>
                          </w:rPr>
                        </w:pPr>
                        <w:r w:rsidRPr="00A429FE">
                          <w:rPr>
                            <w:rFonts w:ascii="Times" w:eastAsia="Times New Roman" w:hAnsi="Times" w:cs="Times New Roman"/>
                            <w:sz w:val="20"/>
                            <w:szCs w:val="20"/>
                            <w:lang w:val="en-AU"/>
                          </w:rPr>
                          <w:t xml:space="preserve">PCAOB inspectors will continue to focus on firms' audits and quality control systems, particularly as they relate to audit risks posed by the ongoing effects of the economic crisis and any future similar events. </w:t>
                        </w:r>
                      </w:p>
                      <w:p w:rsidR="00A429FE" w:rsidRPr="00A429FE" w:rsidRDefault="00A429FE" w:rsidP="00A429FE">
                        <w:pPr>
                          <w:spacing w:before="100" w:beforeAutospacing="1" w:after="100" w:afterAutospacing="1"/>
                          <w:rPr>
                            <w:rFonts w:ascii="Times" w:hAnsi="Times" w:cs="Times New Roman"/>
                            <w:sz w:val="20"/>
                            <w:szCs w:val="20"/>
                            <w:lang w:val="en-AU"/>
                          </w:rPr>
                        </w:pPr>
                        <w:r w:rsidRPr="00A429FE">
                          <w:rPr>
                            <w:rFonts w:ascii="Times" w:hAnsi="Times" w:cs="Times New Roman"/>
                            <w:sz w:val="20"/>
                            <w:szCs w:val="20"/>
                            <w:lang w:val="en-AU"/>
                          </w:rPr>
                          <w:t xml:space="preserve">The report is available on the </w:t>
                        </w:r>
                        <w:r w:rsidRPr="00A429FE">
                          <w:rPr>
                            <w:rFonts w:ascii="Times" w:hAnsi="Times" w:cs="Times New Roman"/>
                            <w:sz w:val="20"/>
                            <w:szCs w:val="20"/>
                            <w:lang w:val="en-AU"/>
                          </w:rPr>
                          <w:fldChar w:fldCharType="begin"/>
                        </w:r>
                        <w:r w:rsidRPr="00A429FE">
                          <w:rPr>
                            <w:rFonts w:ascii="Times" w:hAnsi="Times" w:cs="Times New Roman"/>
                            <w:sz w:val="20"/>
                            <w:szCs w:val="20"/>
                            <w:lang w:val="en-AU"/>
                          </w:rPr>
                          <w:instrText xml:space="preserve"> HYPERLINK "http://pcaobus.org/Inspections/Documents/4010_Report_Economic_Crisis.pdf" \t "_new" </w:instrText>
                        </w:r>
                        <w:r w:rsidRPr="00A429FE">
                          <w:rPr>
                            <w:rFonts w:ascii="Times" w:hAnsi="Times" w:cs="Times New Roman"/>
                            <w:sz w:val="20"/>
                            <w:szCs w:val="20"/>
                            <w:lang w:val="en-AU"/>
                          </w:rPr>
                        </w:r>
                        <w:r w:rsidRPr="00A429FE">
                          <w:rPr>
                            <w:rFonts w:ascii="Times" w:hAnsi="Times" w:cs="Times New Roman"/>
                            <w:sz w:val="20"/>
                            <w:szCs w:val="20"/>
                            <w:lang w:val="en-AU"/>
                          </w:rPr>
                          <w:fldChar w:fldCharType="separate"/>
                        </w:r>
                        <w:r w:rsidRPr="00A429FE">
                          <w:rPr>
                            <w:rFonts w:ascii="Times" w:hAnsi="Times" w:cs="Times New Roman"/>
                            <w:color w:val="0000FF"/>
                            <w:sz w:val="20"/>
                            <w:szCs w:val="20"/>
                            <w:u w:val="single"/>
                            <w:lang w:val="en-AU"/>
                          </w:rPr>
                          <w:t>PCAOB</w:t>
                        </w:r>
                        <w:r w:rsidRPr="00A429FE">
                          <w:rPr>
                            <w:rFonts w:ascii="Times" w:hAnsi="Times" w:cs="Times New Roman"/>
                            <w:sz w:val="20"/>
                            <w:szCs w:val="20"/>
                            <w:lang w:val="en-AU"/>
                          </w:rPr>
                          <w:fldChar w:fldCharType="end"/>
                        </w:r>
                        <w:r w:rsidRPr="00A429FE">
                          <w:rPr>
                            <w:rFonts w:ascii="Times" w:hAnsi="Times" w:cs="Times New Roman"/>
                            <w:sz w:val="20"/>
                            <w:szCs w:val="20"/>
                            <w:lang w:val="en-AU"/>
                          </w:rPr>
                          <w:t xml:space="preserve"> website.</w:t>
                        </w:r>
                      </w:p>
                      <w:p w:rsidR="00A429FE" w:rsidRPr="00A429FE" w:rsidRDefault="00A429FE" w:rsidP="00A429F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7070" name="Picture 17070" descr="etailed Contents">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70" descr="etailed Contents">
                                        <a:hlinkClick r:id="rId93"/>
                                      </pic:cNvPr>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A429FE" w:rsidRPr="00A429FE" w:rsidRDefault="00A429FE" w:rsidP="00A429FE">
                        <w:pPr>
                          <w:rPr>
                            <w:rFonts w:ascii="Times" w:eastAsia="Times New Roman" w:hAnsi="Times" w:cs="Times New Roman"/>
                            <w:sz w:val="20"/>
                            <w:szCs w:val="20"/>
                            <w:lang w:val="en-AU"/>
                          </w:rPr>
                        </w:pPr>
                        <w:r w:rsidRPr="00A429FE">
                          <w:rPr>
                            <w:rFonts w:ascii="Times" w:eastAsia="Times New Roman" w:hAnsi="Times" w:cs="Times New Roman"/>
                            <w:sz w:val="20"/>
                            <w:szCs w:val="20"/>
                            <w:lang w:val="en-AU"/>
                          </w:rPr>
                          <w:pict>
                            <v:rect id="_x0000_i18095" style="width:0;height:1.5pt" o:hralign="center" o:hrstd="t" o:hr="t" fillcolor="#aaa" stroked="f"/>
                          </w:pict>
                        </w:r>
                      </w:p>
                      <w:p w:rsidR="00A429FE" w:rsidRPr="00A429FE" w:rsidRDefault="00A429FE" w:rsidP="00A429FE">
                        <w:pPr>
                          <w:spacing w:before="100" w:beforeAutospacing="1" w:after="100" w:afterAutospacing="1"/>
                          <w:rPr>
                            <w:rFonts w:ascii="Times" w:hAnsi="Times" w:cs="Times New Roman"/>
                            <w:sz w:val="20"/>
                            <w:szCs w:val="20"/>
                            <w:lang w:val="en-AU"/>
                          </w:rPr>
                        </w:pPr>
                        <w:bookmarkStart w:id="25" w:name="0120"/>
                        <w:bookmarkEnd w:id="25"/>
                        <w:r w:rsidRPr="00A429FE">
                          <w:rPr>
                            <w:rFonts w:ascii="Times" w:hAnsi="Times" w:cs="Times New Roman"/>
                            <w:b/>
                            <w:bCs/>
                            <w:sz w:val="20"/>
                            <w:szCs w:val="20"/>
                            <w:lang w:val="en-AU"/>
                          </w:rPr>
                          <w:t>1.20 US Chamber of Commerce joins Business Roundtable in lawsuit challenging Securities and Exchange Commission</w:t>
                        </w:r>
                        <w:r w:rsidRPr="00A429FE">
                          <w:rPr>
                            <w:rFonts w:ascii="Times" w:hAnsi="Times" w:cs="Times New Roman"/>
                            <w:b/>
                            <w:bCs/>
                            <w:sz w:val="20"/>
                            <w:szCs w:val="20"/>
                            <w:lang w:val="en-AU"/>
                          </w:rPr>
                          <w:br/>
                        </w:r>
                        <w:r w:rsidRPr="00A429FE">
                          <w:rPr>
                            <w:rFonts w:ascii="Times" w:hAnsi="Times" w:cs="Times New Roman"/>
                            <w:sz w:val="20"/>
                            <w:szCs w:val="20"/>
                            <w:lang w:val="en-AU"/>
                          </w:rPr>
                          <w:t> </w:t>
                        </w:r>
                        <w:r w:rsidRPr="00A429FE">
                          <w:rPr>
                            <w:rFonts w:ascii="Times" w:hAnsi="Times" w:cs="Times New Roman"/>
                            <w:sz w:val="20"/>
                            <w:szCs w:val="20"/>
                            <w:lang w:val="en-AU"/>
                          </w:rPr>
                          <w:br/>
                          <w:t xml:space="preserve">On 29 September 2010, the US Chamber of Commerce and Business Roundtable filed a legal challenge to the US Securities and Exchange Commission's (SEC) final rules requiring a corporation to include in its proxy materials director nominees put forward by a shareholder (or group of shareholders) who have owned three percent or more of company stock for at least three years. The SEC rules are summarised in Item 1.7 of the </w:t>
                        </w:r>
                        <w:r w:rsidRPr="00A429FE">
                          <w:rPr>
                            <w:rFonts w:ascii="Times" w:hAnsi="Times" w:cs="Times New Roman"/>
                            <w:sz w:val="20"/>
                            <w:szCs w:val="20"/>
                            <w:lang w:val="en-AU"/>
                          </w:rPr>
                          <w:fldChar w:fldCharType="begin"/>
                        </w:r>
                        <w:r w:rsidRPr="00A429FE">
                          <w:rPr>
                            <w:rFonts w:ascii="Times" w:hAnsi="Times" w:cs="Times New Roman"/>
                            <w:sz w:val="20"/>
                            <w:szCs w:val="20"/>
                            <w:lang w:val="en-AU"/>
                          </w:rPr>
                          <w:instrText xml:space="preserve"> HYPERLINK "http://my.lawlex.com.au/news.asp?id=8259&amp;sp=1" \t "_new" </w:instrText>
                        </w:r>
                        <w:r w:rsidRPr="00A429FE">
                          <w:rPr>
                            <w:rFonts w:ascii="Times" w:hAnsi="Times" w:cs="Times New Roman"/>
                            <w:sz w:val="20"/>
                            <w:szCs w:val="20"/>
                            <w:lang w:val="en-AU"/>
                          </w:rPr>
                        </w:r>
                        <w:r w:rsidRPr="00A429FE">
                          <w:rPr>
                            <w:rFonts w:ascii="Times" w:hAnsi="Times" w:cs="Times New Roman"/>
                            <w:sz w:val="20"/>
                            <w:szCs w:val="20"/>
                            <w:lang w:val="en-AU"/>
                          </w:rPr>
                          <w:fldChar w:fldCharType="separate"/>
                        </w:r>
                        <w:r w:rsidRPr="00A429FE">
                          <w:rPr>
                            <w:rFonts w:ascii="Times" w:hAnsi="Times" w:cs="Times New Roman"/>
                            <w:color w:val="0000FF"/>
                            <w:sz w:val="20"/>
                            <w:szCs w:val="20"/>
                            <w:u w:val="single"/>
                            <w:lang w:val="en-AU"/>
                          </w:rPr>
                          <w:t>September 2010 Corporate Law Bulletin</w:t>
                        </w:r>
                        <w:r w:rsidRPr="00A429FE">
                          <w:rPr>
                            <w:rFonts w:ascii="Times" w:hAnsi="Times" w:cs="Times New Roman"/>
                            <w:sz w:val="20"/>
                            <w:szCs w:val="20"/>
                            <w:lang w:val="en-AU"/>
                          </w:rPr>
                          <w:fldChar w:fldCharType="end"/>
                        </w:r>
                        <w:r w:rsidRPr="00A429FE">
                          <w:rPr>
                            <w:rFonts w:ascii="Times" w:hAnsi="Times" w:cs="Times New Roman"/>
                            <w:sz w:val="20"/>
                            <w:szCs w:val="20"/>
                            <w:lang w:val="en-AU"/>
                          </w:rPr>
                          <w:t>.</w:t>
                        </w:r>
                        <w:r w:rsidRPr="00A429FE">
                          <w:rPr>
                            <w:rFonts w:ascii="Times" w:hAnsi="Times" w:cs="Times New Roman"/>
                            <w:sz w:val="20"/>
                            <w:szCs w:val="20"/>
                            <w:lang w:val="en-AU"/>
                          </w:rPr>
                          <w:br/>
                          <w:t> </w:t>
                        </w:r>
                        <w:r w:rsidRPr="00A429FE">
                          <w:rPr>
                            <w:rFonts w:ascii="Times" w:hAnsi="Times" w:cs="Times New Roman"/>
                            <w:sz w:val="20"/>
                            <w:szCs w:val="20"/>
                            <w:lang w:val="en-AU"/>
                          </w:rPr>
                          <w:br/>
                          <w:t>In a petition for review filed in the US Court of Appeals for the District of Columbia Circuit, the Chamber and Business Roundtable charge that the rule is arbitrary and capricious, violates the Administrative Procedure Act, and that the SEC failed to properly assess the rule's effects on "efficiency, competition and capital formation" as required by law. In adopting the rule, the SEC:</w:t>
                        </w:r>
                      </w:p>
                      <w:p w:rsidR="00A429FE" w:rsidRPr="00A429FE" w:rsidRDefault="00A429FE" w:rsidP="00A429FE">
                        <w:pPr>
                          <w:tabs>
                            <w:tab w:val="num" w:pos="720"/>
                          </w:tabs>
                          <w:spacing w:before="100" w:beforeAutospacing="1" w:after="100" w:afterAutospacing="1"/>
                          <w:ind w:left="720" w:hanging="360"/>
                          <w:rPr>
                            <w:rFonts w:ascii="Times" w:eastAsia="Times New Roman" w:hAnsi="Times" w:cs="Times New Roman"/>
                            <w:sz w:val="20"/>
                            <w:szCs w:val="20"/>
                            <w:lang w:val="en-AU"/>
                          </w:rPr>
                        </w:pPr>
                        <w:r w:rsidRPr="00A429FE">
                          <w:rPr>
                            <w:rFonts w:ascii="Times" w:eastAsia="Times New Roman" w:hAnsi="Times" w:cs="Times New Roman"/>
                            <w:sz w:val="20"/>
                            <w:szCs w:val="20"/>
                            <w:lang w:val="en-AU"/>
                          </w:rPr>
                          <w:t xml:space="preserve">Erred in appraising the costs that proxy access would impose on American corporations, shareholders, and workers at a time the economy can least afford it. For example, the Commission essentially disregarded numerous commenters who explained that the rule will be misused by special interest investors such as labor union pension funds and state pension funds; </w:t>
                        </w:r>
                      </w:p>
                      <w:p w:rsidR="00A429FE" w:rsidRPr="00A429FE" w:rsidRDefault="00A429FE" w:rsidP="00A429FE">
                        <w:pPr>
                          <w:tabs>
                            <w:tab w:val="num" w:pos="720"/>
                          </w:tabs>
                          <w:spacing w:before="100" w:beforeAutospacing="1" w:after="100" w:afterAutospacing="1"/>
                          <w:ind w:left="720" w:hanging="360"/>
                          <w:rPr>
                            <w:rFonts w:ascii="Times" w:eastAsia="Times New Roman" w:hAnsi="Times" w:cs="Times New Roman"/>
                            <w:sz w:val="20"/>
                            <w:szCs w:val="20"/>
                            <w:lang w:val="en-AU"/>
                          </w:rPr>
                        </w:pPr>
                        <w:r w:rsidRPr="00A429FE">
                          <w:rPr>
                            <w:rFonts w:ascii="Times" w:eastAsia="Times New Roman" w:hAnsi="Times" w:cs="Times New Roman"/>
                            <w:sz w:val="20"/>
                            <w:szCs w:val="20"/>
                            <w:lang w:val="en-AU"/>
                          </w:rPr>
                          <w:t xml:space="preserve">Ignored evidence and studies highlighting the adverse consequences of proxy access, including that activist shareholders would use the rule as leverage to further their special interest agendas; </w:t>
                        </w:r>
                      </w:p>
                      <w:p w:rsidR="00A429FE" w:rsidRPr="00A429FE" w:rsidRDefault="00A429FE" w:rsidP="00A429FE">
                        <w:pPr>
                          <w:tabs>
                            <w:tab w:val="num" w:pos="720"/>
                          </w:tabs>
                          <w:spacing w:before="100" w:beforeAutospacing="1" w:after="100" w:afterAutospacing="1"/>
                          <w:ind w:left="720" w:hanging="360"/>
                          <w:rPr>
                            <w:rFonts w:ascii="Times" w:eastAsia="Times New Roman" w:hAnsi="Times" w:cs="Times New Roman"/>
                            <w:sz w:val="20"/>
                            <w:szCs w:val="20"/>
                            <w:lang w:val="en-AU"/>
                          </w:rPr>
                        </w:pPr>
                        <w:r w:rsidRPr="00A429FE">
                          <w:rPr>
                            <w:rFonts w:ascii="Times" w:eastAsia="Times New Roman" w:hAnsi="Times" w:cs="Times New Roman"/>
                            <w:sz w:val="20"/>
                            <w:szCs w:val="20"/>
                            <w:lang w:val="en-AU"/>
                          </w:rPr>
                          <w:t xml:space="preserve">Claimed to be empowering shareholders, but actually restricted shareholders' ability to prevent special interest shareholders from triggering costly election contests; and </w:t>
                        </w:r>
                      </w:p>
                      <w:p w:rsidR="00A429FE" w:rsidRPr="00A429FE" w:rsidRDefault="00A429FE" w:rsidP="00A429FE">
                        <w:pPr>
                          <w:tabs>
                            <w:tab w:val="num" w:pos="720"/>
                          </w:tabs>
                          <w:spacing w:before="100" w:beforeAutospacing="1" w:after="100" w:afterAutospacing="1"/>
                          <w:ind w:left="720" w:hanging="360"/>
                          <w:rPr>
                            <w:rFonts w:ascii="Times" w:eastAsia="Times New Roman" w:hAnsi="Times" w:cs="Times New Roman"/>
                            <w:sz w:val="20"/>
                            <w:szCs w:val="20"/>
                            <w:lang w:val="en-AU"/>
                          </w:rPr>
                        </w:pPr>
                        <w:r w:rsidRPr="00A429FE">
                          <w:rPr>
                            <w:rFonts w:ascii="Times" w:eastAsia="Times New Roman" w:hAnsi="Times" w:cs="Times New Roman"/>
                            <w:sz w:val="20"/>
                            <w:szCs w:val="20"/>
                            <w:lang w:val="en-AU"/>
                          </w:rPr>
                          <w:t xml:space="preserve">Claimed to be effectuating state law rights, but gave short shrift to existing state laws regarding access to the proxy and related principles, including the law in Delaware and the Model Business Corporation Act, and created significant ambiguities regarding the application of federal and state law to the nomination and election process. </w:t>
                        </w:r>
                      </w:p>
                      <w:p w:rsidR="00A429FE" w:rsidRPr="00A429FE" w:rsidRDefault="00A429FE" w:rsidP="00A429FE">
                        <w:pPr>
                          <w:spacing w:before="100" w:beforeAutospacing="1" w:after="100" w:afterAutospacing="1"/>
                          <w:rPr>
                            <w:rFonts w:ascii="Times" w:hAnsi="Times" w:cs="Times New Roman"/>
                            <w:sz w:val="20"/>
                            <w:szCs w:val="20"/>
                            <w:lang w:val="en-AU"/>
                          </w:rPr>
                        </w:pPr>
                        <w:r w:rsidRPr="00A429FE">
                          <w:rPr>
                            <w:rFonts w:ascii="Times" w:hAnsi="Times" w:cs="Times New Roman"/>
                            <w:sz w:val="20"/>
                            <w:szCs w:val="20"/>
                            <w:lang w:val="en-AU"/>
                          </w:rPr>
                          <w:t xml:space="preserve">Chamber v SEC proxy stay request is available on the </w:t>
                        </w:r>
                        <w:r w:rsidRPr="00A429FE">
                          <w:rPr>
                            <w:rFonts w:ascii="Times" w:hAnsi="Times" w:cs="Times New Roman"/>
                            <w:sz w:val="20"/>
                            <w:szCs w:val="20"/>
                            <w:lang w:val="en-AU"/>
                          </w:rPr>
                          <w:fldChar w:fldCharType="begin"/>
                        </w:r>
                        <w:r w:rsidRPr="00A429FE">
                          <w:rPr>
                            <w:rFonts w:ascii="Times" w:hAnsi="Times" w:cs="Times New Roman"/>
                            <w:sz w:val="20"/>
                            <w:szCs w:val="20"/>
                            <w:lang w:val="en-AU"/>
                          </w:rPr>
                          <w:instrText xml:space="preserve"> HYPERLINK "http://www.uschamber.com/sites/default/files/press_release/1009motionforstayproxy.pdf" \t "_new" </w:instrText>
                        </w:r>
                        <w:r w:rsidRPr="00A429FE">
                          <w:rPr>
                            <w:rFonts w:ascii="Times" w:hAnsi="Times" w:cs="Times New Roman"/>
                            <w:sz w:val="20"/>
                            <w:szCs w:val="20"/>
                            <w:lang w:val="en-AU"/>
                          </w:rPr>
                        </w:r>
                        <w:r w:rsidRPr="00A429FE">
                          <w:rPr>
                            <w:rFonts w:ascii="Times" w:hAnsi="Times" w:cs="Times New Roman"/>
                            <w:sz w:val="20"/>
                            <w:szCs w:val="20"/>
                            <w:lang w:val="en-AU"/>
                          </w:rPr>
                          <w:fldChar w:fldCharType="separate"/>
                        </w:r>
                        <w:r w:rsidRPr="00A429FE">
                          <w:rPr>
                            <w:rFonts w:ascii="Times" w:hAnsi="Times" w:cs="Times New Roman"/>
                            <w:color w:val="0000FF"/>
                            <w:sz w:val="20"/>
                            <w:szCs w:val="20"/>
                            <w:u w:val="single"/>
                            <w:lang w:val="en-AU"/>
                          </w:rPr>
                          <w:t>US Chamber of Commerce</w:t>
                        </w:r>
                        <w:r w:rsidRPr="00A429FE">
                          <w:rPr>
                            <w:rFonts w:ascii="Times" w:hAnsi="Times" w:cs="Times New Roman"/>
                            <w:sz w:val="20"/>
                            <w:szCs w:val="20"/>
                            <w:lang w:val="en-AU"/>
                          </w:rPr>
                          <w:fldChar w:fldCharType="end"/>
                        </w:r>
                        <w:r w:rsidRPr="00A429FE">
                          <w:rPr>
                            <w:rFonts w:ascii="Times" w:hAnsi="Times" w:cs="Times New Roman"/>
                            <w:sz w:val="20"/>
                            <w:szCs w:val="20"/>
                            <w:lang w:val="en-AU"/>
                          </w:rPr>
                          <w:t xml:space="preserve"> website.</w:t>
                        </w:r>
                        <w:r w:rsidRPr="00A429FE">
                          <w:rPr>
                            <w:rFonts w:ascii="Times" w:hAnsi="Times" w:cs="Times New Roman"/>
                            <w:sz w:val="20"/>
                            <w:szCs w:val="20"/>
                            <w:lang w:val="en-AU"/>
                          </w:rPr>
                          <w:br/>
                          <w:t> </w:t>
                        </w:r>
                        <w:r w:rsidRPr="00A429FE">
                          <w:rPr>
                            <w:rFonts w:ascii="Times" w:hAnsi="Times" w:cs="Times New Roman"/>
                            <w:sz w:val="20"/>
                            <w:szCs w:val="20"/>
                            <w:lang w:val="en-AU"/>
                          </w:rPr>
                          <w:br/>
                          <w:t xml:space="preserve">Chamber v SEC proxy petition is available on the </w:t>
                        </w:r>
                        <w:r w:rsidRPr="00A429FE">
                          <w:rPr>
                            <w:rFonts w:ascii="Times" w:hAnsi="Times" w:cs="Times New Roman"/>
                            <w:sz w:val="20"/>
                            <w:szCs w:val="20"/>
                            <w:lang w:val="en-AU"/>
                          </w:rPr>
                          <w:fldChar w:fldCharType="begin"/>
                        </w:r>
                        <w:r w:rsidRPr="00A429FE">
                          <w:rPr>
                            <w:rFonts w:ascii="Times" w:hAnsi="Times" w:cs="Times New Roman"/>
                            <w:sz w:val="20"/>
                            <w:szCs w:val="20"/>
                            <w:lang w:val="en-AU"/>
                          </w:rPr>
                          <w:instrText xml:space="preserve"> HYPERLINK "http://www.uschamber.com/sites/default/files/press_release/1009stampedpetitionproxy.pdf" \t "_new" </w:instrText>
                        </w:r>
                        <w:r w:rsidRPr="00A429FE">
                          <w:rPr>
                            <w:rFonts w:ascii="Times" w:hAnsi="Times" w:cs="Times New Roman"/>
                            <w:sz w:val="20"/>
                            <w:szCs w:val="20"/>
                            <w:lang w:val="en-AU"/>
                          </w:rPr>
                        </w:r>
                        <w:r w:rsidRPr="00A429FE">
                          <w:rPr>
                            <w:rFonts w:ascii="Times" w:hAnsi="Times" w:cs="Times New Roman"/>
                            <w:sz w:val="20"/>
                            <w:szCs w:val="20"/>
                            <w:lang w:val="en-AU"/>
                          </w:rPr>
                          <w:fldChar w:fldCharType="separate"/>
                        </w:r>
                        <w:r w:rsidRPr="00A429FE">
                          <w:rPr>
                            <w:rFonts w:ascii="Times" w:hAnsi="Times" w:cs="Times New Roman"/>
                            <w:color w:val="0000FF"/>
                            <w:sz w:val="20"/>
                            <w:szCs w:val="20"/>
                            <w:u w:val="single"/>
                            <w:lang w:val="en-AU"/>
                          </w:rPr>
                          <w:t>US Chamber of Commerce</w:t>
                        </w:r>
                        <w:r w:rsidRPr="00A429FE">
                          <w:rPr>
                            <w:rFonts w:ascii="Times" w:hAnsi="Times" w:cs="Times New Roman"/>
                            <w:sz w:val="20"/>
                            <w:szCs w:val="20"/>
                            <w:lang w:val="en-AU"/>
                          </w:rPr>
                          <w:fldChar w:fldCharType="end"/>
                        </w:r>
                        <w:r w:rsidRPr="00A429FE">
                          <w:rPr>
                            <w:rFonts w:ascii="Times" w:hAnsi="Times" w:cs="Times New Roman"/>
                            <w:sz w:val="20"/>
                            <w:szCs w:val="20"/>
                            <w:lang w:val="en-AU"/>
                          </w:rPr>
                          <w:t xml:space="preserve"> website.</w:t>
                        </w:r>
                      </w:p>
                      <w:p w:rsidR="00A429FE" w:rsidRPr="00A429FE" w:rsidRDefault="00A429FE" w:rsidP="00A429F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7072" name="Picture 17072" descr="etailed Contents">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72" descr="etailed Contents">
                                        <a:hlinkClick r:id="rId93"/>
                                      </pic:cNvPr>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A429FE" w:rsidRPr="00A429FE" w:rsidRDefault="00A429FE" w:rsidP="00A429FE">
                        <w:pPr>
                          <w:rPr>
                            <w:rFonts w:ascii="Times" w:eastAsia="Times New Roman" w:hAnsi="Times" w:cs="Times New Roman"/>
                            <w:sz w:val="20"/>
                            <w:szCs w:val="20"/>
                            <w:lang w:val="en-AU"/>
                          </w:rPr>
                        </w:pPr>
                        <w:r w:rsidRPr="00A429FE">
                          <w:rPr>
                            <w:rFonts w:ascii="Times" w:eastAsia="Times New Roman" w:hAnsi="Times" w:cs="Times New Roman"/>
                            <w:sz w:val="20"/>
                            <w:szCs w:val="20"/>
                            <w:lang w:val="en-AU"/>
                          </w:rPr>
                          <w:pict>
                            <v:rect id="_x0000_i18097" style="width:0;height:1.5pt" o:hralign="center" o:hrstd="t" o:hr="t" fillcolor="#aaa" stroked="f"/>
                          </w:pict>
                        </w:r>
                      </w:p>
                      <w:p w:rsidR="00A429FE" w:rsidRPr="00A429FE" w:rsidRDefault="00A429FE" w:rsidP="00A429FE">
                        <w:pPr>
                          <w:spacing w:before="100" w:beforeAutospacing="1" w:after="100" w:afterAutospacing="1"/>
                          <w:rPr>
                            <w:rFonts w:ascii="Times" w:hAnsi="Times" w:cs="Times New Roman"/>
                            <w:sz w:val="20"/>
                            <w:szCs w:val="20"/>
                            <w:lang w:val="en-AU"/>
                          </w:rPr>
                        </w:pPr>
                        <w:bookmarkStart w:id="26" w:name="0121"/>
                        <w:bookmarkEnd w:id="26"/>
                        <w:r w:rsidRPr="00A429FE">
                          <w:rPr>
                            <w:rFonts w:ascii="Times" w:hAnsi="Times" w:cs="Times New Roman"/>
                            <w:b/>
                            <w:bCs/>
                            <w:sz w:val="20"/>
                            <w:szCs w:val="20"/>
                            <w:lang w:val="en-AU"/>
                          </w:rPr>
                          <w:t>1.21 Australian financial services benchmark report</w:t>
                        </w:r>
                        <w:r w:rsidRPr="00A429FE">
                          <w:rPr>
                            <w:rFonts w:ascii="Times" w:hAnsi="Times" w:cs="Times New Roman"/>
                            <w:b/>
                            <w:bCs/>
                            <w:sz w:val="20"/>
                            <w:szCs w:val="20"/>
                            <w:lang w:val="en-AU"/>
                          </w:rPr>
                          <w:br/>
                        </w:r>
                        <w:r w:rsidRPr="00A429FE">
                          <w:rPr>
                            <w:rFonts w:ascii="Times" w:hAnsi="Times" w:cs="Times New Roman"/>
                            <w:sz w:val="20"/>
                            <w:szCs w:val="20"/>
                            <w:lang w:val="en-AU"/>
                          </w:rPr>
                          <w:t> </w:t>
                        </w:r>
                        <w:r w:rsidRPr="00A429FE">
                          <w:rPr>
                            <w:rFonts w:ascii="Times" w:hAnsi="Times" w:cs="Times New Roman"/>
                            <w:sz w:val="20"/>
                            <w:szCs w:val="20"/>
                            <w:lang w:val="en-AU"/>
                          </w:rPr>
                          <w:br/>
                          <w:t xml:space="preserve">On 27 September 2010, the Australian Trade Commission published 'Australia - A Global Financial Services Centre - Benchmark Report 2010'. The report presents data on how Australia compares to other major economies on the following matters: World's 20 Largest Economies, Real GDP Growth by Country, Resilience of the Economy to Economic Cycles, Unemployment Rates by Country, Australia's Real Gross Value Added by Industry, Australia's Real Gross Value Added - Growth by Industry, Gross Fixed Capital Formation as a Percentage of GDP, Inward Foreign Direct Investment Stocks by Country, Australia's Exports of Goods and Services, Australia's Exports of Education Services, The Prosperity Index - World Ranking by Country, Net Government Debt, Percentage of Nonperforming Bank Loans to Total Bank Loans. </w:t>
                        </w:r>
                        <w:r w:rsidRPr="00A429FE">
                          <w:rPr>
                            <w:rFonts w:ascii="Times" w:hAnsi="Times" w:cs="Times New Roman"/>
                            <w:sz w:val="20"/>
                            <w:szCs w:val="20"/>
                            <w:lang w:val="en-AU"/>
                          </w:rPr>
                          <w:br/>
                          <w:t> </w:t>
                        </w:r>
                        <w:r w:rsidRPr="00A429FE">
                          <w:rPr>
                            <w:rFonts w:ascii="Times" w:hAnsi="Times" w:cs="Times New Roman"/>
                            <w:sz w:val="20"/>
                            <w:szCs w:val="20"/>
                            <w:lang w:val="en-AU"/>
                          </w:rPr>
                          <w:br/>
                          <w:t xml:space="preserve">The report is available on the </w:t>
                        </w:r>
                        <w:r w:rsidRPr="00A429FE">
                          <w:rPr>
                            <w:rFonts w:ascii="Times" w:hAnsi="Times" w:cs="Times New Roman"/>
                            <w:sz w:val="20"/>
                            <w:szCs w:val="20"/>
                            <w:lang w:val="en-AU"/>
                          </w:rPr>
                          <w:fldChar w:fldCharType="begin"/>
                        </w:r>
                        <w:r w:rsidRPr="00A429FE">
                          <w:rPr>
                            <w:rFonts w:ascii="Times" w:hAnsi="Times" w:cs="Times New Roman"/>
                            <w:sz w:val="20"/>
                            <w:szCs w:val="20"/>
                            <w:lang w:val="en-AU"/>
                          </w:rPr>
                          <w:instrText xml:space="preserve"> HYPERLINK "http://www.austrade.gov.au/Invest/Opportunities-by-Sector/Financial-Services/Data-and-Charts/default.aspx" \t "_new" </w:instrText>
                        </w:r>
                        <w:r w:rsidRPr="00A429FE">
                          <w:rPr>
                            <w:rFonts w:ascii="Times" w:hAnsi="Times" w:cs="Times New Roman"/>
                            <w:sz w:val="20"/>
                            <w:szCs w:val="20"/>
                            <w:lang w:val="en-AU"/>
                          </w:rPr>
                        </w:r>
                        <w:r w:rsidRPr="00A429FE">
                          <w:rPr>
                            <w:rFonts w:ascii="Times" w:hAnsi="Times" w:cs="Times New Roman"/>
                            <w:sz w:val="20"/>
                            <w:szCs w:val="20"/>
                            <w:lang w:val="en-AU"/>
                          </w:rPr>
                          <w:fldChar w:fldCharType="separate"/>
                        </w:r>
                        <w:r w:rsidRPr="00A429FE">
                          <w:rPr>
                            <w:rFonts w:ascii="Times" w:hAnsi="Times" w:cs="Times New Roman"/>
                            <w:color w:val="0000FF"/>
                            <w:sz w:val="20"/>
                            <w:szCs w:val="20"/>
                            <w:u w:val="single"/>
                            <w:lang w:val="en-AU"/>
                          </w:rPr>
                          <w:t>Australian Trade Commission</w:t>
                        </w:r>
                        <w:r w:rsidRPr="00A429FE">
                          <w:rPr>
                            <w:rFonts w:ascii="Times" w:hAnsi="Times" w:cs="Times New Roman"/>
                            <w:sz w:val="20"/>
                            <w:szCs w:val="20"/>
                            <w:lang w:val="en-AU"/>
                          </w:rPr>
                          <w:fldChar w:fldCharType="end"/>
                        </w:r>
                        <w:r w:rsidRPr="00A429FE">
                          <w:rPr>
                            <w:rFonts w:ascii="Times" w:hAnsi="Times" w:cs="Times New Roman"/>
                            <w:sz w:val="20"/>
                            <w:szCs w:val="20"/>
                            <w:lang w:val="en-AU"/>
                          </w:rPr>
                          <w:t xml:space="preserve"> website. </w:t>
                        </w:r>
                      </w:p>
                      <w:p w:rsidR="00A429FE" w:rsidRPr="00A429FE" w:rsidRDefault="00A429FE" w:rsidP="00A429F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7074" name="Picture 17074" descr="etailed Contents">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74" descr="etailed Contents">
                                        <a:hlinkClick r:id="rId93"/>
                                      </pic:cNvPr>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A429FE" w:rsidRPr="00A429FE" w:rsidRDefault="00A429FE" w:rsidP="00A429FE">
                        <w:pPr>
                          <w:rPr>
                            <w:rFonts w:ascii="Times" w:eastAsia="Times New Roman" w:hAnsi="Times" w:cs="Times New Roman"/>
                            <w:sz w:val="20"/>
                            <w:szCs w:val="20"/>
                            <w:lang w:val="en-AU"/>
                          </w:rPr>
                        </w:pPr>
                        <w:r w:rsidRPr="00A429FE">
                          <w:rPr>
                            <w:rFonts w:ascii="Times" w:eastAsia="Times New Roman" w:hAnsi="Times" w:cs="Times New Roman"/>
                            <w:sz w:val="20"/>
                            <w:szCs w:val="20"/>
                            <w:lang w:val="en-AU"/>
                          </w:rPr>
                          <w:pict>
                            <v:rect id="_x0000_i18099" style="width:0;height:1.5pt" o:hralign="center" o:hrstd="t" o:hr="t" fillcolor="#aaa" stroked="f"/>
                          </w:pict>
                        </w:r>
                      </w:p>
                      <w:p w:rsidR="00A429FE" w:rsidRPr="00A429FE" w:rsidRDefault="00A429FE" w:rsidP="00A429FE">
                        <w:pPr>
                          <w:spacing w:before="100" w:beforeAutospacing="1" w:after="100" w:afterAutospacing="1"/>
                          <w:rPr>
                            <w:rFonts w:ascii="Times" w:hAnsi="Times" w:cs="Times New Roman"/>
                            <w:sz w:val="20"/>
                            <w:szCs w:val="20"/>
                            <w:lang w:val="en-AU"/>
                          </w:rPr>
                        </w:pPr>
                        <w:bookmarkStart w:id="27" w:name="0122"/>
                        <w:bookmarkEnd w:id="27"/>
                        <w:r w:rsidRPr="00A429FE">
                          <w:rPr>
                            <w:rFonts w:ascii="Times" w:hAnsi="Times" w:cs="Times New Roman"/>
                            <w:b/>
                            <w:bCs/>
                            <w:sz w:val="20"/>
                            <w:szCs w:val="20"/>
                            <w:lang w:val="en-AU"/>
                          </w:rPr>
                          <w:t xml:space="preserve">1.22 Independent Commission on Banking: publication of issues paper </w:t>
                        </w:r>
                        <w:r w:rsidRPr="00A429FE">
                          <w:rPr>
                            <w:rFonts w:ascii="Times" w:hAnsi="Times" w:cs="Times New Roman"/>
                            <w:b/>
                            <w:bCs/>
                            <w:sz w:val="20"/>
                            <w:szCs w:val="20"/>
                            <w:lang w:val="en-AU"/>
                          </w:rPr>
                          <w:br/>
                        </w:r>
                        <w:r w:rsidRPr="00A429FE">
                          <w:rPr>
                            <w:rFonts w:ascii="Times" w:hAnsi="Times" w:cs="Times New Roman"/>
                            <w:sz w:val="20"/>
                            <w:szCs w:val="20"/>
                            <w:lang w:val="en-AU"/>
                          </w:rPr>
                          <w:t> </w:t>
                        </w:r>
                        <w:r w:rsidRPr="00A429FE">
                          <w:rPr>
                            <w:rFonts w:ascii="Times" w:hAnsi="Times" w:cs="Times New Roman"/>
                            <w:sz w:val="20"/>
                            <w:szCs w:val="20"/>
                            <w:lang w:val="en-AU"/>
                          </w:rPr>
                          <w:br/>
                          <w:t>On 24 September 2010, the UK Independent Commission on Banking published an Issues Paper. The Commission has been asked to consider structural and related non-structural reforms to the UK banking sector to promote financial stability and competition, and to make recommendations to the Government by the end of September 2011.</w:t>
                        </w:r>
                        <w:r w:rsidRPr="00A429FE">
                          <w:rPr>
                            <w:rFonts w:ascii="Times" w:hAnsi="Times" w:cs="Times New Roman"/>
                            <w:sz w:val="20"/>
                            <w:szCs w:val="20"/>
                            <w:lang w:val="en-AU"/>
                          </w:rPr>
                          <w:br/>
                          <w:t> </w:t>
                        </w:r>
                        <w:r w:rsidRPr="00A429FE">
                          <w:rPr>
                            <w:rFonts w:ascii="Times" w:hAnsi="Times" w:cs="Times New Roman"/>
                            <w:sz w:val="20"/>
                            <w:szCs w:val="20"/>
                            <w:lang w:val="en-AU"/>
                          </w:rPr>
                          <w:br/>
                          <w:t>The purposes of the Issues Paper are to indicate how the Commission is approaching its task, to set out the issues on which the Commission will be focused, and to serve as a Call for Evidence inviting submissions from all interested parties.</w:t>
                        </w:r>
                        <w:r w:rsidRPr="00A429FE">
                          <w:rPr>
                            <w:rFonts w:ascii="Times" w:hAnsi="Times" w:cs="Times New Roman"/>
                            <w:sz w:val="20"/>
                            <w:szCs w:val="20"/>
                            <w:lang w:val="en-AU"/>
                          </w:rPr>
                          <w:br/>
                          <w:t> </w:t>
                        </w:r>
                        <w:r w:rsidRPr="00A429FE">
                          <w:rPr>
                            <w:rFonts w:ascii="Times" w:hAnsi="Times" w:cs="Times New Roman"/>
                            <w:sz w:val="20"/>
                            <w:szCs w:val="20"/>
                            <w:lang w:val="en-AU"/>
                          </w:rPr>
                          <w:br/>
                          <w:t xml:space="preserve">The Issues Paper describes the Commission's initial approach to considering financial stability, competition and the other issues to which it must have regard under its Terms of Reference. The Paper then outlines a number of options for reform in broad terms, but emphasises that the list is not intended to be exhaustive and that the Commission has not moved towards any particular options at this stage. </w:t>
                        </w:r>
                        <w:r w:rsidRPr="00A429FE">
                          <w:rPr>
                            <w:rFonts w:ascii="Times" w:hAnsi="Times" w:cs="Times New Roman"/>
                            <w:sz w:val="20"/>
                            <w:szCs w:val="20"/>
                            <w:lang w:val="en-AU"/>
                          </w:rPr>
                          <w:br/>
                          <w:t> </w:t>
                        </w:r>
                        <w:r w:rsidRPr="00A429FE">
                          <w:rPr>
                            <w:rFonts w:ascii="Times" w:hAnsi="Times" w:cs="Times New Roman"/>
                            <w:sz w:val="20"/>
                            <w:szCs w:val="20"/>
                            <w:lang w:val="en-AU"/>
                          </w:rPr>
                          <w:br/>
                          <w:t>The options set out in the paper are:</w:t>
                        </w:r>
                        <w:r w:rsidRPr="00A429FE">
                          <w:rPr>
                            <w:rFonts w:ascii="Times" w:hAnsi="Times" w:cs="Times New Roman"/>
                            <w:sz w:val="20"/>
                            <w:szCs w:val="20"/>
                            <w:lang w:val="en-AU"/>
                          </w:rPr>
                          <w:br/>
                        </w:r>
                        <w:r w:rsidRPr="00A429FE">
                          <w:rPr>
                            <w:rFonts w:ascii="Times" w:hAnsi="Times" w:cs="Times New Roman"/>
                            <w:sz w:val="20"/>
                            <w:szCs w:val="20"/>
                            <w:lang w:val="en-AU"/>
                          </w:rPr>
                          <w:br/>
                        </w:r>
                        <w:r w:rsidRPr="00A429FE">
                          <w:rPr>
                            <w:rFonts w:ascii="Times" w:hAnsi="Times" w:cs="Times New Roman"/>
                            <w:b/>
                            <w:bCs/>
                            <w:sz w:val="20"/>
                            <w:szCs w:val="20"/>
                            <w:lang w:val="en-AU"/>
                          </w:rPr>
                          <w:t>(a) Reform options related to the structure of banks</w:t>
                        </w:r>
                      </w:p>
                      <w:p w:rsidR="00A429FE" w:rsidRPr="00A429FE" w:rsidRDefault="00A429FE" w:rsidP="00A429FE">
                        <w:pPr>
                          <w:tabs>
                            <w:tab w:val="num" w:pos="720"/>
                          </w:tabs>
                          <w:spacing w:before="100" w:beforeAutospacing="1" w:after="100" w:afterAutospacing="1"/>
                          <w:ind w:left="720" w:hanging="360"/>
                          <w:rPr>
                            <w:rFonts w:ascii="Times" w:eastAsia="Times New Roman" w:hAnsi="Times" w:cs="Times New Roman"/>
                            <w:sz w:val="20"/>
                            <w:szCs w:val="20"/>
                            <w:lang w:val="en-AU"/>
                          </w:rPr>
                        </w:pPr>
                        <w:r w:rsidRPr="00A429FE">
                          <w:rPr>
                            <w:rFonts w:ascii="Times" w:eastAsia="Times New Roman" w:hAnsi="Times" w:cs="Times New Roman"/>
                            <w:sz w:val="20"/>
                            <w:szCs w:val="20"/>
                            <w:lang w:val="en-AU"/>
                          </w:rPr>
                          <w:t xml:space="preserve">Separation of retail and investment banking </w:t>
                        </w:r>
                      </w:p>
                      <w:p w:rsidR="00A429FE" w:rsidRPr="00A429FE" w:rsidRDefault="00A429FE" w:rsidP="00A429FE">
                        <w:pPr>
                          <w:tabs>
                            <w:tab w:val="num" w:pos="720"/>
                          </w:tabs>
                          <w:spacing w:before="100" w:beforeAutospacing="1" w:after="100" w:afterAutospacing="1"/>
                          <w:ind w:left="720" w:hanging="360"/>
                          <w:rPr>
                            <w:rFonts w:ascii="Times" w:eastAsia="Times New Roman" w:hAnsi="Times" w:cs="Times New Roman"/>
                            <w:sz w:val="20"/>
                            <w:szCs w:val="20"/>
                            <w:lang w:val="en-AU"/>
                          </w:rPr>
                        </w:pPr>
                        <w:r w:rsidRPr="00A429FE">
                          <w:rPr>
                            <w:rFonts w:ascii="Times" w:eastAsia="Times New Roman" w:hAnsi="Times" w:cs="Times New Roman"/>
                            <w:sz w:val="20"/>
                            <w:szCs w:val="20"/>
                            <w:lang w:val="en-AU"/>
                          </w:rPr>
                          <w:t xml:space="preserve">Narrow banking and limited purpose banking </w:t>
                        </w:r>
                      </w:p>
                      <w:p w:rsidR="00A429FE" w:rsidRPr="00A429FE" w:rsidRDefault="00A429FE" w:rsidP="00A429FE">
                        <w:pPr>
                          <w:tabs>
                            <w:tab w:val="num" w:pos="720"/>
                          </w:tabs>
                          <w:spacing w:before="100" w:beforeAutospacing="1" w:after="100" w:afterAutospacing="1"/>
                          <w:ind w:left="720" w:hanging="360"/>
                          <w:rPr>
                            <w:rFonts w:ascii="Times" w:eastAsia="Times New Roman" w:hAnsi="Times" w:cs="Times New Roman"/>
                            <w:sz w:val="20"/>
                            <w:szCs w:val="20"/>
                            <w:lang w:val="en-AU"/>
                          </w:rPr>
                        </w:pPr>
                        <w:r w:rsidRPr="00A429FE">
                          <w:rPr>
                            <w:rFonts w:ascii="Times" w:eastAsia="Times New Roman" w:hAnsi="Times" w:cs="Times New Roman"/>
                            <w:sz w:val="20"/>
                            <w:szCs w:val="20"/>
                            <w:lang w:val="en-AU"/>
                          </w:rPr>
                          <w:t xml:space="preserve">Limits on proprietary trading and investing </w:t>
                        </w:r>
                      </w:p>
                      <w:p w:rsidR="00A429FE" w:rsidRPr="00A429FE" w:rsidRDefault="00A429FE" w:rsidP="00A429FE">
                        <w:pPr>
                          <w:tabs>
                            <w:tab w:val="num" w:pos="720"/>
                          </w:tabs>
                          <w:spacing w:before="100" w:beforeAutospacing="1" w:after="100" w:afterAutospacing="1"/>
                          <w:ind w:left="720" w:hanging="360"/>
                          <w:rPr>
                            <w:rFonts w:ascii="Times" w:eastAsia="Times New Roman" w:hAnsi="Times" w:cs="Times New Roman"/>
                            <w:sz w:val="20"/>
                            <w:szCs w:val="20"/>
                            <w:lang w:val="en-AU"/>
                          </w:rPr>
                        </w:pPr>
                        <w:r w:rsidRPr="00A429FE">
                          <w:rPr>
                            <w:rFonts w:ascii="Times" w:eastAsia="Times New Roman" w:hAnsi="Times" w:cs="Times New Roman"/>
                            <w:sz w:val="20"/>
                            <w:szCs w:val="20"/>
                            <w:lang w:val="en-AU"/>
                          </w:rPr>
                          <w:t xml:space="preserve">Structural separability, including living wills and resolution schemes </w:t>
                        </w:r>
                      </w:p>
                      <w:p w:rsidR="00A429FE" w:rsidRPr="00A429FE" w:rsidRDefault="00A429FE" w:rsidP="00A429FE">
                        <w:pPr>
                          <w:tabs>
                            <w:tab w:val="num" w:pos="720"/>
                          </w:tabs>
                          <w:spacing w:before="100" w:beforeAutospacing="1" w:after="100" w:afterAutospacing="1"/>
                          <w:ind w:left="720" w:hanging="360"/>
                          <w:rPr>
                            <w:rFonts w:ascii="Times" w:eastAsia="Times New Roman" w:hAnsi="Times" w:cs="Times New Roman"/>
                            <w:sz w:val="20"/>
                            <w:szCs w:val="20"/>
                            <w:lang w:val="en-AU"/>
                          </w:rPr>
                        </w:pPr>
                        <w:r w:rsidRPr="00A429FE">
                          <w:rPr>
                            <w:rFonts w:ascii="Times" w:eastAsia="Times New Roman" w:hAnsi="Times" w:cs="Times New Roman"/>
                            <w:sz w:val="20"/>
                            <w:szCs w:val="20"/>
                            <w:lang w:val="en-AU"/>
                          </w:rPr>
                          <w:t xml:space="preserve">Contingent capital </w:t>
                        </w:r>
                      </w:p>
                      <w:p w:rsidR="00A429FE" w:rsidRPr="00A429FE" w:rsidRDefault="00A429FE" w:rsidP="00A429FE">
                        <w:pPr>
                          <w:tabs>
                            <w:tab w:val="num" w:pos="720"/>
                          </w:tabs>
                          <w:spacing w:before="100" w:beforeAutospacing="1" w:after="100" w:afterAutospacing="1"/>
                          <w:ind w:left="720" w:hanging="360"/>
                          <w:rPr>
                            <w:rFonts w:ascii="Times" w:eastAsia="Times New Roman" w:hAnsi="Times" w:cs="Times New Roman"/>
                            <w:sz w:val="20"/>
                            <w:szCs w:val="20"/>
                            <w:lang w:val="en-AU"/>
                          </w:rPr>
                        </w:pPr>
                        <w:r w:rsidRPr="00A429FE">
                          <w:rPr>
                            <w:rFonts w:ascii="Times" w:eastAsia="Times New Roman" w:hAnsi="Times" w:cs="Times New Roman"/>
                            <w:sz w:val="20"/>
                            <w:szCs w:val="20"/>
                            <w:lang w:val="en-AU"/>
                          </w:rPr>
                          <w:t xml:space="preserve">Structure-related surcharges </w:t>
                        </w:r>
                      </w:p>
                      <w:p w:rsidR="00A429FE" w:rsidRPr="00A429FE" w:rsidRDefault="00A429FE" w:rsidP="00A429FE">
                        <w:pPr>
                          <w:spacing w:before="100" w:beforeAutospacing="1" w:after="100" w:afterAutospacing="1"/>
                          <w:rPr>
                            <w:rFonts w:ascii="Times" w:hAnsi="Times" w:cs="Times New Roman"/>
                            <w:sz w:val="20"/>
                            <w:szCs w:val="20"/>
                            <w:lang w:val="en-AU"/>
                          </w:rPr>
                        </w:pPr>
                        <w:r w:rsidRPr="00A429FE">
                          <w:rPr>
                            <w:rFonts w:ascii="Times" w:hAnsi="Times" w:cs="Times New Roman"/>
                            <w:b/>
                            <w:bCs/>
                            <w:sz w:val="20"/>
                            <w:szCs w:val="20"/>
                            <w:lang w:val="en-AU"/>
                          </w:rPr>
                          <w:t xml:space="preserve">(b) Reform options related to the structure of markets </w:t>
                        </w:r>
                      </w:p>
                      <w:p w:rsidR="00A429FE" w:rsidRPr="00A429FE" w:rsidRDefault="00A429FE" w:rsidP="00A429FE">
                        <w:pPr>
                          <w:tabs>
                            <w:tab w:val="num" w:pos="720"/>
                          </w:tabs>
                          <w:spacing w:before="100" w:beforeAutospacing="1" w:after="100" w:afterAutospacing="1"/>
                          <w:ind w:left="720" w:hanging="360"/>
                          <w:rPr>
                            <w:rFonts w:ascii="Times" w:eastAsia="Times New Roman" w:hAnsi="Times" w:cs="Times New Roman"/>
                            <w:sz w:val="20"/>
                            <w:szCs w:val="20"/>
                            <w:lang w:val="en-AU"/>
                          </w:rPr>
                        </w:pPr>
                        <w:r w:rsidRPr="00A429FE">
                          <w:rPr>
                            <w:rFonts w:ascii="Times" w:eastAsia="Times New Roman" w:hAnsi="Times" w:cs="Times New Roman"/>
                            <w:sz w:val="20"/>
                            <w:szCs w:val="20"/>
                            <w:lang w:val="en-AU"/>
                          </w:rPr>
                          <w:t xml:space="preserve">Measures to reduce market concentration </w:t>
                        </w:r>
                      </w:p>
                      <w:p w:rsidR="00A429FE" w:rsidRPr="00A429FE" w:rsidRDefault="00A429FE" w:rsidP="00A429FE">
                        <w:pPr>
                          <w:tabs>
                            <w:tab w:val="num" w:pos="720"/>
                          </w:tabs>
                          <w:spacing w:before="100" w:beforeAutospacing="1" w:after="100" w:afterAutospacing="1"/>
                          <w:ind w:left="720" w:hanging="360"/>
                          <w:rPr>
                            <w:rFonts w:ascii="Times" w:eastAsia="Times New Roman" w:hAnsi="Times" w:cs="Times New Roman"/>
                            <w:sz w:val="20"/>
                            <w:szCs w:val="20"/>
                            <w:lang w:val="en-AU"/>
                          </w:rPr>
                        </w:pPr>
                        <w:r w:rsidRPr="00A429FE">
                          <w:rPr>
                            <w:rFonts w:ascii="Times" w:eastAsia="Times New Roman" w:hAnsi="Times" w:cs="Times New Roman"/>
                            <w:sz w:val="20"/>
                            <w:szCs w:val="20"/>
                            <w:lang w:val="en-AU"/>
                          </w:rPr>
                          <w:t xml:space="preserve">Market infrastructure reform  </w:t>
                        </w:r>
                      </w:p>
                      <w:p w:rsidR="00A429FE" w:rsidRPr="00A429FE" w:rsidRDefault="00A429FE" w:rsidP="00A429FE">
                        <w:pPr>
                          <w:spacing w:before="100" w:beforeAutospacing="1" w:after="100" w:afterAutospacing="1"/>
                          <w:rPr>
                            <w:rFonts w:ascii="Times" w:hAnsi="Times" w:cs="Times New Roman"/>
                            <w:sz w:val="20"/>
                            <w:szCs w:val="20"/>
                            <w:lang w:val="en-AU"/>
                          </w:rPr>
                        </w:pPr>
                        <w:r w:rsidRPr="00A429FE">
                          <w:rPr>
                            <w:rFonts w:ascii="Times" w:hAnsi="Times" w:cs="Times New Roman"/>
                            <w:sz w:val="20"/>
                            <w:szCs w:val="20"/>
                            <w:lang w:val="en-AU"/>
                          </w:rPr>
                          <w:t xml:space="preserve">The Issues Paper is available on the </w:t>
                        </w:r>
                        <w:r w:rsidRPr="00A429FE">
                          <w:rPr>
                            <w:rFonts w:ascii="Times" w:hAnsi="Times" w:cs="Times New Roman"/>
                            <w:sz w:val="20"/>
                            <w:szCs w:val="20"/>
                            <w:lang w:val="en-AU"/>
                          </w:rPr>
                          <w:fldChar w:fldCharType="begin"/>
                        </w:r>
                        <w:r w:rsidRPr="00A429FE">
                          <w:rPr>
                            <w:rFonts w:ascii="Times" w:hAnsi="Times" w:cs="Times New Roman"/>
                            <w:sz w:val="20"/>
                            <w:szCs w:val="20"/>
                            <w:lang w:val="en-AU"/>
                          </w:rPr>
                          <w:instrText xml:space="preserve"> HYPERLINK "http://bankingcommission.independent.gov.uk/bankingcommission" \t "_new" </w:instrText>
                        </w:r>
                        <w:r w:rsidRPr="00A429FE">
                          <w:rPr>
                            <w:rFonts w:ascii="Times" w:hAnsi="Times" w:cs="Times New Roman"/>
                            <w:sz w:val="20"/>
                            <w:szCs w:val="20"/>
                            <w:lang w:val="en-AU"/>
                          </w:rPr>
                        </w:r>
                        <w:r w:rsidRPr="00A429FE">
                          <w:rPr>
                            <w:rFonts w:ascii="Times" w:hAnsi="Times" w:cs="Times New Roman"/>
                            <w:sz w:val="20"/>
                            <w:szCs w:val="20"/>
                            <w:lang w:val="en-AU"/>
                          </w:rPr>
                          <w:fldChar w:fldCharType="separate"/>
                        </w:r>
                        <w:r w:rsidRPr="00A429FE">
                          <w:rPr>
                            <w:rFonts w:ascii="Times" w:hAnsi="Times" w:cs="Times New Roman"/>
                            <w:color w:val="0000FF"/>
                            <w:sz w:val="20"/>
                            <w:szCs w:val="20"/>
                            <w:u w:val="single"/>
                            <w:lang w:val="en-AU"/>
                          </w:rPr>
                          <w:t>Commission</w:t>
                        </w:r>
                        <w:r w:rsidRPr="00A429FE">
                          <w:rPr>
                            <w:rFonts w:ascii="Times" w:hAnsi="Times" w:cs="Times New Roman"/>
                            <w:sz w:val="20"/>
                            <w:szCs w:val="20"/>
                            <w:lang w:val="en-AU"/>
                          </w:rPr>
                          <w:fldChar w:fldCharType="end"/>
                        </w:r>
                        <w:r w:rsidRPr="00A429FE">
                          <w:rPr>
                            <w:rFonts w:ascii="Times" w:hAnsi="Times" w:cs="Times New Roman"/>
                            <w:sz w:val="20"/>
                            <w:szCs w:val="20"/>
                            <w:lang w:val="en-AU"/>
                          </w:rPr>
                          <w:t xml:space="preserve"> website.</w:t>
                        </w:r>
                      </w:p>
                      <w:p w:rsidR="00A429FE" w:rsidRPr="00A429FE" w:rsidRDefault="00A429FE" w:rsidP="00A429F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7076" name="Picture 17076" descr="etailed Contents">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76" descr="etailed Contents">
                                        <a:hlinkClick r:id="rId93"/>
                                      </pic:cNvPr>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A429FE" w:rsidRPr="00A429FE" w:rsidRDefault="00A429FE" w:rsidP="00A429FE">
                        <w:pPr>
                          <w:rPr>
                            <w:rFonts w:ascii="Times" w:eastAsia="Times New Roman" w:hAnsi="Times" w:cs="Times New Roman"/>
                            <w:sz w:val="20"/>
                            <w:szCs w:val="20"/>
                            <w:lang w:val="en-AU"/>
                          </w:rPr>
                        </w:pPr>
                        <w:r w:rsidRPr="00A429FE">
                          <w:rPr>
                            <w:rFonts w:ascii="Times" w:eastAsia="Times New Roman" w:hAnsi="Times" w:cs="Times New Roman"/>
                            <w:sz w:val="20"/>
                            <w:szCs w:val="20"/>
                            <w:lang w:val="en-AU"/>
                          </w:rPr>
                          <w:pict>
                            <v:rect id="_x0000_i18101" style="width:0;height:1.5pt" o:hralign="center" o:hrstd="t" o:hr="t" fillcolor="#aaa" stroked="f"/>
                          </w:pict>
                        </w:r>
                      </w:p>
                      <w:p w:rsidR="00A429FE" w:rsidRPr="00A429FE" w:rsidRDefault="00A429FE" w:rsidP="00A429FE">
                        <w:pPr>
                          <w:spacing w:before="100" w:beforeAutospacing="1" w:after="100" w:afterAutospacing="1"/>
                          <w:rPr>
                            <w:rFonts w:ascii="Times" w:hAnsi="Times" w:cs="Times New Roman"/>
                            <w:sz w:val="20"/>
                            <w:szCs w:val="20"/>
                            <w:lang w:val="en-AU"/>
                          </w:rPr>
                        </w:pPr>
                        <w:bookmarkStart w:id="28" w:name="0123"/>
                        <w:bookmarkEnd w:id="28"/>
                        <w:r w:rsidRPr="00A429FE">
                          <w:rPr>
                            <w:rFonts w:ascii="Times" w:hAnsi="Times" w:cs="Times New Roman"/>
                            <w:b/>
                            <w:bCs/>
                            <w:sz w:val="20"/>
                            <w:szCs w:val="20"/>
                            <w:lang w:val="en-AU"/>
                          </w:rPr>
                          <w:t>1.23 Federal Court of Australia Practice Note on schemes of arrangement</w:t>
                        </w:r>
                        <w:r w:rsidRPr="00A429FE">
                          <w:rPr>
                            <w:rFonts w:ascii="Times" w:hAnsi="Times" w:cs="Times New Roman"/>
                            <w:sz w:val="20"/>
                            <w:szCs w:val="20"/>
                            <w:lang w:val="en-AU"/>
                          </w:rPr>
                          <w:br/>
                        </w:r>
                        <w:r w:rsidRPr="00A429FE">
                          <w:rPr>
                            <w:rFonts w:ascii="Times" w:hAnsi="Times" w:cs="Times New Roman"/>
                            <w:sz w:val="20"/>
                            <w:szCs w:val="20"/>
                            <w:lang w:val="en-AU"/>
                          </w:rPr>
                          <w:br/>
                          <w:t>On 24 September 2010, the Chief Justice of the Federal Court of Australia issued a new Practice Note CORP 3 - 'Schemes of Arrangement'.</w:t>
                        </w:r>
                        <w:r w:rsidRPr="00A429FE">
                          <w:rPr>
                            <w:rFonts w:ascii="Times" w:hAnsi="Times" w:cs="Times New Roman"/>
                            <w:sz w:val="20"/>
                            <w:szCs w:val="20"/>
                            <w:lang w:val="en-AU"/>
                          </w:rPr>
                          <w:br/>
                        </w:r>
                        <w:r w:rsidRPr="00A429FE">
                          <w:rPr>
                            <w:rFonts w:ascii="Times" w:hAnsi="Times" w:cs="Times New Roman"/>
                            <w:sz w:val="20"/>
                            <w:szCs w:val="20"/>
                            <w:lang w:val="en-AU"/>
                          </w:rPr>
                          <w:br/>
                          <w:t xml:space="preserve">Practice Note CORP 3 requires that orders for the convening of a meeting of members/creditors under section 411(1) of the </w:t>
                        </w:r>
                        <w:r w:rsidRPr="00A429FE">
                          <w:rPr>
                            <w:rFonts w:ascii="Times" w:hAnsi="Times" w:cs="Times New Roman"/>
                            <w:sz w:val="20"/>
                            <w:szCs w:val="20"/>
                            <w:lang w:val="en-AU"/>
                          </w:rPr>
                          <w:fldChar w:fldCharType="begin"/>
                        </w:r>
                        <w:r w:rsidRPr="00A429FE">
                          <w:rPr>
                            <w:rFonts w:ascii="Times" w:hAnsi="Times" w:cs="Times New Roman"/>
                            <w:sz w:val="20"/>
                            <w:szCs w:val="20"/>
                            <w:lang w:val="en-AU"/>
                          </w:rPr>
                          <w:instrText xml:space="preserve"> HYPERLINK "http://my.lawlex.com.au/index.asp?pact=coredoc&amp;nav=col&amp;cid=56482" \t "Default" </w:instrText>
                        </w:r>
                        <w:r w:rsidRPr="00A429FE">
                          <w:rPr>
                            <w:rFonts w:ascii="Times" w:hAnsi="Times" w:cs="Times New Roman"/>
                            <w:sz w:val="20"/>
                            <w:szCs w:val="20"/>
                            <w:lang w:val="en-AU"/>
                          </w:rPr>
                        </w:r>
                        <w:r w:rsidRPr="00A429FE">
                          <w:rPr>
                            <w:rFonts w:ascii="Times" w:hAnsi="Times" w:cs="Times New Roman"/>
                            <w:sz w:val="20"/>
                            <w:szCs w:val="20"/>
                            <w:lang w:val="en-AU"/>
                          </w:rPr>
                          <w:fldChar w:fldCharType="separate"/>
                        </w:r>
                        <w:r w:rsidRPr="00A429FE">
                          <w:rPr>
                            <w:rFonts w:ascii="Times" w:hAnsi="Times" w:cs="Times New Roman"/>
                            <w:color w:val="0000FF"/>
                            <w:sz w:val="20"/>
                            <w:szCs w:val="20"/>
                            <w:u w:val="single"/>
                            <w:lang w:val="en-AU"/>
                          </w:rPr>
                          <w:t>Corporations Act 2001 (Cth)</w:t>
                        </w:r>
                        <w:r w:rsidRPr="00A429FE">
                          <w:rPr>
                            <w:rFonts w:ascii="Times" w:hAnsi="Times" w:cs="Times New Roman"/>
                            <w:sz w:val="20"/>
                            <w:szCs w:val="20"/>
                            <w:lang w:val="en-AU"/>
                          </w:rPr>
                          <w:fldChar w:fldCharType="end"/>
                        </w:r>
                        <w:r w:rsidRPr="00A429FE">
                          <w:rPr>
                            <w:rFonts w:ascii="Times" w:hAnsi="Times" w:cs="Times New Roman"/>
                            <w:sz w:val="20"/>
                            <w:szCs w:val="20"/>
                            <w:lang w:val="en-AU"/>
                          </w:rPr>
                          <w:t xml:space="preserve"> contain a statement to the effect that the fact the court has ordered a meeting be convened and has approved the explanatory statement required to accompany the notices of the meeting is no indication that the court has a view as to the merits of the scheme or as to how members/creditors should vote or has prepared, or is responsible for the content of, the explanatory statement.</w:t>
                        </w:r>
                        <w:r w:rsidRPr="00A429FE">
                          <w:rPr>
                            <w:rFonts w:ascii="Times" w:hAnsi="Times" w:cs="Times New Roman"/>
                            <w:sz w:val="20"/>
                            <w:szCs w:val="20"/>
                            <w:lang w:val="en-AU"/>
                          </w:rPr>
                          <w:br/>
                        </w:r>
                        <w:r w:rsidRPr="00A429FE">
                          <w:rPr>
                            <w:rFonts w:ascii="Times" w:hAnsi="Times" w:cs="Times New Roman"/>
                            <w:sz w:val="20"/>
                            <w:szCs w:val="20"/>
                            <w:lang w:val="en-AU"/>
                          </w:rPr>
                          <w:br/>
                          <w:t>The Practice Note has been issued in response to a recommendation by the Council of Chief Justices' Harmonised Corporations Rules Monitoring Committee. It was considered by that Committee to be necessary to address any concern that the court's orders for the convening of a meeting of members/creditors under section 411(1) may give the impression of endorsement by the court of the scheme of arrangement proposed.</w:t>
                        </w:r>
                        <w:r w:rsidRPr="00A429FE">
                          <w:rPr>
                            <w:rFonts w:ascii="Times" w:hAnsi="Times" w:cs="Times New Roman"/>
                            <w:sz w:val="20"/>
                            <w:szCs w:val="20"/>
                            <w:lang w:val="en-AU"/>
                          </w:rPr>
                          <w:br/>
                          <w:t> </w:t>
                        </w:r>
                        <w:r w:rsidRPr="00A429FE">
                          <w:rPr>
                            <w:rFonts w:ascii="Times" w:hAnsi="Times" w:cs="Times New Roman"/>
                            <w:sz w:val="20"/>
                            <w:szCs w:val="20"/>
                            <w:lang w:val="en-AU"/>
                          </w:rPr>
                          <w:br/>
                          <w:t xml:space="preserve">The practice note is available on the </w:t>
                        </w:r>
                        <w:r w:rsidRPr="00A429FE">
                          <w:rPr>
                            <w:rFonts w:ascii="Times" w:hAnsi="Times" w:cs="Times New Roman"/>
                            <w:sz w:val="20"/>
                            <w:szCs w:val="20"/>
                            <w:lang w:val="en-AU"/>
                          </w:rPr>
                          <w:fldChar w:fldCharType="begin"/>
                        </w:r>
                        <w:r w:rsidRPr="00A429FE">
                          <w:rPr>
                            <w:rFonts w:ascii="Times" w:hAnsi="Times" w:cs="Times New Roman"/>
                            <w:sz w:val="20"/>
                            <w:szCs w:val="20"/>
                            <w:lang w:val="en-AU"/>
                          </w:rPr>
                          <w:instrText xml:space="preserve"> HYPERLINK "http://www.fedcourt.gov.au/how/practice_notes_corp3.html" \t "_new" </w:instrText>
                        </w:r>
                        <w:r w:rsidRPr="00A429FE">
                          <w:rPr>
                            <w:rFonts w:ascii="Times" w:hAnsi="Times" w:cs="Times New Roman"/>
                            <w:sz w:val="20"/>
                            <w:szCs w:val="20"/>
                            <w:lang w:val="en-AU"/>
                          </w:rPr>
                        </w:r>
                        <w:r w:rsidRPr="00A429FE">
                          <w:rPr>
                            <w:rFonts w:ascii="Times" w:hAnsi="Times" w:cs="Times New Roman"/>
                            <w:sz w:val="20"/>
                            <w:szCs w:val="20"/>
                            <w:lang w:val="en-AU"/>
                          </w:rPr>
                          <w:fldChar w:fldCharType="separate"/>
                        </w:r>
                        <w:r w:rsidRPr="00A429FE">
                          <w:rPr>
                            <w:rFonts w:ascii="Times" w:hAnsi="Times" w:cs="Times New Roman"/>
                            <w:color w:val="0000FF"/>
                            <w:sz w:val="20"/>
                            <w:szCs w:val="20"/>
                            <w:u w:val="single"/>
                            <w:lang w:val="en-AU"/>
                          </w:rPr>
                          <w:t>Federal Court of Australia</w:t>
                        </w:r>
                        <w:r w:rsidRPr="00A429FE">
                          <w:rPr>
                            <w:rFonts w:ascii="Times" w:hAnsi="Times" w:cs="Times New Roman"/>
                            <w:sz w:val="20"/>
                            <w:szCs w:val="20"/>
                            <w:lang w:val="en-AU"/>
                          </w:rPr>
                          <w:fldChar w:fldCharType="end"/>
                        </w:r>
                        <w:r w:rsidRPr="00A429FE">
                          <w:rPr>
                            <w:rFonts w:ascii="Times" w:hAnsi="Times" w:cs="Times New Roman"/>
                            <w:sz w:val="20"/>
                            <w:szCs w:val="20"/>
                            <w:lang w:val="en-AU"/>
                          </w:rPr>
                          <w:t xml:space="preserve"> website.</w:t>
                        </w:r>
                      </w:p>
                      <w:p w:rsidR="00A429FE" w:rsidRPr="00A429FE" w:rsidRDefault="00A429FE" w:rsidP="00A429F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7078" name="Picture 17078" descr="etailed Contents">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78" descr="etailed Contents">
                                        <a:hlinkClick r:id="rId93"/>
                                      </pic:cNvPr>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A429FE" w:rsidRPr="00A429FE" w:rsidRDefault="00A429FE" w:rsidP="00A429FE">
                        <w:pPr>
                          <w:rPr>
                            <w:rFonts w:ascii="Times" w:eastAsia="Times New Roman" w:hAnsi="Times" w:cs="Times New Roman"/>
                            <w:sz w:val="20"/>
                            <w:szCs w:val="20"/>
                            <w:lang w:val="en-AU"/>
                          </w:rPr>
                        </w:pPr>
                        <w:r w:rsidRPr="00A429FE">
                          <w:rPr>
                            <w:rFonts w:ascii="Times" w:eastAsia="Times New Roman" w:hAnsi="Times" w:cs="Times New Roman"/>
                            <w:sz w:val="20"/>
                            <w:szCs w:val="20"/>
                            <w:lang w:val="en-AU"/>
                          </w:rPr>
                          <w:pict>
                            <v:rect id="_x0000_i18103" style="width:0;height:1.5pt" o:hralign="center" o:hrstd="t" o:hr="t" fillcolor="#aaa" stroked="f"/>
                          </w:pict>
                        </w:r>
                      </w:p>
                      <w:p w:rsidR="00A429FE" w:rsidRPr="00A429FE" w:rsidRDefault="00A429FE" w:rsidP="00A429FE">
                        <w:pPr>
                          <w:spacing w:before="100" w:beforeAutospacing="1" w:after="100" w:afterAutospacing="1"/>
                          <w:rPr>
                            <w:rFonts w:ascii="Times" w:hAnsi="Times" w:cs="Times New Roman"/>
                            <w:sz w:val="20"/>
                            <w:szCs w:val="20"/>
                            <w:lang w:val="en-AU"/>
                          </w:rPr>
                        </w:pPr>
                        <w:bookmarkStart w:id="29" w:name="0124"/>
                        <w:bookmarkEnd w:id="29"/>
                        <w:r w:rsidRPr="00A429FE">
                          <w:rPr>
                            <w:rFonts w:ascii="Times" w:hAnsi="Times" w:cs="Times New Roman"/>
                            <w:b/>
                            <w:bCs/>
                            <w:sz w:val="20"/>
                            <w:szCs w:val="20"/>
                            <w:lang w:val="en-AU"/>
                          </w:rPr>
                          <w:t>1.24 Recommendations for handling inside information</w:t>
                        </w:r>
                        <w:r w:rsidRPr="00A429FE">
                          <w:rPr>
                            <w:rFonts w:ascii="Times" w:hAnsi="Times" w:cs="Times New Roman"/>
                            <w:b/>
                            <w:bCs/>
                            <w:sz w:val="20"/>
                            <w:szCs w:val="20"/>
                            <w:lang w:val="en-AU"/>
                          </w:rPr>
                          <w:br/>
                        </w:r>
                        <w:r w:rsidRPr="00A429FE">
                          <w:rPr>
                            <w:rFonts w:ascii="Times" w:hAnsi="Times" w:cs="Times New Roman"/>
                            <w:sz w:val="20"/>
                            <w:szCs w:val="20"/>
                            <w:lang w:val="en-AU"/>
                          </w:rPr>
                          <w:t> </w:t>
                        </w:r>
                        <w:r w:rsidRPr="00A429FE">
                          <w:rPr>
                            <w:rFonts w:ascii="Times" w:hAnsi="Times" w:cs="Times New Roman"/>
                            <w:sz w:val="20"/>
                            <w:szCs w:val="20"/>
                            <w:lang w:val="en-AU"/>
                          </w:rPr>
                          <w:br/>
                          <w:t>On 23 September 2010, the UK Financial Services Authority (FSA) published Market Watch 37 which deals with leaks of inside information in relation to financial firms, including recommendations on the handling of inside information. The FSA puts forward 25 recommendations under the headings of media policies, verbal communication, written communication, training staff, regularly communicating with staff, establishing a strong reporting culture and disciplinary action.</w:t>
                        </w:r>
                        <w:r w:rsidRPr="00A429FE">
                          <w:rPr>
                            <w:rFonts w:ascii="Times" w:hAnsi="Times" w:cs="Times New Roman"/>
                            <w:sz w:val="20"/>
                            <w:szCs w:val="20"/>
                            <w:lang w:val="en-AU"/>
                          </w:rPr>
                          <w:br/>
                          <w:t> </w:t>
                        </w:r>
                        <w:r w:rsidRPr="00A429FE">
                          <w:rPr>
                            <w:rFonts w:ascii="Times" w:hAnsi="Times" w:cs="Times New Roman"/>
                            <w:sz w:val="20"/>
                            <w:szCs w:val="20"/>
                            <w:lang w:val="en-AU"/>
                          </w:rPr>
                          <w:br/>
                          <w:t>The FSA undertook investigations into the handling of inside information and reports as follows:</w:t>
                        </w:r>
                        <w:r w:rsidRPr="00A429FE">
                          <w:rPr>
                            <w:rFonts w:ascii="Times" w:hAnsi="Times" w:cs="Times New Roman"/>
                            <w:sz w:val="20"/>
                            <w:szCs w:val="20"/>
                            <w:lang w:val="en-AU"/>
                          </w:rPr>
                          <w:br/>
                          <w:t> </w:t>
                        </w:r>
                        <w:r w:rsidRPr="00A429FE">
                          <w:rPr>
                            <w:rFonts w:ascii="Times" w:hAnsi="Times" w:cs="Times New Roman"/>
                            <w:sz w:val="20"/>
                            <w:szCs w:val="20"/>
                            <w:lang w:val="en-AU"/>
                          </w:rPr>
                          <w:br/>
                          <w:t>"Our enquiries revealed that media reports containing leaks were often closely preceded by telephone conversations between insiders occupying senior roles on a corporate transaction, and the journalists who published those media reports. Due to their position as insiders, these senior individuals held detailed knowledge of the transaction. The calls between the insiders and journalists lasted up to 20 minutes in length and in some cases took place with journalists the afternoon or evening before the leak was first published. Such suspicious communication between the insiders occupying senior roles and journalists is a cause for concern, especially in the context of the level of leaks that occur in our markets. While we acknowledge that some of the insiders we identified as speaking to journalists may have been asked to confirm details the journalist already held, insiders who confirm information put to them by a journalist still potentially commit market abuse as they are in effect disclosing inside information through affirmation (even though the information was sourced first elsewhere). As a result, we believe regulated/unregulated firms and issuers can improve controls and we believe it is essential that senior management establish a robust anti-leaking culture in their organisations.</w:t>
                        </w:r>
                        <w:r w:rsidRPr="00A429FE">
                          <w:rPr>
                            <w:rFonts w:ascii="Times" w:hAnsi="Times" w:cs="Times New Roman"/>
                            <w:sz w:val="20"/>
                            <w:szCs w:val="20"/>
                            <w:lang w:val="en-AU"/>
                          </w:rPr>
                          <w:br/>
                          <w:t> </w:t>
                        </w:r>
                        <w:r w:rsidRPr="00A429FE">
                          <w:rPr>
                            <w:rFonts w:ascii="Times" w:hAnsi="Times" w:cs="Times New Roman"/>
                            <w:sz w:val="20"/>
                            <w:szCs w:val="20"/>
                            <w:lang w:val="en-AU"/>
                          </w:rPr>
                          <w:br/>
                          <w:t>"We were also concerned about the apparent deficiencies in regulated firms' media and compliance policies. Our review of regulated firms' controls revealed several concerns about handling inside information in the context of media enquiries. In particular we found:</w:t>
                        </w:r>
                      </w:p>
                      <w:p w:rsidR="00A429FE" w:rsidRPr="00A429FE" w:rsidRDefault="00A429FE" w:rsidP="00A429FE">
                        <w:pPr>
                          <w:tabs>
                            <w:tab w:val="num" w:pos="720"/>
                          </w:tabs>
                          <w:spacing w:before="100" w:beforeAutospacing="1" w:after="100" w:afterAutospacing="1"/>
                          <w:ind w:left="720" w:hanging="360"/>
                          <w:rPr>
                            <w:rFonts w:ascii="Times" w:eastAsia="Times New Roman" w:hAnsi="Times" w:cs="Times New Roman"/>
                            <w:sz w:val="20"/>
                            <w:szCs w:val="20"/>
                            <w:lang w:val="en-AU"/>
                          </w:rPr>
                        </w:pPr>
                        <w:r w:rsidRPr="00A429FE">
                          <w:rPr>
                            <w:rFonts w:ascii="Times" w:eastAsia="Times New Roman" w:hAnsi="Times" w:cs="Times New Roman"/>
                            <w:sz w:val="20"/>
                            <w:szCs w:val="20"/>
                            <w:lang w:val="en-AU"/>
                          </w:rPr>
                          <w:t xml:space="preserve">inconsistency in the handling of media enquiries amongst insiders at issuers and firms acting as advisers to the transaction, and uncertainty as to who was ultimately responsible; </w:t>
                        </w:r>
                      </w:p>
                      <w:p w:rsidR="00A429FE" w:rsidRPr="00A429FE" w:rsidRDefault="00A429FE" w:rsidP="00A429FE">
                        <w:pPr>
                          <w:tabs>
                            <w:tab w:val="num" w:pos="720"/>
                          </w:tabs>
                          <w:spacing w:before="100" w:beforeAutospacing="1" w:after="100" w:afterAutospacing="1"/>
                          <w:ind w:left="720" w:hanging="360"/>
                          <w:rPr>
                            <w:rFonts w:ascii="Times" w:eastAsia="Times New Roman" w:hAnsi="Times" w:cs="Times New Roman"/>
                            <w:sz w:val="20"/>
                            <w:szCs w:val="20"/>
                            <w:lang w:val="en-AU"/>
                          </w:rPr>
                        </w:pPr>
                        <w:r w:rsidRPr="00A429FE">
                          <w:rPr>
                            <w:rFonts w:ascii="Times" w:eastAsia="Times New Roman" w:hAnsi="Times" w:cs="Times New Roman"/>
                            <w:sz w:val="20"/>
                            <w:szCs w:val="20"/>
                            <w:lang w:val="en-AU"/>
                          </w:rPr>
                          <w:t xml:space="preserve">that when insiders corresponded with a journalist there was no requirement at regulated firms to advise either media relations personnel or compliance/legal personnel; </w:t>
                        </w:r>
                      </w:p>
                      <w:p w:rsidR="00A429FE" w:rsidRPr="00A429FE" w:rsidRDefault="00A429FE" w:rsidP="00A429FE">
                        <w:pPr>
                          <w:tabs>
                            <w:tab w:val="num" w:pos="720"/>
                          </w:tabs>
                          <w:spacing w:before="100" w:beforeAutospacing="1" w:after="100" w:afterAutospacing="1"/>
                          <w:ind w:left="720" w:hanging="360"/>
                          <w:rPr>
                            <w:rFonts w:ascii="Times" w:eastAsia="Times New Roman" w:hAnsi="Times" w:cs="Times New Roman"/>
                            <w:sz w:val="20"/>
                            <w:szCs w:val="20"/>
                            <w:lang w:val="en-AU"/>
                          </w:rPr>
                        </w:pPr>
                        <w:r w:rsidRPr="00A429FE">
                          <w:rPr>
                            <w:rFonts w:ascii="Times" w:eastAsia="Times New Roman" w:hAnsi="Times" w:cs="Times New Roman"/>
                            <w:sz w:val="20"/>
                            <w:szCs w:val="20"/>
                            <w:lang w:val="en-AU"/>
                          </w:rPr>
                          <w:t xml:space="preserve">a lack of harmonisation between regulated firms' media policies and compliance policies about inside information and price sensitive information; </w:t>
                        </w:r>
                      </w:p>
                      <w:p w:rsidR="00A429FE" w:rsidRPr="00A429FE" w:rsidRDefault="00A429FE" w:rsidP="00A429FE">
                        <w:pPr>
                          <w:tabs>
                            <w:tab w:val="num" w:pos="720"/>
                          </w:tabs>
                          <w:spacing w:before="100" w:beforeAutospacing="1" w:after="100" w:afterAutospacing="1"/>
                          <w:ind w:left="720" w:hanging="360"/>
                          <w:rPr>
                            <w:rFonts w:ascii="Times" w:eastAsia="Times New Roman" w:hAnsi="Times" w:cs="Times New Roman"/>
                            <w:sz w:val="20"/>
                            <w:szCs w:val="20"/>
                            <w:lang w:val="en-AU"/>
                          </w:rPr>
                        </w:pPr>
                        <w:r w:rsidRPr="00A429FE">
                          <w:rPr>
                            <w:rFonts w:ascii="Times" w:eastAsia="Times New Roman" w:hAnsi="Times" w:cs="Times New Roman"/>
                            <w:sz w:val="20"/>
                            <w:szCs w:val="20"/>
                            <w:lang w:val="en-AU"/>
                          </w:rPr>
                          <w:t xml:space="preserve">regulated firms usually have unwritten informal exemptions to their general policy, permitting staff members to respond to the media without the media relations team's authorisation. These unwritten exemptions effectively gave a blanket permission to senior staff to speak to the media. These exemptions were generally not documented but the core insiders we interviewed as part of our enquiries relied on these; </w:t>
                        </w:r>
                      </w:p>
                      <w:p w:rsidR="00A429FE" w:rsidRPr="00A429FE" w:rsidRDefault="00A429FE" w:rsidP="00A429FE">
                        <w:pPr>
                          <w:tabs>
                            <w:tab w:val="num" w:pos="720"/>
                          </w:tabs>
                          <w:spacing w:before="100" w:beforeAutospacing="1" w:after="100" w:afterAutospacing="1"/>
                          <w:ind w:left="720" w:hanging="360"/>
                          <w:rPr>
                            <w:rFonts w:ascii="Times" w:eastAsia="Times New Roman" w:hAnsi="Times" w:cs="Times New Roman"/>
                            <w:sz w:val="20"/>
                            <w:szCs w:val="20"/>
                            <w:lang w:val="en-AU"/>
                          </w:rPr>
                        </w:pPr>
                        <w:r w:rsidRPr="00A429FE">
                          <w:rPr>
                            <w:rFonts w:ascii="Times" w:eastAsia="Times New Roman" w:hAnsi="Times" w:cs="Times New Roman"/>
                            <w:sz w:val="20"/>
                            <w:szCs w:val="20"/>
                            <w:lang w:val="en-AU"/>
                          </w:rPr>
                          <w:t xml:space="preserve">when an exemption in regulated firms' media policies applied, it was often unclear as to its extent, to whom it applied, and in what circumstances staff could directly converse with the media; </w:t>
                        </w:r>
                      </w:p>
                      <w:p w:rsidR="00A429FE" w:rsidRPr="00A429FE" w:rsidRDefault="00A429FE" w:rsidP="00A429FE">
                        <w:pPr>
                          <w:tabs>
                            <w:tab w:val="num" w:pos="720"/>
                          </w:tabs>
                          <w:spacing w:before="100" w:beforeAutospacing="1" w:after="100" w:afterAutospacing="1"/>
                          <w:ind w:left="720" w:hanging="360"/>
                          <w:rPr>
                            <w:rFonts w:ascii="Times" w:eastAsia="Times New Roman" w:hAnsi="Times" w:cs="Times New Roman"/>
                            <w:sz w:val="20"/>
                            <w:szCs w:val="20"/>
                            <w:lang w:val="en-AU"/>
                          </w:rPr>
                        </w:pPr>
                        <w:r w:rsidRPr="00A429FE">
                          <w:rPr>
                            <w:rFonts w:ascii="Times" w:eastAsia="Times New Roman" w:hAnsi="Times" w:cs="Times New Roman"/>
                            <w:sz w:val="20"/>
                            <w:szCs w:val="20"/>
                            <w:lang w:val="en-AU"/>
                          </w:rPr>
                          <w:t xml:space="preserve">regulated firm's staff did not receive sufficient training on relevant areas of market abuse (e.g. inside information and misusing information); and </w:t>
                        </w:r>
                      </w:p>
                      <w:p w:rsidR="00A429FE" w:rsidRPr="00A429FE" w:rsidRDefault="00A429FE" w:rsidP="00A429FE">
                        <w:pPr>
                          <w:tabs>
                            <w:tab w:val="num" w:pos="720"/>
                          </w:tabs>
                          <w:spacing w:before="100" w:beforeAutospacing="1" w:after="100" w:afterAutospacing="1"/>
                          <w:ind w:left="720" w:hanging="360"/>
                          <w:rPr>
                            <w:rFonts w:ascii="Times" w:eastAsia="Times New Roman" w:hAnsi="Times" w:cs="Times New Roman"/>
                            <w:sz w:val="20"/>
                            <w:szCs w:val="20"/>
                            <w:lang w:val="en-AU"/>
                          </w:rPr>
                        </w:pPr>
                        <w:r w:rsidRPr="00A429FE">
                          <w:rPr>
                            <w:rFonts w:ascii="Times" w:eastAsia="Times New Roman" w:hAnsi="Times" w:cs="Times New Roman"/>
                            <w:sz w:val="20"/>
                            <w:szCs w:val="20"/>
                            <w:lang w:val="en-AU"/>
                          </w:rPr>
                          <w:t xml:space="preserve">policies were unclear on how to handle a potential leak or how regulated firm's staff should escalate it." </w:t>
                        </w:r>
                      </w:p>
                      <w:p w:rsidR="00A429FE" w:rsidRPr="00A429FE" w:rsidRDefault="00A429FE" w:rsidP="00A429FE">
                        <w:pPr>
                          <w:spacing w:before="100" w:beforeAutospacing="1" w:after="100" w:afterAutospacing="1"/>
                          <w:rPr>
                            <w:rFonts w:ascii="Times" w:hAnsi="Times" w:cs="Times New Roman"/>
                            <w:sz w:val="20"/>
                            <w:szCs w:val="20"/>
                            <w:lang w:val="en-AU"/>
                          </w:rPr>
                        </w:pPr>
                        <w:r w:rsidRPr="00A429FE">
                          <w:rPr>
                            <w:rFonts w:ascii="Times" w:hAnsi="Times" w:cs="Times New Roman"/>
                            <w:sz w:val="20"/>
                            <w:szCs w:val="20"/>
                            <w:lang w:val="en-AU"/>
                          </w:rPr>
                          <w:t xml:space="preserve">Market Watch 37 is available on the </w:t>
                        </w:r>
                        <w:r w:rsidRPr="00A429FE">
                          <w:rPr>
                            <w:rFonts w:ascii="Times" w:hAnsi="Times" w:cs="Times New Roman"/>
                            <w:sz w:val="20"/>
                            <w:szCs w:val="20"/>
                            <w:lang w:val="en-AU"/>
                          </w:rPr>
                          <w:fldChar w:fldCharType="begin"/>
                        </w:r>
                        <w:r w:rsidRPr="00A429FE">
                          <w:rPr>
                            <w:rFonts w:ascii="Times" w:hAnsi="Times" w:cs="Times New Roman"/>
                            <w:sz w:val="20"/>
                            <w:szCs w:val="20"/>
                            <w:lang w:val="en-AU"/>
                          </w:rPr>
                          <w:instrText xml:space="preserve"> HYPERLINK "http://www.fsa.gov.uk/pubs/newsletters/mw_newsletter37.pdf" \t "_new" </w:instrText>
                        </w:r>
                        <w:r w:rsidRPr="00A429FE">
                          <w:rPr>
                            <w:rFonts w:ascii="Times" w:hAnsi="Times" w:cs="Times New Roman"/>
                            <w:sz w:val="20"/>
                            <w:szCs w:val="20"/>
                            <w:lang w:val="en-AU"/>
                          </w:rPr>
                        </w:r>
                        <w:r w:rsidRPr="00A429FE">
                          <w:rPr>
                            <w:rFonts w:ascii="Times" w:hAnsi="Times" w:cs="Times New Roman"/>
                            <w:sz w:val="20"/>
                            <w:szCs w:val="20"/>
                            <w:lang w:val="en-AU"/>
                          </w:rPr>
                          <w:fldChar w:fldCharType="separate"/>
                        </w:r>
                        <w:r w:rsidRPr="00A429FE">
                          <w:rPr>
                            <w:rFonts w:ascii="Times" w:hAnsi="Times" w:cs="Times New Roman"/>
                            <w:color w:val="0000FF"/>
                            <w:sz w:val="20"/>
                            <w:szCs w:val="20"/>
                            <w:u w:val="single"/>
                            <w:lang w:val="en-AU"/>
                          </w:rPr>
                          <w:t>FSA</w:t>
                        </w:r>
                        <w:r w:rsidRPr="00A429FE">
                          <w:rPr>
                            <w:rFonts w:ascii="Times" w:hAnsi="Times" w:cs="Times New Roman"/>
                            <w:sz w:val="20"/>
                            <w:szCs w:val="20"/>
                            <w:lang w:val="en-AU"/>
                          </w:rPr>
                          <w:fldChar w:fldCharType="end"/>
                        </w:r>
                        <w:r w:rsidRPr="00A429FE">
                          <w:rPr>
                            <w:rFonts w:ascii="Times" w:hAnsi="Times" w:cs="Times New Roman"/>
                            <w:sz w:val="20"/>
                            <w:szCs w:val="20"/>
                            <w:lang w:val="en-AU"/>
                          </w:rPr>
                          <w:t xml:space="preserve"> website. </w:t>
                        </w:r>
                      </w:p>
                      <w:p w:rsidR="00A429FE" w:rsidRPr="00A429FE" w:rsidRDefault="00A429FE" w:rsidP="00A429F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7080" name="Picture 17080" descr="etailed Contents">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80" descr="etailed Contents">
                                        <a:hlinkClick r:id="rId93"/>
                                      </pic:cNvPr>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A429FE" w:rsidRPr="00A429FE" w:rsidRDefault="00A429FE" w:rsidP="00A429FE">
                        <w:pPr>
                          <w:rPr>
                            <w:rFonts w:ascii="Times" w:eastAsia="Times New Roman" w:hAnsi="Times" w:cs="Times New Roman"/>
                            <w:sz w:val="20"/>
                            <w:szCs w:val="20"/>
                            <w:lang w:val="en-AU"/>
                          </w:rPr>
                        </w:pPr>
                        <w:r w:rsidRPr="00A429FE">
                          <w:rPr>
                            <w:rFonts w:ascii="Times" w:eastAsia="Times New Roman" w:hAnsi="Times" w:cs="Times New Roman"/>
                            <w:sz w:val="20"/>
                            <w:szCs w:val="20"/>
                            <w:lang w:val="en-AU"/>
                          </w:rPr>
                          <w:pict>
                            <v:rect id="_x0000_i18105" style="width:0;height:1.5pt" o:hralign="center" o:hrstd="t" o:hr="t" fillcolor="#aaa" stroked="f"/>
                          </w:pict>
                        </w:r>
                      </w:p>
                      <w:p w:rsidR="00A429FE" w:rsidRPr="00A429FE" w:rsidRDefault="00A429FE" w:rsidP="00A429FE">
                        <w:pPr>
                          <w:spacing w:before="100" w:beforeAutospacing="1" w:after="100" w:afterAutospacing="1"/>
                          <w:rPr>
                            <w:rFonts w:ascii="Times" w:hAnsi="Times" w:cs="Times New Roman"/>
                            <w:sz w:val="20"/>
                            <w:szCs w:val="20"/>
                            <w:lang w:val="en-AU"/>
                          </w:rPr>
                        </w:pPr>
                        <w:bookmarkStart w:id="30" w:name="0125"/>
                        <w:bookmarkEnd w:id="30"/>
                        <w:r w:rsidRPr="00A429FE">
                          <w:rPr>
                            <w:rFonts w:ascii="Times" w:hAnsi="Times" w:cs="Times New Roman"/>
                            <w:b/>
                            <w:bCs/>
                            <w:sz w:val="20"/>
                            <w:szCs w:val="20"/>
                            <w:lang w:val="en-AU"/>
                          </w:rPr>
                          <w:t xml:space="preserve">1.25 NYSE-Sponsored "Commission on Corporate Governance" outlines key governance principles </w:t>
                        </w:r>
                        <w:r w:rsidRPr="00A429FE">
                          <w:rPr>
                            <w:rFonts w:ascii="Times" w:hAnsi="Times" w:cs="Times New Roman"/>
                            <w:b/>
                            <w:bCs/>
                            <w:sz w:val="20"/>
                            <w:szCs w:val="20"/>
                            <w:lang w:val="en-AU"/>
                          </w:rPr>
                          <w:br/>
                        </w:r>
                        <w:r w:rsidRPr="00A429FE">
                          <w:rPr>
                            <w:rFonts w:ascii="Times" w:hAnsi="Times" w:cs="Times New Roman"/>
                            <w:sz w:val="20"/>
                            <w:szCs w:val="20"/>
                            <w:lang w:val="en-AU"/>
                          </w:rPr>
                          <w:t> </w:t>
                        </w:r>
                        <w:r w:rsidRPr="00A429FE">
                          <w:rPr>
                            <w:rFonts w:ascii="Times" w:hAnsi="Times" w:cs="Times New Roman"/>
                            <w:sz w:val="20"/>
                            <w:szCs w:val="20"/>
                            <w:lang w:val="en-AU"/>
                          </w:rPr>
                          <w:br/>
                          <w:t xml:space="preserve">On 23 September 2010, the NYSE Euronext (NYX) released the final report of the NYSE-sponsored Commission on Corporate Governance.  </w:t>
                        </w:r>
                        <w:r w:rsidRPr="00A429FE">
                          <w:rPr>
                            <w:rFonts w:ascii="Times" w:hAnsi="Times" w:cs="Times New Roman"/>
                            <w:sz w:val="20"/>
                            <w:szCs w:val="20"/>
                            <w:lang w:val="en-AU"/>
                          </w:rPr>
                          <w:br/>
                          <w:t> </w:t>
                        </w:r>
                        <w:r w:rsidRPr="00A429FE">
                          <w:rPr>
                            <w:rFonts w:ascii="Times" w:hAnsi="Times" w:cs="Times New Roman"/>
                            <w:sz w:val="20"/>
                            <w:szCs w:val="20"/>
                            <w:lang w:val="en-AU"/>
                          </w:rPr>
                          <w:br/>
                          <w:t>The 10 core principles outlined by the NYSE-sponsored Commission on Corporate Governance are as follows:</w:t>
                        </w:r>
                      </w:p>
                      <w:p w:rsidR="00A429FE" w:rsidRPr="00A429FE" w:rsidRDefault="00A429FE" w:rsidP="00A429FE">
                        <w:pPr>
                          <w:tabs>
                            <w:tab w:val="num" w:pos="720"/>
                          </w:tabs>
                          <w:spacing w:before="100" w:beforeAutospacing="1" w:after="100" w:afterAutospacing="1"/>
                          <w:ind w:left="720" w:hanging="360"/>
                          <w:rPr>
                            <w:rFonts w:ascii="Times" w:eastAsia="Times New Roman" w:hAnsi="Times" w:cs="Times New Roman"/>
                            <w:sz w:val="20"/>
                            <w:szCs w:val="20"/>
                            <w:lang w:val="en-AU"/>
                          </w:rPr>
                        </w:pPr>
                        <w:r w:rsidRPr="00A429FE">
                          <w:rPr>
                            <w:rFonts w:ascii="Times" w:eastAsia="Times New Roman" w:hAnsi="Times" w:cs="Times New Roman"/>
                            <w:sz w:val="20"/>
                            <w:szCs w:val="20"/>
                            <w:lang w:val="en-AU"/>
                          </w:rPr>
                          <w:t xml:space="preserve">The Board's fundamental objective should be to build long-term sustainable growth in shareholder value for the corporation; </w:t>
                        </w:r>
                      </w:p>
                      <w:p w:rsidR="00A429FE" w:rsidRPr="00A429FE" w:rsidRDefault="00A429FE" w:rsidP="00A429FE">
                        <w:pPr>
                          <w:tabs>
                            <w:tab w:val="num" w:pos="720"/>
                          </w:tabs>
                          <w:spacing w:before="100" w:beforeAutospacing="1" w:after="100" w:afterAutospacing="1"/>
                          <w:ind w:left="720" w:hanging="360"/>
                          <w:rPr>
                            <w:rFonts w:ascii="Times" w:eastAsia="Times New Roman" w:hAnsi="Times" w:cs="Times New Roman"/>
                            <w:sz w:val="20"/>
                            <w:szCs w:val="20"/>
                            <w:lang w:val="en-AU"/>
                          </w:rPr>
                        </w:pPr>
                        <w:r w:rsidRPr="00A429FE">
                          <w:rPr>
                            <w:rFonts w:ascii="Times" w:eastAsia="Times New Roman" w:hAnsi="Times" w:cs="Times New Roman"/>
                            <w:sz w:val="20"/>
                            <w:szCs w:val="20"/>
                            <w:lang w:val="en-AU"/>
                          </w:rPr>
                          <w:t xml:space="preserve">Successful corporate governance depends upon successful management of the company, as management has the primary responsibility for creating a culture of performance with integrity and ethical behaviour; </w:t>
                        </w:r>
                      </w:p>
                      <w:p w:rsidR="00A429FE" w:rsidRPr="00A429FE" w:rsidRDefault="00A429FE" w:rsidP="00A429FE">
                        <w:pPr>
                          <w:tabs>
                            <w:tab w:val="num" w:pos="720"/>
                          </w:tabs>
                          <w:spacing w:before="100" w:beforeAutospacing="1" w:after="100" w:afterAutospacing="1"/>
                          <w:ind w:left="720" w:hanging="360"/>
                          <w:rPr>
                            <w:rFonts w:ascii="Times" w:eastAsia="Times New Roman" w:hAnsi="Times" w:cs="Times New Roman"/>
                            <w:sz w:val="20"/>
                            <w:szCs w:val="20"/>
                            <w:lang w:val="en-AU"/>
                          </w:rPr>
                        </w:pPr>
                        <w:r w:rsidRPr="00A429FE">
                          <w:rPr>
                            <w:rFonts w:ascii="Times" w:eastAsia="Times New Roman" w:hAnsi="Times" w:cs="Times New Roman"/>
                            <w:sz w:val="20"/>
                            <w:szCs w:val="20"/>
                            <w:lang w:val="en-AU"/>
                          </w:rPr>
                          <w:t xml:space="preserve">Good corporate governance should be integrated with the company's business strategy and not viewed as simply a compliance obligation; </w:t>
                        </w:r>
                      </w:p>
                      <w:p w:rsidR="00A429FE" w:rsidRPr="00A429FE" w:rsidRDefault="00A429FE" w:rsidP="00A429FE">
                        <w:pPr>
                          <w:tabs>
                            <w:tab w:val="num" w:pos="720"/>
                          </w:tabs>
                          <w:spacing w:before="100" w:beforeAutospacing="1" w:after="100" w:afterAutospacing="1"/>
                          <w:ind w:left="720" w:hanging="360"/>
                          <w:rPr>
                            <w:rFonts w:ascii="Times" w:eastAsia="Times New Roman" w:hAnsi="Times" w:cs="Times New Roman"/>
                            <w:sz w:val="20"/>
                            <w:szCs w:val="20"/>
                            <w:lang w:val="en-AU"/>
                          </w:rPr>
                        </w:pPr>
                        <w:r w:rsidRPr="00A429FE">
                          <w:rPr>
                            <w:rFonts w:ascii="Times" w:eastAsia="Times New Roman" w:hAnsi="Times" w:cs="Times New Roman"/>
                            <w:sz w:val="20"/>
                            <w:szCs w:val="20"/>
                            <w:lang w:val="en-AU"/>
                          </w:rPr>
                          <w:t xml:space="preserve">Shareholders have a responsibility and long-term economic interest to vote their shares in a reasoned and responsible manner, and should engage in a dialogue with companies in a thoughtful manner;  </w:t>
                        </w:r>
                      </w:p>
                      <w:p w:rsidR="00A429FE" w:rsidRPr="00A429FE" w:rsidRDefault="00A429FE" w:rsidP="00A429FE">
                        <w:pPr>
                          <w:tabs>
                            <w:tab w:val="num" w:pos="720"/>
                          </w:tabs>
                          <w:spacing w:before="100" w:beforeAutospacing="1" w:after="100" w:afterAutospacing="1"/>
                          <w:ind w:left="720" w:hanging="360"/>
                          <w:rPr>
                            <w:rFonts w:ascii="Times" w:eastAsia="Times New Roman" w:hAnsi="Times" w:cs="Times New Roman"/>
                            <w:sz w:val="20"/>
                            <w:szCs w:val="20"/>
                            <w:lang w:val="en-AU"/>
                          </w:rPr>
                        </w:pPr>
                        <w:r w:rsidRPr="00A429FE">
                          <w:rPr>
                            <w:rFonts w:ascii="Times" w:eastAsia="Times New Roman" w:hAnsi="Times" w:cs="Times New Roman"/>
                            <w:sz w:val="20"/>
                            <w:szCs w:val="20"/>
                            <w:lang w:val="en-AU"/>
                          </w:rPr>
                          <w:t xml:space="preserve">While legislation and agency rule-making are important to establish the basic tenets of corporate governance, corporate governance issues are generally best solved through collaboration and market-based reforms; </w:t>
                        </w:r>
                      </w:p>
                      <w:p w:rsidR="00A429FE" w:rsidRPr="00A429FE" w:rsidRDefault="00A429FE" w:rsidP="00A429FE">
                        <w:pPr>
                          <w:tabs>
                            <w:tab w:val="num" w:pos="720"/>
                          </w:tabs>
                          <w:spacing w:before="100" w:beforeAutospacing="1" w:after="100" w:afterAutospacing="1"/>
                          <w:ind w:left="720" w:hanging="360"/>
                          <w:rPr>
                            <w:rFonts w:ascii="Times" w:eastAsia="Times New Roman" w:hAnsi="Times" w:cs="Times New Roman"/>
                            <w:sz w:val="20"/>
                            <w:szCs w:val="20"/>
                            <w:lang w:val="en-AU"/>
                          </w:rPr>
                        </w:pPr>
                        <w:r w:rsidRPr="00A429FE">
                          <w:rPr>
                            <w:rFonts w:ascii="Times" w:eastAsia="Times New Roman" w:hAnsi="Times" w:cs="Times New Roman"/>
                            <w:sz w:val="20"/>
                            <w:szCs w:val="20"/>
                            <w:lang w:val="en-AU"/>
                          </w:rPr>
                          <w:t xml:space="preserve">A critical component of good governance is transparency, as well governed companies should ensure that they have appropriate disclosure policies and practices and investors should also be held to appropriate levels of transparency, including disclosure of derivative or other security ownership on a timely basis; </w:t>
                        </w:r>
                      </w:p>
                      <w:p w:rsidR="00A429FE" w:rsidRPr="00A429FE" w:rsidRDefault="00A429FE" w:rsidP="00A429FE">
                        <w:pPr>
                          <w:tabs>
                            <w:tab w:val="num" w:pos="720"/>
                          </w:tabs>
                          <w:spacing w:before="100" w:beforeAutospacing="1" w:after="100" w:afterAutospacing="1"/>
                          <w:ind w:left="720" w:hanging="360"/>
                          <w:rPr>
                            <w:rFonts w:ascii="Times" w:eastAsia="Times New Roman" w:hAnsi="Times" w:cs="Times New Roman"/>
                            <w:sz w:val="20"/>
                            <w:szCs w:val="20"/>
                            <w:lang w:val="en-AU"/>
                          </w:rPr>
                        </w:pPr>
                        <w:r w:rsidRPr="00A429FE">
                          <w:rPr>
                            <w:rFonts w:ascii="Times" w:eastAsia="Times New Roman" w:hAnsi="Times" w:cs="Times New Roman"/>
                            <w:sz w:val="20"/>
                            <w:szCs w:val="20"/>
                            <w:lang w:val="en-AU"/>
                          </w:rPr>
                          <w:t xml:space="preserve">The Commission supports the NYSE's listing requirements generally providing for a majority of independent directors, but also believes that companies can have additional non-independent directors so that there is an appropriate range and mix of expertise, diversity and knowledge on the board; </w:t>
                        </w:r>
                      </w:p>
                      <w:p w:rsidR="00A429FE" w:rsidRPr="00A429FE" w:rsidRDefault="00A429FE" w:rsidP="00A429FE">
                        <w:pPr>
                          <w:tabs>
                            <w:tab w:val="num" w:pos="720"/>
                          </w:tabs>
                          <w:spacing w:before="100" w:beforeAutospacing="1" w:after="100" w:afterAutospacing="1"/>
                          <w:ind w:left="720" w:hanging="360"/>
                          <w:rPr>
                            <w:rFonts w:ascii="Times" w:eastAsia="Times New Roman" w:hAnsi="Times" w:cs="Times New Roman"/>
                            <w:sz w:val="20"/>
                            <w:szCs w:val="20"/>
                            <w:lang w:val="en-AU"/>
                          </w:rPr>
                        </w:pPr>
                        <w:r w:rsidRPr="00A429FE">
                          <w:rPr>
                            <w:rFonts w:ascii="Times" w:eastAsia="Times New Roman" w:hAnsi="Times" w:cs="Times New Roman"/>
                            <w:sz w:val="20"/>
                            <w:szCs w:val="20"/>
                            <w:lang w:val="en-AU"/>
                          </w:rPr>
                          <w:t xml:space="preserve">The Commission recognises the influence that proxy advisory firms have on the markets, and believes that it is important that such firms be held to appropriate standards of transparency and accountability; </w:t>
                        </w:r>
                      </w:p>
                      <w:p w:rsidR="00A429FE" w:rsidRPr="00A429FE" w:rsidRDefault="00A429FE" w:rsidP="00A429FE">
                        <w:pPr>
                          <w:tabs>
                            <w:tab w:val="num" w:pos="720"/>
                          </w:tabs>
                          <w:spacing w:before="100" w:beforeAutospacing="1" w:after="100" w:afterAutospacing="1"/>
                          <w:ind w:left="720" w:hanging="360"/>
                          <w:rPr>
                            <w:rFonts w:ascii="Times" w:eastAsia="Times New Roman" w:hAnsi="Times" w:cs="Times New Roman"/>
                            <w:sz w:val="20"/>
                            <w:szCs w:val="20"/>
                            <w:lang w:val="en-AU"/>
                          </w:rPr>
                        </w:pPr>
                        <w:r w:rsidRPr="00A429FE">
                          <w:rPr>
                            <w:rFonts w:ascii="Times" w:eastAsia="Times New Roman" w:hAnsi="Times" w:cs="Times New Roman"/>
                            <w:sz w:val="20"/>
                            <w:szCs w:val="20"/>
                            <w:lang w:val="en-AU"/>
                          </w:rPr>
                          <w:t xml:space="preserve">The SEC should work with exchanges to ease the burden of proxy voting while encouraging greater participation by individual investors in the proxy voting process; and </w:t>
                        </w:r>
                      </w:p>
                      <w:p w:rsidR="00A429FE" w:rsidRPr="00A429FE" w:rsidRDefault="00A429FE" w:rsidP="00A429FE">
                        <w:pPr>
                          <w:tabs>
                            <w:tab w:val="num" w:pos="720"/>
                          </w:tabs>
                          <w:spacing w:before="100" w:beforeAutospacing="1" w:after="100" w:afterAutospacing="1"/>
                          <w:ind w:left="720" w:hanging="360"/>
                          <w:rPr>
                            <w:rFonts w:ascii="Times" w:eastAsia="Times New Roman" w:hAnsi="Times" w:cs="Times New Roman"/>
                            <w:sz w:val="20"/>
                            <w:szCs w:val="20"/>
                            <w:lang w:val="en-AU"/>
                          </w:rPr>
                        </w:pPr>
                        <w:r w:rsidRPr="00A429FE">
                          <w:rPr>
                            <w:rFonts w:ascii="Times" w:eastAsia="Times New Roman" w:hAnsi="Times" w:cs="Times New Roman"/>
                            <w:sz w:val="20"/>
                            <w:szCs w:val="20"/>
                            <w:lang w:val="en-AU"/>
                          </w:rPr>
                          <w:t xml:space="preserve">The SEC and/or the NYSE should periodically assess the impact of major governance reforms to determine if these reforms are achieving their goals, and in light of the many reforms adopted over the last decade the SEC should consider the expanded use of "pilot" programs, including the use of "sunset provisions" to help identify any implementation problems before a program is fully rolled out.  </w:t>
                        </w:r>
                      </w:p>
                      <w:p w:rsidR="00A429FE" w:rsidRPr="00A429FE" w:rsidRDefault="00A429FE" w:rsidP="00A429FE">
                        <w:pPr>
                          <w:spacing w:before="100" w:beforeAutospacing="1" w:after="100" w:afterAutospacing="1"/>
                          <w:rPr>
                            <w:rFonts w:ascii="Times" w:hAnsi="Times" w:cs="Times New Roman"/>
                            <w:sz w:val="20"/>
                            <w:szCs w:val="20"/>
                            <w:lang w:val="en-AU"/>
                          </w:rPr>
                        </w:pPr>
                        <w:r w:rsidRPr="00A429FE">
                          <w:rPr>
                            <w:rFonts w:ascii="Times" w:hAnsi="Times" w:cs="Times New Roman"/>
                            <w:sz w:val="20"/>
                            <w:szCs w:val="20"/>
                            <w:lang w:val="en-AU"/>
                          </w:rPr>
                          <w:t xml:space="preserve">The report is available on the </w:t>
                        </w:r>
                        <w:r w:rsidRPr="00A429FE">
                          <w:rPr>
                            <w:rFonts w:ascii="Times" w:hAnsi="Times" w:cs="Times New Roman"/>
                            <w:sz w:val="20"/>
                            <w:szCs w:val="20"/>
                            <w:lang w:val="en-AU"/>
                          </w:rPr>
                          <w:fldChar w:fldCharType="begin"/>
                        </w:r>
                        <w:r w:rsidRPr="00A429FE">
                          <w:rPr>
                            <w:rFonts w:ascii="Times" w:hAnsi="Times" w:cs="Times New Roman"/>
                            <w:sz w:val="20"/>
                            <w:szCs w:val="20"/>
                            <w:lang w:val="en-AU"/>
                          </w:rPr>
                          <w:instrText xml:space="preserve"> HYPERLINK "http://www.nyse.com/pdfs/CCGReport.pdf" \t "_new" </w:instrText>
                        </w:r>
                        <w:r w:rsidRPr="00A429FE">
                          <w:rPr>
                            <w:rFonts w:ascii="Times" w:hAnsi="Times" w:cs="Times New Roman"/>
                            <w:sz w:val="20"/>
                            <w:szCs w:val="20"/>
                            <w:lang w:val="en-AU"/>
                          </w:rPr>
                        </w:r>
                        <w:r w:rsidRPr="00A429FE">
                          <w:rPr>
                            <w:rFonts w:ascii="Times" w:hAnsi="Times" w:cs="Times New Roman"/>
                            <w:sz w:val="20"/>
                            <w:szCs w:val="20"/>
                            <w:lang w:val="en-AU"/>
                          </w:rPr>
                          <w:fldChar w:fldCharType="separate"/>
                        </w:r>
                        <w:r w:rsidRPr="00A429FE">
                          <w:rPr>
                            <w:rFonts w:ascii="Times" w:hAnsi="Times" w:cs="Times New Roman"/>
                            <w:color w:val="0000FF"/>
                            <w:sz w:val="20"/>
                            <w:szCs w:val="20"/>
                            <w:u w:val="single"/>
                            <w:lang w:val="en-AU"/>
                          </w:rPr>
                          <w:t>NYSE</w:t>
                        </w:r>
                        <w:r w:rsidRPr="00A429FE">
                          <w:rPr>
                            <w:rFonts w:ascii="Times" w:hAnsi="Times" w:cs="Times New Roman"/>
                            <w:sz w:val="20"/>
                            <w:szCs w:val="20"/>
                            <w:lang w:val="en-AU"/>
                          </w:rPr>
                          <w:fldChar w:fldCharType="end"/>
                        </w:r>
                        <w:r w:rsidRPr="00A429FE">
                          <w:rPr>
                            <w:rFonts w:ascii="Times" w:hAnsi="Times" w:cs="Times New Roman"/>
                            <w:sz w:val="20"/>
                            <w:szCs w:val="20"/>
                            <w:lang w:val="en-AU"/>
                          </w:rPr>
                          <w:t xml:space="preserve"> website. </w:t>
                        </w:r>
                      </w:p>
                      <w:p w:rsidR="00A429FE" w:rsidRPr="00A429FE" w:rsidRDefault="00A429FE" w:rsidP="00A429F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7082" name="Picture 17082" descr="etailed Contents">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82" descr="etailed Contents">
                                        <a:hlinkClick r:id="rId93"/>
                                      </pic:cNvPr>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A429FE" w:rsidRPr="00A429FE" w:rsidRDefault="00A429FE" w:rsidP="00A429FE">
                        <w:pPr>
                          <w:rPr>
                            <w:rFonts w:ascii="Times" w:eastAsia="Times New Roman" w:hAnsi="Times" w:cs="Times New Roman"/>
                            <w:sz w:val="20"/>
                            <w:szCs w:val="20"/>
                            <w:lang w:val="en-AU"/>
                          </w:rPr>
                        </w:pPr>
                        <w:r w:rsidRPr="00A429FE">
                          <w:rPr>
                            <w:rFonts w:ascii="Times" w:eastAsia="Times New Roman" w:hAnsi="Times" w:cs="Times New Roman"/>
                            <w:sz w:val="20"/>
                            <w:szCs w:val="20"/>
                            <w:lang w:val="en-AU"/>
                          </w:rPr>
                          <w:pict>
                            <v:rect id="_x0000_i18107" style="width:0;height:1.5pt" o:hralign="center" o:hrstd="t" o:hr="t" fillcolor="#aaa" stroked="f"/>
                          </w:pict>
                        </w:r>
                      </w:p>
                      <w:p w:rsidR="00A429FE" w:rsidRPr="00A429FE" w:rsidRDefault="00A429FE" w:rsidP="00A429FE">
                        <w:pPr>
                          <w:spacing w:before="100" w:beforeAutospacing="1" w:after="100" w:afterAutospacing="1"/>
                          <w:rPr>
                            <w:rFonts w:ascii="Times" w:hAnsi="Times" w:cs="Times New Roman"/>
                            <w:sz w:val="20"/>
                            <w:szCs w:val="20"/>
                            <w:lang w:val="en-AU"/>
                          </w:rPr>
                        </w:pPr>
                        <w:bookmarkStart w:id="31" w:name="0126"/>
                        <w:bookmarkEnd w:id="31"/>
                        <w:r w:rsidRPr="00A429FE">
                          <w:rPr>
                            <w:rFonts w:ascii="Times" w:hAnsi="Times" w:cs="Times New Roman"/>
                            <w:b/>
                            <w:bCs/>
                            <w:sz w:val="20"/>
                            <w:szCs w:val="20"/>
                            <w:lang w:val="en-AU"/>
                          </w:rPr>
                          <w:t xml:space="preserve">1.26 Draft revised OECD guidelines on insurer governance </w:t>
                        </w:r>
                        <w:r w:rsidRPr="00A429FE">
                          <w:rPr>
                            <w:rFonts w:ascii="Times" w:hAnsi="Times" w:cs="Times New Roman"/>
                            <w:b/>
                            <w:bCs/>
                            <w:sz w:val="20"/>
                            <w:szCs w:val="20"/>
                            <w:lang w:val="en-AU"/>
                          </w:rPr>
                          <w:br/>
                        </w:r>
                        <w:r w:rsidRPr="00A429FE">
                          <w:rPr>
                            <w:rFonts w:ascii="Times" w:hAnsi="Times" w:cs="Times New Roman"/>
                            <w:sz w:val="20"/>
                            <w:szCs w:val="20"/>
                            <w:lang w:val="en-AU"/>
                          </w:rPr>
                          <w:br/>
                          <w:t xml:space="preserve">On 22 September 2010, the Organisation for Economic Co-Operation and Development (OECD) invited public comment on its draft revised guidelines titled 'OECD Guidelines on Insurer Governance'. </w:t>
                        </w:r>
                        <w:r w:rsidRPr="00A429FE">
                          <w:rPr>
                            <w:rFonts w:ascii="Times" w:hAnsi="Times" w:cs="Times New Roman"/>
                            <w:sz w:val="20"/>
                            <w:szCs w:val="20"/>
                            <w:lang w:val="en-AU"/>
                          </w:rPr>
                          <w:br/>
                          <w:t> </w:t>
                        </w:r>
                        <w:r w:rsidRPr="00A429FE">
                          <w:rPr>
                            <w:rFonts w:ascii="Times" w:hAnsi="Times" w:cs="Times New Roman"/>
                            <w:sz w:val="20"/>
                            <w:szCs w:val="20"/>
                            <w:lang w:val="en-AU"/>
                          </w:rPr>
                          <w:br/>
                          <w:t>The guidelines are intended to apply to any insurer licensed to underwrite life, non-life, and reinsurance policies and take into account the specificities of the insurance sector. They are designed in light of the overriding objective of an insurance undertaking, which is to provide benefits to the insured in accordance with the contracts concluded with them and satisfy its shareholders.</w:t>
                        </w:r>
                        <w:r w:rsidRPr="00A429FE">
                          <w:rPr>
                            <w:rFonts w:ascii="Times" w:hAnsi="Times" w:cs="Times New Roman"/>
                            <w:sz w:val="20"/>
                            <w:szCs w:val="20"/>
                            <w:lang w:val="en-AU"/>
                          </w:rPr>
                          <w:br/>
                        </w:r>
                        <w:r w:rsidRPr="00A429FE">
                          <w:rPr>
                            <w:rFonts w:ascii="Times" w:hAnsi="Times" w:cs="Times New Roman"/>
                            <w:sz w:val="20"/>
                            <w:szCs w:val="20"/>
                            <w:lang w:val="en-AU"/>
                          </w:rPr>
                          <w:br/>
                          <w:t>The guidelines are organised around four main sections: governance structure; internal governance mechanisms; groups and conglomerates; and stakeholder protection. They are structured in such a way as to promote clear presentation and comparability with other possible national or international rules or principles. The guidelines are also accompanied by detailed annotations that elaborate more fully on the guidelines and their rationale.</w:t>
                        </w:r>
                        <w:r w:rsidRPr="00A429FE">
                          <w:rPr>
                            <w:rFonts w:ascii="Times" w:hAnsi="Times" w:cs="Times New Roman"/>
                            <w:sz w:val="20"/>
                            <w:szCs w:val="20"/>
                            <w:lang w:val="en-AU"/>
                          </w:rPr>
                          <w:br/>
                          <w:t> </w:t>
                        </w:r>
                        <w:r w:rsidRPr="00A429FE">
                          <w:rPr>
                            <w:rFonts w:ascii="Times" w:hAnsi="Times" w:cs="Times New Roman"/>
                            <w:sz w:val="20"/>
                            <w:szCs w:val="20"/>
                            <w:lang w:val="en-AU"/>
                          </w:rPr>
                          <w:br/>
                          <w:t>These guidelines are non-binding. They are meant to provide guidance and serve as a reference point for policymakers, insurers, and other relevant stakeholders in OECD and non-OECD countries. The guidelines are intended to be consistent and compatible with the OECD Principles of Corporate Governance.</w:t>
                        </w:r>
                        <w:r w:rsidRPr="00A429FE">
                          <w:rPr>
                            <w:rFonts w:ascii="Times" w:hAnsi="Times" w:cs="Times New Roman"/>
                            <w:sz w:val="20"/>
                            <w:szCs w:val="20"/>
                            <w:lang w:val="en-AU"/>
                          </w:rPr>
                          <w:br/>
                          <w:t> </w:t>
                        </w:r>
                        <w:r w:rsidRPr="00A429FE">
                          <w:rPr>
                            <w:rFonts w:ascii="Times" w:hAnsi="Times" w:cs="Times New Roman"/>
                            <w:sz w:val="20"/>
                            <w:szCs w:val="20"/>
                            <w:lang w:val="en-AU"/>
                          </w:rPr>
                          <w:br/>
                          <w:t xml:space="preserve">The current OECD guidelines are available on the </w:t>
                        </w:r>
                        <w:r w:rsidRPr="00A429FE">
                          <w:rPr>
                            <w:rFonts w:ascii="Times" w:hAnsi="Times" w:cs="Times New Roman"/>
                            <w:sz w:val="20"/>
                            <w:szCs w:val="20"/>
                            <w:lang w:val="en-AU"/>
                          </w:rPr>
                          <w:fldChar w:fldCharType="begin"/>
                        </w:r>
                        <w:r w:rsidRPr="00A429FE">
                          <w:rPr>
                            <w:rFonts w:ascii="Times" w:hAnsi="Times" w:cs="Times New Roman"/>
                            <w:sz w:val="20"/>
                            <w:szCs w:val="20"/>
                            <w:lang w:val="en-AU"/>
                          </w:rPr>
                          <w:instrText xml:space="preserve"> HYPERLINK "http://www.oecd.org/dataoecd/54/28/40990025.pdf" \t "_new" </w:instrText>
                        </w:r>
                        <w:r w:rsidRPr="00A429FE">
                          <w:rPr>
                            <w:rFonts w:ascii="Times" w:hAnsi="Times" w:cs="Times New Roman"/>
                            <w:sz w:val="20"/>
                            <w:szCs w:val="20"/>
                            <w:lang w:val="en-AU"/>
                          </w:rPr>
                        </w:r>
                        <w:r w:rsidRPr="00A429FE">
                          <w:rPr>
                            <w:rFonts w:ascii="Times" w:hAnsi="Times" w:cs="Times New Roman"/>
                            <w:sz w:val="20"/>
                            <w:szCs w:val="20"/>
                            <w:lang w:val="en-AU"/>
                          </w:rPr>
                          <w:fldChar w:fldCharType="separate"/>
                        </w:r>
                        <w:r w:rsidRPr="00A429FE">
                          <w:rPr>
                            <w:rFonts w:ascii="Times" w:hAnsi="Times" w:cs="Times New Roman"/>
                            <w:color w:val="0000FF"/>
                            <w:sz w:val="20"/>
                            <w:szCs w:val="20"/>
                            <w:u w:val="single"/>
                            <w:lang w:val="en-AU"/>
                          </w:rPr>
                          <w:t>OECD</w:t>
                        </w:r>
                        <w:r w:rsidRPr="00A429FE">
                          <w:rPr>
                            <w:rFonts w:ascii="Times" w:hAnsi="Times" w:cs="Times New Roman"/>
                            <w:sz w:val="20"/>
                            <w:szCs w:val="20"/>
                            <w:lang w:val="en-AU"/>
                          </w:rPr>
                          <w:fldChar w:fldCharType="end"/>
                        </w:r>
                        <w:r w:rsidRPr="00A429FE">
                          <w:rPr>
                            <w:rFonts w:ascii="Times" w:hAnsi="Times" w:cs="Times New Roman"/>
                            <w:sz w:val="20"/>
                            <w:szCs w:val="20"/>
                            <w:lang w:val="en-AU"/>
                          </w:rPr>
                          <w:t xml:space="preserve"> website. </w:t>
                        </w:r>
                        <w:r w:rsidRPr="00A429FE">
                          <w:rPr>
                            <w:rFonts w:ascii="Times" w:hAnsi="Times" w:cs="Times New Roman"/>
                            <w:sz w:val="20"/>
                            <w:szCs w:val="20"/>
                            <w:lang w:val="en-AU"/>
                          </w:rPr>
                          <w:br/>
                          <w:t> </w:t>
                        </w:r>
                        <w:r w:rsidRPr="00A429FE">
                          <w:rPr>
                            <w:rFonts w:ascii="Times" w:hAnsi="Times" w:cs="Times New Roman"/>
                            <w:sz w:val="20"/>
                            <w:szCs w:val="20"/>
                            <w:lang w:val="en-AU"/>
                          </w:rPr>
                          <w:br/>
                          <w:t xml:space="preserve">The draft revised guidelines are available on the </w:t>
                        </w:r>
                        <w:r w:rsidRPr="00A429FE">
                          <w:rPr>
                            <w:rFonts w:ascii="Times" w:hAnsi="Times" w:cs="Times New Roman"/>
                            <w:sz w:val="20"/>
                            <w:szCs w:val="20"/>
                            <w:lang w:val="en-AU"/>
                          </w:rPr>
                          <w:fldChar w:fldCharType="begin"/>
                        </w:r>
                        <w:r w:rsidRPr="00A429FE">
                          <w:rPr>
                            <w:rFonts w:ascii="Times" w:hAnsi="Times" w:cs="Times New Roman"/>
                            <w:sz w:val="20"/>
                            <w:szCs w:val="20"/>
                            <w:lang w:val="en-AU"/>
                          </w:rPr>
                          <w:instrText xml:space="preserve"> HYPERLINK "http://www.oecd.org/dataoecd/53/15/46036505.pdf" \t "_new" </w:instrText>
                        </w:r>
                        <w:r w:rsidRPr="00A429FE">
                          <w:rPr>
                            <w:rFonts w:ascii="Times" w:hAnsi="Times" w:cs="Times New Roman"/>
                            <w:sz w:val="20"/>
                            <w:szCs w:val="20"/>
                            <w:lang w:val="en-AU"/>
                          </w:rPr>
                        </w:r>
                        <w:r w:rsidRPr="00A429FE">
                          <w:rPr>
                            <w:rFonts w:ascii="Times" w:hAnsi="Times" w:cs="Times New Roman"/>
                            <w:sz w:val="20"/>
                            <w:szCs w:val="20"/>
                            <w:lang w:val="en-AU"/>
                          </w:rPr>
                          <w:fldChar w:fldCharType="separate"/>
                        </w:r>
                        <w:r w:rsidRPr="00A429FE">
                          <w:rPr>
                            <w:rFonts w:ascii="Times" w:hAnsi="Times" w:cs="Times New Roman"/>
                            <w:color w:val="0000FF"/>
                            <w:sz w:val="20"/>
                            <w:szCs w:val="20"/>
                            <w:u w:val="single"/>
                            <w:lang w:val="en-AU"/>
                          </w:rPr>
                          <w:t>OECD</w:t>
                        </w:r>
                        <w:r w:rsidRPr="00A429FE">
                          <w:rPr>
                            <w:rFonts w:ascii="Times" w:hAnsi="Times" w:cs="Times New Roman"/>
                            <w:sz w:val="20"/>
                            <w:szCs w:val="20"/>
                            <w:lang w:val="en-AU"/>
                          </w:rPr>
                          <w:fldChar w:fldCharType="end"/>
                        </w:r>
                        <w:r w:rsidRPr="00A429FE">
                          <w:rPr>
                            <w:rFonts w:ascii="Times" w:hAnsi="Times" w:cs="Times New Roman"/>
                            <w:sz w:val="20"/>
                            <w:szCs w:val="20"/>
                            <w:lang w:val="en-AU"/>
                          </w:rPr>
                          <w:t xml:space="preserve"> website.  </w:t>
                        </w:r>
                      </w:p>
                      <w:p w:rsidR="00A429FE" w:rsidRPr="00A429FE" w:rsidRDefault="00A429FE" w:rsidP="00A429F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7084" name="Picture 17084" descr="etailed Contents">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84" descr="etailed Contents">
                                        <a:hlinkClick r:id="rId93"/>
                                      </pic:cNvPr>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A429FE" w:rsidRPr="00A429FE" w:rsidRDefault="00A429FE" w:rsidP="00A429FE">
                        <w:pPr>
                          <w:rPr>
                            <w:rFonts w:ascii="Times" w:eastAsia="Times New Roman" w:hAnsi="Times" w:cs="Times New Roman"/>
                            <w:sz w:val="20"/>
                            <w:szCs w:val="20"/>
                            <w:lang w:val="en-AU"/>
                          </w:rPr>
                        </w:pPr>
                        <w:r w:rsidRPr="00A429FE">
                          <w:rPr>
                            <w:rFonts w:ascii="Times" w:eastAsia="Times New Roman" w:hAnsi="Times" w:cs="Times New Roman"/>
                            <w:sz w:val="20"/>
                            <w:szCs w:val="20"/>
                            <w:lang w:val="en-AU"/>
                          </w:rPr>
                          <w:pict>
                            <v:rect id="_x0000_i18109" style="width:0;height:1.5pt" o:hralign="center" o:hrstd="t" o:hr="t" fillcolor="#aaa" stroked="f"/>
                          </w:pict>
                        </w:r>
                      </w:p>
                      <w:p w:rsidR="00A429FE" w:rsidRPr="00A429FE" w:rsidRDefault="00A429FE" w:rsidP="00A429FE">
                        <w:pPr>
                          <w:spacing w:before="100" w:beforeAutospacing="1" w:after="100" w:afterAutospacing="1"/>
                          <w:rPr>
                            <w:rFonts w:ascii="Times" w:hAnsi="Times" w:cs="Times New Roman"/>
                            <w:sz w:val="20"/>
                            <w:szCs w:val="20"/>
                            <w:lang w:val="en-AU"/>
                          </w:rPr>
                        </w:pPr>
                        <w:bookmarkStart w:id="32" w:name="0127"/>
                        <w:bookmarkEnd w:id="32"/>
                        <w:r w:rsidRPr="00A429FE">
                          <w:rPr>
                            <w:rFonts w:ascii="Times" w:hAnsi="Times" w:cs="Times New Roman"/>
                            <w:b/>
                            <w:bCs/>
                            <w:sz w:val="20"/>
                            <w:szCs w:val="20"/>
                            <w:lang w:val="en-AU"/>
                          </w:rPr>
                          <w:t>1.27 SEC proposes measures to enhance short-term borrowing disclosure to investors</w:t>
                        </w:r>
                        <w:r w:rsidRPr="00A429FE">
                          <w:rPr>
                            <w:rFonts w:ascii="Times" w:hAnsi="Times" w:cs="Times New Roman"/>
                            <w:b/>
                            <w:bCs/>
                            <w:sz w:val="20"/>
                            <w:szCs w:val="20"/>
                            <w:lang w:val="en-AU"/>
                          </w:rPr>
                          <w:br/>
                        </w:r>
                        <w:r w:rsidRPr="00A429FE">
                          <w:rPr>
                            <w:rFonts w:ascii="Times" w:hAnsi="Times" w:cs="Times New Roman"/>
                            <w:sz w:val="20"/>
                            <w:szCs w:val="20"/>
                            <w:lang w:val="en-AU"/>
                          </w:rPr>
                          <w:br/>
                          <w:t>On 17 September 2010, the US Securities and Exchange Commission voted unanimously to propose measures that would require public companies to disclose additional information to investors about their short-term borrowing arrangements.</w:t>
                        </w:r>
                        <w:r w:rsidRPr="00A429FE">
                          <w:rPr>
                            <w:rFonts w:ascii="Times" w:hAnsi="Times" w:cs="Times New Roman"/>
                            <w:sz w:val="20"/>
                            <w:szCs w:val="20"/>
                            <w:lang w:val="en-AU"/>
                          </w:rPr>
                          <w:br/>
                          <w:t> </w:t>
                        </w:r>
                        <w:r w:rsidRPr="00A429FE">
                          <w:rPr>
                            <w:rFonts w:ascii="Times" w:hAnsi="Times" w:cs="Times New Roman"/>
                            <w:sz w:val="20"/>
                            <w:szCs w:val="20"/>
                            <w:lang w:val="en-AU"/>
                          </w:rPr>
                          <w:br/>
                          <w:t>The SEC's proposal would shed a greater light on a company's short-term borrowing practices, including what some refer to as balance sheet "window-dressing." The proposed rules are aimed to enable investors to better understand whether amounts of short-term borrowings reported at the end of reporting periods are consistent with amounts outstanding throughout the reporting periods.</w:t>
                        </w:r>
                        <w:r w:rsidRPr="00A429FE">
                          <w:rPr>
                            <w:rFonts w:ascii="Times" w:hAnsi="Times" w:cs="Times New Roman"/>
                            <w:sz w:val="20"/>
                            <w:szCs w:val="20"/>
                            <w:lang w:val="en-AU"/>
                          </w:rPr>
                          <w:br/>
                          <w:t> </w:t>
                        </w:r>
                        <w:r w:rsidRPr="00A429FE">
                          <w:rPr>
                            <w:rFonts w:ascii="Times" w:hAnsi="Times" w:cs="Times New Roman"/>
                            <w:sz w:val="20"/>
                            <w:szCs w:val="20"/>
                            <w:lang w:val="en-AU"/>
                          </w:rPr>
                          <w:br/>
                          <w:t>The additional short-term borrowing disclosure information required under the proposed rules would be presented in the Management's Discussion and Analysis of Financial Condition and Results of Operations (MD&amp;A) section of a company's quarterly and annual reports.</w:t>
                        </w:r>
                        <w:r w:rsidRPr="00A429FE">
                          <w:rPr>
                            <w:rFonts w:ascii="Times" w:hAnsi="Times" w:cs="Times New Roman"/>
                            <w:sz w:val="20"/>
                            <w:szCs w:val="20"/>
                            <w:lang w:val="en-AU"/>
                          </w:rPr>
                          <w:br/>
                        </w:r>
                        <w:r w:rsidRPr="00A429FE">
                          <w:rPr>
                            <w:rFonts w:ascii="Times" w:hAnsi="Times" w:cs="Times New Roman"/>
                            <w:sz w:val="20"/>
                            <w:szCs w:val="20"/>
                            <w:lang w:val="en-AU"/>
                          </w:rPr>
                          <w:br/>
                          <w:t>The Commission also voted to issue an interpretive release that will provide guidance about existing requirements for MD&amp;A disclosure about liquidity and funding.</w:t>
                        </w:r>
                      </w:p>
                      <w:p w:rsidR="00A429FE" w:rsidRPr="00A429FE" w:rsidRDefault="00A429FE" w:rsidP="00A429FE">
                        <w:pPr>
                          <w:spacing w:before="100" w:beforeAutospacing="1" w:after="100" w:afterAutospacing="1"/>
                          <w:rPr>
                            <w:rFonts w:ascii="Times" w:hAnsi="Times" w:cs="Times New Roman"/>
                            <w:sz w:val="20"/>
                            <w:szCs w:val="20"/>
                            <w:lang w:val="en-AU"/>
                          </w:rPr>
                        </w:pPr>
                        <w:r w:rsidRPr="00A429FE">
                          <w:rPr>
                            <w:rFonts w:ascii="Times" w:hAnsi="Times" w:cs="Times New Roman"/>
                            <w:sz w:val="20"/>
                            <w:szCs w:val="20"/>
                            <w:lang w:val="en-AU"/>
                          </w:rPr>
                          <w:t xml:space="preserve">The proposed disclosure requirements are available on the </w:t>
                        </w:r>
                        <w:r w:rsidRPr="00A429FE">
                          <w:rPr>
                            <w:rFonts w:ascii="Times" w:hAnsi="Times" w:cs="Times New Roman"/>
                            <w:sz w:val="20"/>
                            <w:szCs w:val="20"/>
                            <w:lang w:val="en-AU"/>
                          </w:rPr>
                          <w:fldChar w:fldCharType="begin"/>
                        </w:r>
                        <w:r w:rsidRPr="00A429FE">
                          <w:rPr>
                            <w:rFonts w:ascii="Times" w:hAnsi="Times" w:cs="Times New Roman"/>
                            <w:sz w:val="20"/>
                            <w:szCs w:val="20"/>
                            <w:lang w:val="en-AU"/>
                          </w:rPr>
                          <w:instrText xml:space="preserve"> HYPERLINK "http://www.sec.gov/rules/proposed/2010/33-9143.pdf" \t "_new" </w:instrText>
                        </w:r>
                        <w:r w:rsidRPr="00A429FE">
                          <w:rPr>
                            <w:rFonts w:ascii="Times" w:hAnsi="Times" w:cs="Times New Roman"/>
                            <w:sz w:val="20"/>
                            <w:szCs w:val="20"/>
                            <w:lang w:val="en-AU"/>
                          </w:rPr>
                        </w:r>
                        <w:r w:rsidRPr="00A429FE">
                          <w:rPr>
                            <w:rFonts w:ascii="Times" w:hAnsi="Times" w:cs="Times New Roman"/>
                            <w:sz w:val="20"/>
                            <w:szCs w:val="20"/>
                            <w:lang w:val="en-AU"/>
                          </w:rPr>
                          <w:fldChar w:fldCharType="separate"/>
                        </w:r>
                        <w:r w:rsidRPr="00A429FE">
                          <w:rPr>
                            <w:rFonts w:ascii="Times" w:hAnsi="Times" w:cs="Times New Roman"/>
                            <w:color w:val="0000FF"/>
                            <w:sz w:val="20"/>
                            <w:szCs w:val="20"/>
                            <w:u w:val="single"/>
                            <w:lang w:val="en-AU"/>
                          </w:rPr>
                          <w:t>SEC</w:t>
                        </w:r>
                        <w:r w:rsidRPr="00A429FE">
                          <w:rPr>
                            <w:rFonts w:ascii="Times" w:hAnsi="Times" w:cs="Times New Roman"/>
                            <w:sz w:val="20"/>
                            <w:szCs w:val="20"/>
                            <w:lang w:val="en-AU"/>
                          </w:rPr>
                          <w:fldChar w:fldCharType="end"/>
                        </w:r>
                        <w:r w:rsidRPr="00A429FE">
                          <w:rPr>
                            <w:rFonts w:ascii="Times" w:hAnsi="Times" w:cs="Times New Roman"/>
                            <w:sz w:val="20"/>
                            <w:szCs w:val="20"/>
                            <w:lang w:val="en-AU"/>
                          </w:rPr>
                          <w:t xml:space="preserve"> website.</w:t>
                        </w:r>
                      </w:p>
                      <w:p w:rsidR="00A429FE" w:rsidRPr="00A429FE" w:rsidRDefault="00A429FE" w:rsidP="00A429FE">
                        <w:pPr>
                          <w:spacing w:before="100" w:beforeAutospacing="1" w:after="100" w:afterAutospacing="1"/>
                          <w:rPr>
                            <w:rFonts w:ascii="Times" w:hAnsi="Times" w:cs="Times New Roman"/>
                            <w:sz w:val="20"/>
                            <w:szCs w:val="20"/>
                            <w:lang w:val="en-AU"/>
                          </w:rPr>
                        </w:pPr>
                        <w:r w:rsidRPr="00A429FE">
                          <w:rPr>
                            <w:rFonts w:ascii="Times" w:hAnsi="Times" w:cs="Times New Roman"/>
                            <w:sz w:val="20"/>
                            <w:szCs w:val="20"/>
                            <w:lang w:val="en-AU"/>
                          </w:rPr>
                          <w:t xml:space="preserve">The interpretive release is available on the </w:t>
                        </w:r>
                        <w:r w:rsidRPr="00A429FE">
                          <w:rPr>
                            <w:rFonts w:ascii="Times" w:hAnsi="Times" w:cs="Times New Roman"/>
                            <w:sz w:val="20"/>
                            <w:szCs w:val="20"/>
                            <w:lang w:val="en-AU"/>
                          </w:rPr>
                          <w:fldChar w:fldCharType="begin"/>
                        </w:r>
                        <w:r w:rsidRPr="00A429FE">
                          <w:rPr>
                            <w:rFonts w:ascii="Times" w:hAnsi="Times" w:cs="Times New Roman"/>
                            <w:sz w:val="20"/>
                            <w:szCs w:val="20"/>
                            <w:lang w:val="en-AU"/>
                          </w:rPr>
                          <w:instrText xml:space="preserve"> HYPERLINK "http://www.sec.gov/rules/interp/2010/33-9144.pdf" \t "_new" </w:instrText>
                        </w:r>
                        <w:r w:rsidRPr="00A429FE">
                          <w:rPr>
                            <w:rFonts w:ascii="Times" w:hAnsi="Times" w:cs="Times New Roman"/>
                            <w:sz w:val="20"/>
                            <w:szCs w:val="20"/>
                            <w:lang w:val="en-AU"/>
                          </w:rPr>
                        </w:r>
                        <w:r w:rsidRPr="00A429FE">
                          <w:rPr>
                            <w:rFonts w:ascii="Times" w:hAnsi="Times" w:cs="Times New Roman"/>
                            <w:sz w:val="20"/>
                            <w:szCs w:val="20"/>
                            <w:lang w:val="en-AU"/>
                          </w:rPr>
                          <w:fldChar w:fldCharType="separate"/>
                        </w:r>
                        <w:r w:rsidRPr="00A429FE">
                          <w:rPr>
                            <w:rFonts w:ascii="Times" w:hAnsi="Times" w:cs="Times New Roman"/>
                            <w:color w:val="0000FF"/>
                            <w:sz w:val="20"/>
                            <w:szCs w:val="20"/>
                            <w:u w:val="single"/>
                            <w:lang w:val="en-AU"/>
                          </w:rPr>
                          <w:t>SEC</w:t>
                        </w:r>
                        <w:r w:rsidRPr="00A429FE">
                          <w:rPr>
                            <w:rFonts w:ascii="Times" w:hAnsi="Times" w:cs="Times New Roman"/>
                            <w:sz w:val="20"/>
                            <w:szCs w:val="20"/>
                            <w:lang w:val="en-AU"/>
                          </w:rPr>
                          <w:fldChar w:fldCharType="end"/>
                        </w:r>
                        <w:r w:rsidRPr="00A429FE">
                          <w:rPr>
                            <w:rFonts w:ascii="Times" w:hAnsi="Times" w:cs="Times New Roman"/>
                            <w:sz w:val="20"/>
                            <w:szCs w:val="20"/>
                            <w:lang w:val="en-AU"/>
                          </w:rPr>
                          <w:t xml:space="preserve"> website.</w:t>
                        </w:r>
                      </w:p>
                      <w:p w:rsidR="00A429FE" w:rsidRPr="00A429FE" w:rsidRDefault="00A429FE" w:rsidP="00A429F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7086" name="Picture 17086" descr="etailed Contents">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86" descr="etailed Contents">
                                        <a:hlinkClick r:id="rId93"/>
                                      </pic:cNvPr>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A429FE" w:rsidRPr="00A429FE" w:rsidRDefault="00A429FE" w:rsidP="00A429FE">
                        <w:pPr>
                          <w:rPr>
                            <w:rFonts w:ascii="Times" w:eastAsia="Times New Roman" w:hAnsi="Times" w:cs="Times New Roman"/>
                            <w:sz w:val="20"/>
                            <w:szCs w:val="20"/>
                            <w:lang w:val="en-AU"/>
                          </w:rPr>
                        </w:pPr>
                        <w:r w:rsidRPr="00A429FE">
                          <w:rPr>
                            <w:rFonts w:ascii="Times" w:eastAsia="Times New Roman" w:hAnsi="Times" w:cs="Times New Roman"/>
                            <w:sz w:val="20"/>
                            <w:szCs w:val="20"/>
                            <w:lang w:val="en-AU"/>
                          </w:rPr>
                          <w:pict>
                            <v:rect id="_x0000_i18111" style="width:0;height:1.5pt" o:hralign="center" o:hrstd="t" o:hr="t" fillcolor="#aaa" stroked="f"/>
                          </w:pict>
                        </w:r>
                      </w:p>
                      <w:p w:rsidR="00A429FE" w:rsidRPr="00A429FE" w:rsidRDefault="00A429FE" w:rsidP="00A429FE">
                        <w:pPr>
                          <w:spacing w:before="100" w:beforeAutospacing="1" w:after="100" w:afterAutospacing="1"/>
                          <w:rPr>
                            <w:rFonts w:ascii="Times" w:hAnsi="Times" w:cs="Times New Roman"/>
                            <w:sz w:val="20"/>
                            <w:szCs w:val="20"/>
                            <w:lang w:val="en-AU"/>
                          </w:rPr>
                        </w:pPr>
                        <w:bookmarkStart w:id="33" w:name="0128"/>
                        <w:bookmarkEnd w:id="33"/>
                        <w:r w:rsidRPr="00A429FE">
                          <w:rPr>
                            <w:rFonts w:ascii="Times" w:hAnsi="Times" w:cs="Times New Roman"/>
                            <w:b/>
                            <w:bCs/>
                            <w:sz w:val="20"/>
                            <w:szCs w:val="20"/>
                            <w:lang w:val="en-AU"/>
                          </w:rPr>
                          <w:t xml:space="preserve">1.28 EU regulation of short selling </w:t>
                        </w:r>
                        <w:r w:rsidRPr="00A429FE">
                          <w:rPr>
                            <w:rFonts w:ascii="Times" w:hAnsi="Times" w:cs="Times New Roman"/>
                            <w:b/>
                            <w:bCs/>
                            <w:sz w:val="20"/>
                            <w:szCs w:val="20"/>
                            <w:lang w:val="en-AU"/>
                          </w:rPr>
                          <w:br/>
                        </w:r>
                        <w:r w:rsidRPr="00A429FE">
                          <w:rPr>
                            <w:rFonts w:ascii="Times" w:hAnsi="Times" w:cs="Times New Roman"/>
                            <w:sz w:val="20"/>
                            <w:szCs w:val="20"/>
                            <w:lang w:val="en-AU"/>
                          </w:rPr>
                          <w:br/>
                          <w:t xml:space="preserve">On 15 September 2010, the European Commission adopted a proposal for a regulation on short selling. Its main objectives are to create a harmonised framework for coordinated action at European level, increase transparency and reduce risks. </w:t>
                        </w:r>
                        <w:r w:rsidRPr="00A429FE">
                          <w:rPr>
                            <w:rFonts w:ascii="Times" w:hAnsi="Times" w:cs="Times New Roman"/>
                            <w:sz w:val="20"/>
                            <w:szCs w:val="20"/>
                            <w:lang w:val="en-AU"/>
                          </w:rPr>
                          <w:br/>
                        </w:r>
                        <w:r w:rsidRPr="00A429FE">
                          <w:rPr>
                            <w:rFonts w:ascii="Times" w:hAnsi="Times" w:cs="Times New Roman"/>
                            <w:sz w:val="20"/>
                            <w:szCs w:val="20"/>
                            <w:lang w:val="en-AU"/>
                          </w:rPr>
                          <w:br/>
                        </w:r>
                        <w:r w:rsidRPr="00A429FE">
                          <w:rPr>
                            <w:rFonts w:ascii="Times" w:hAnsi="Times" w:cs="Times New Roman"/>
                            <w:b/>
                            <w:bCs/>
                            <w:sz w:val="20"/>
                            <w:szCs w:val="20"/>
                            <w:lang w:val="en-AU"/>
                          </w:rPr>
                          <w:t xml:space="preserve">(a) Greater transparency </w:t>
                        </w:r>
                        <w:r w:rsidRPr="00A429FE">
                          <w:rPr>
                            <w:rFonts w:ascii="Times" w:hAnsi="Times" w:cs="Times New Roman"/>
                            <w:sz w:val="20"/>
                            <w:szCs w:val="20"/>
                            <w:lang w:val="en-AU"/>
                          </w:rPr>
                          <w:br/>
                          <w:t> </w:t>
                        </w:r>
                        <w:r w:rsidRPr="00A429FE">
                          <w:rPr>
                            <w:rFonts w:ascii="Times" w:hAnsi="Times" w:cs="Times New Roman"/>
                            <w:sz w:val="20"/>
                            <w:szCs w:val="20"/>
                            <w:lang w:val="en-AU"/>
                          </w:rPr>
                          <w:br/>
                          <w:t>At present, there is little reliable information available on short selling: it is difficult for market participants and regulators to know which securities are being traded "short" and their overall significance. The proposal enhances transparency by requiring that all share orders on trading venues be marked as 'short' (so-called "flagging") if they involve a short sale, so that regulators know which transactions are short. In addition, investors will have to disclose significant net short positions in shares to regulators at one threshold (0.2% of issued share capital), and to the market at a higher threshold (0.5%). These measures will mean market participants are better informed whilst allowing regulators to monitor markets and detect developing risk. Concerning sovereign bonds, regulators will be better able to detect possible risks to the stability of sovereign debt markets by receiving data on short positions, including those obtained through sovereign Credit Default Swaps (a derivative sometimes regarded as a form of insurance against the risk of default).</w:t>
                        </w:r>
                        <w:r w:rsidRPr="00A429FE">
                          <w:rPr>
                            <w:rFonts w:ascii="Times" w:hAnsi="Times" w:cs="Times New Roman"/>
                            <w:sz w:val="20"/>
                            <w:szCs w:val="20"/>
                            <w:lang w:val="en-AU"/>
                          </w:rPr>
                          <w:br/>
                          <w:t> </w:t>
                        </w:r>
                        <w:r w:rsidRPr="00A429FE">
                          <w:rPr>
                            <w:rFonts w:ascii="Times" w:hAnsi="Times" w:cs="Times New Roman"/>
                            <w:sz w:val="20"/>
                            <w:szCs w:val="20"/>
                            <w:lang w:val="en-AU"/>
                          </w:rPr>
                          <w:br/>
                        </w:r>
                        <w:r w:rsidRPr="00A429FE">
                          <w:rPr>
                            <w:rFonts w:ascii="Times" w:hAnsi="Times" w:cs="Times New Roman"/>
                            <w:b/>
                            <w:bCs/>
                            <w:sz w:val="20"/>
                            <w:szCs w:val="20"/>
                            <w:lang w:val="en-AU"/>
                          </w:rPr>
                          <w:t xml:space="preserve">(b) Clear powers for regulators and a coordinated European framework </w:t>
                        </w:r>
                        <w:r w:rsidRPr="00A429FE">
                          <w:rPr>
                            <w:rFonts w:ascii="Times" w:hAnsi="Times" w:cs="Times New Roman"/>
                            <w:sz w:val="20"/>
                            <w:szCs w:val="20"/>
                            <w:lang w:val="en-AU"/>
                          </w:rPr>
                          <w:br/>
                          <w:t> </w:t>
                        </w:r>
                        <w:r w:rsidRPr="00A429FE">
                          <w:rPr>
                            <w:rFonts w:ascii="Times" w:hAnsi="Times" w:cs="Times New Roman"/>
                            <w:sz w:val="20"/>
                            <w:szCs w:val="20"/>
                            <w:lang w:val="en-AU"/>
                          </w:rPr>
                          <w:br/>
                          <w:t xml:space="preserve">In distressed markets, transparency alone may not be enough. At present, the powers that national regulators have to restrict or ban short selling vary greatly between Member States. The proposal gives national regulators clear powers in exceptional situations to temporarily restrict or ban short selling in any financial instrument, subject to coordination by the new European Securities and Markets Authority (ESMA) (which should be operational from January 2011 subject to agreement by the European Parliament). ESMA is also given the power to issue opinions to competent authorities when they intervene in exceptional situations. In line with the new supervision framework, ESMA will have the possibility, when certain conditions are fulfilled, to adopt temporary measures itself, with direct effect, restricting or prohibiting short selling. </w:t>
                        </w:r>
                        <w:r w:rsidRPr="00A429FE">
                          <w:rPr>
                            <w:rFonts w:ascii="Times" w:hAnsi="Times" w:cs="Times New Roman"/>
                            <w:sz w:val="20"/>
                            <w:szCs w:val="20"/>
                            <w:lang w:val="en-AU"/>
                          </w:rPr>
                          <w:br/>
                          <w:t> </w:t>
                        </w:r>
                        <w:r w:rsidRPr="00A429FE">
                          <w:rPr>
                            <w:rFonts w:ascii="Times" w:hAnsi="Times" w:cs="Times New Roman"/>
                            <w:sz w:val="20"/>
                            <w:szCs w:val="20"/>
                            <w:lang w:val="en-AU"/>
                          </w:rPr>
                          <w:br/>
                          <w:t>In addition, if the price of a financial instrument falls by a significant amount in a day, national regulators will have the power to restrict short selling in that instrument until the end of the next trading day. These measures will help regulators take the necessary action, in a coordinated way, to slow or halt price declines which can be amplified by short selling in distressed markets. They will also reduce compliance costs for market participants which currently arise from the divergence of national rules.</w:t>
                        </w:r>
                        <w:r w:rsidRPr="00A429FE">
                          <w:rPr>
                            <w:rFonts w:ascii="Times" w:hAnsi="Times" w:cs="Times New Roman"/>
                            <w:sz w:val="20"/>
                            <w:szCs w:val="20"/>
                            <w:lang w:val="en-AU"/>
                          </w:rPr>
                          <w:br/>
                          <w:t> </w:t>
                        </w:r>
                        <w:r w:rsidRPr="00A429FE">
                          <w:rPr>
                            <w:rFonts w:ascii="Times" w:hAnsi="Times" w:cs="Times New Roman"/>
                            <w:sz w:val="20"/>
                            <w:szCs w:val="20"/>
                            <w:lang w:val="en-AU"/>
                          </w:rPr>
                          <w:br/>
                        </w:r>
                        <w:r w:rsidRPr="00A429FE">
                          <w:rPr>
                            <w:rFonts w:ascii="Times" w:hAnsi="Times" w:cs="Times New Roman"/>
                            <w:b/>
                            <w:bCs/>
                            <w:sz w:val="20"/>
                            <w:szCs w:val="20"/>
                            <w:lang w:val="en-AU"/>
                          </w:rPr>
                          <w:t>(c) The specific risks of naked short selling</w:t>
                        </w:r>
                        <w:r w:rsidRPr="00A429FE">
                          <w:rPr>
                            <w:rFonts w:ascii="Times" w:hAnsi="Times" w:cs="Times New Roman"/>
                            <w:sz w:val="20"/>
                            <w:szCs w:val="20"/>
                            <w:lang w:val="en-AU"/>
                          </w:rPr>
                          <w:br/>
                          <w:t> </w:t>
                        </w:r>
                        <w:r w:rsidRPr="00A429FE">
                          <w:rPr>
                            <w:rFonts w:ascii="Times" w:hAnsi="Times" w:cs="Times New Roman"/>
                            <w:sz w:val="20"/>
                            <w:szCs w:val="20"/>
                            <w:lang w:val="en-AU"/>
                          </w:rPr>
                          <w:br/>
                          <w:t xml:space="preserve">Naked short selling potentially increases the risk of settlement failure. The proposal requires that to enter a short sale, an investor must have borrowed the instruments concerned, entered into an agreement to borrow them, or have an arrangement with a third party to locate and reserve them for lending so that they are delivered by the settlement date (at the latest 4 days after the transaction). Trading venues must ensure that there are adequate arrangements in place for buy-in of shares or sovereign debt, as well as fines and a ban on short selling, where there is a settlement failure. </w:t>
                        </w:r>
                        <w:r w:rsidRPr="00A429FE">
                          <w:rPr>
                            <w:rFonts w:ascii="Times" w:hAnsi="Times" w:cs="Times New Roman"/>
                            <w:sz w:val="20"/>
                            <w:szCs w:val="20"/>
                            <w:lang w:val="en-AU"/>
                          </w:rPr>
                          <w:br/>
                          <w:t> </w:t>
                        </w:r>
                        <w:r w:rsidRPr="00A429FE">
                          <w:rPr>
                            <w:rFonts w:ascii="Times" w:hAnsi="Times" w:cs="Times New Roman"/>
                            <w:sz w:val="20"/>
                            <w:szCs w:val="20"/>
                            <w:lang w:val="en-AU"/>
                          </w:rPr>
                          <w:br/>
                        </w:r>
                        <w:r w:rsidRPr="00A429FE">
                          <w:rPr>
                            <w:rFonts w:ascii="Times" w:hAnsi="Times" w:cs="Times New Roman"/>
                            <w:b/>
                            <w:bCs/>
                            <w:sz w:val="20"/>
                            <w:szCs w:val="20"/>
                            <w:lang w:val="en-AU"/>
                          </w:rPr>
                          <w:t>(d) Exemptions</w:t>
                        </w:r>
                        <w:r w:rsidRPr="00A429FE">
                          <w:rPr>
                            <w:rFonts w:ascii="Times" w:hAnsi="Times" w:cs="Times New Roman"/>
                            <w:sz w:val="20"/>
                            <w:szCs w:val="20"/>
                            <w:lang w:val="en-AU"/>
                          </w:rPr>
                          <w:br/>
                          <w:t> </w:t>
                        </w:r>
                        <w:r w:rsidRPr="00A429FE">
                          <w:rPr>
                            <w:rFonts w:ascii="Times" w:hAnsi="Times" w:cs="Times New Roman"/>
                            <w:sz w:val="20"/>
                            <w:szCs w:val="20"/>
                            <w:lang w:val="en-AU"/>
                          </w:rPr>
                          <w:br/>
                          <w:t>Certain exemptions are included in the proposal - for example for some defined activities which play an important role in providing liquidity or are essential to the proper functioning of primary bond markets.</w:t>
                        </w:r>
                        <w:r w:rsidRPr="00A429FE">
                          <w:rPr>
                            <w:rFonts w:ascii="Times" w:hAnsi="Times" w:cs="Times New Roman"/>
                            <w:sz w:val="20"/>
                            <w:szCs w:val="20"/>
                            <w:lang w:val="en-AU"/>
                          </w:rPr>
                          <w:br/>
                          <w:t> </w:t>
                        </w:r>
                        <w:r w:rsidRPr="00A429FE">
                          <w:rPr>
                            <w:rFonts w:ascii="Times" w:hAnsi="Times" w:cs="Times New Roman"/>
                            <w:sz w:val="20"/>
                            <w:szCs w:val="20"/>
                            <w:lang w:val="en-AU"/>
                          </w:rPr>
                          <w:br/>
                        </w:r>
                        <w:r w:rsidRPr="00A429FE">
                          <w:rPr>
                            <w:rFonts w:ascii="Times" w:hAnsi="Times" w:cs="Times New Roman"/>
                            <w:b/>
                            <w:bCs/>
                            <w:sz w:val="20"/>
                            <w:szCs w:val="20"/>
                            <w:lang w:val="en-AU"/>
                          </w:rPr>
                          <w:t>(e) Next steps</w:t>
                        </w:r>
                        <w:r w:rsidRPr="00A429FE">
                          <w:rPr>
                            <w:rFonts w:ascii="Times" w:hAnsi="Times" w:cs="Times New Roman"/>
                            <w:b/>
                            <w:bCs/>
                            <w:sz w:val="20"/>
                            <w:szCs w:val="20"/>
                            <w:lang w:val="en-AU"/>
                          </w:rPr>
                          <w:br/>
                        </w:r>
                        <w:r w:rsidRPr="00A429FE">
                          <w:rPr>
                            <w:rFonts w:ascii="Times" w:hAnsi="Times" w:cs="Times New Roman"/>
                            <w:sz w:val="20"/>
                            <w:szCs w:val="20"/>
                            <w:lang w:val="en-AU"/>
                          </w:rPr>
                          <w:t> </w:t>
                        </w:r>
                        <w:r w:rsidRPr="00A429FE">
                          <w:rPr>
                            <w:rFonts w:ascii="Times" w:hAnsi="Times" w:cs="Times New Roman"/>
                            <w:sz w:val="20"/>
                            <w:szCs w:val="20"/>
                            <w:lang w:val="en-AU"/>
                          </w:rPr>
                          <w:br/>
                          <w:t>The proposal now passes to the European Parliament and the Council for negotiation and adoption. Once adopted the regulation would apply from 1 July 2012.</w:t>
                        </w:r>
                        <w:r w:rsidRPr="00A429FE">
                          <w:rPr>
                            <w:rFonts w:ascii="Times" w:hAnsi="Times" w:cs="Times New Roman"/>
                            <w:sz w:val="20"/>
                            <w:szCs w:val="20"/>
                            <w:lang w:val="en-AU"/>
                          </w:rPr>
                          <w:br/>
                          <w:t> </w:t>
                        </w:r>
                        <w:r w:rsidRPr="00A429FE">
                          <w:rPr>
                            <w:rFonts w:ascii="Times" w:hAnsi="Times" w:cs="Times New Roman"/>
                            <w:sz w:val="20"/>
                            <w:szCs w:val="20"/>
                            <w:lang w:val="en-AU"/>
                          </w:rPr>
                          <w:br/>
                          <w:t xml:space="preserve">Further information is available on the </w:t>
                        </w:r>
                        <w:r w:rsidRPr="00A429FE">
                          <w:rPr>
                            <w:rFonts w:ascii="Times" w:hAnsi="Times" w:cs="Times New Roman"/>
                            <w:sz w:val="20"/>
                            <w:szCs w:val="20"/>
                            <w:lang w:val="en-AU"/>
                          </w:rPr>
                          <w:fldChar w:fldCharType="begin"/>
                        </w:r>
                        <w:r w:rsidRPr="00A429FE">
                          <w:rPr>
                            <w:rFonts w:ascii="Times" w:hAnsi="Times" w:cs="Times New Roman"/>
                            <w:sz w:val="20"/>
                            <w:szCs w:val="20"/>
                            <w:lang w:val="en-AU"/>
                          </w:rPr>
                          <w:instrText xml:space="preserve"> HYPERLINK "http://ec.europa.eu/internal_market/securities/short_selling_en.htm" \t "_new" </w:instrText>
                        </w:r>
                        <w:r w:rsidRPr="00A429FE">
                          <w:rPr>
                            <w:rFonts w:ascii="Times" w:hAnsi="Times" w:cs="Times New Roman"/>
                            <w:sz w:val="20"/>
                            <w:szCs w:val="20"/>
                            <w:lang w:val="en-AU"/>
                          </w:rPr>
                        </w:r>
                        <w:r w:rsidRPr="00A429FE">
                          <w:rPr>
                            <w:rFonts w:ascii="Times" w:hAnsi="Times" w:cs="Times New Roman"/>
                            <w:sz w:val="20"/>
                            <w:szCs w:val="20"/>
                            <w:lang w:val="en-AU"/>
                          </w:rPr>
                          <w:fldChar w:fldCharType="separate"/>
                        </w:r>
                        <w:r w:rsidRPr="00A429FE">
                          <w:rPr>
                            <w:rFonts w:ascii="Times" w:hAnsi="Times" w:cs="Times New Roman"/>
                            <w:color w:val="0000FF"/>
                            <w:sz w:val="20"/>
                            <w:szCs w:val="20"/>
                            <w:u w:val="single"/>
                            <w:lang w:val="en-AU"/>
                          </w:rPr>
                          <w:t>European Commission</w:t>
                        </w:r>
                        <w:r w:rsidRPr="00A429FE">
                          <w:rPr>
                            <w:rFonts w:ascii="Times" w:hAnsi="Times" w:cs="Times New Roman"/>
                            <w:sz w:val="20"/>
                            <w:szCs w:val="20"/>
                            <w:lang w:val="en-AU"/>
                          </w:rPr>
                          <w:fldChar w:fldCharType="end"/>
                        </w:r>
                        <w:r w:rsidRPr="00A429FE">
                          <w:rPr>
                            <w:rFonts w:ascii="Times" w:hAnsi="Times" w:cs="Times New Roman"/>
                            <w:sz w:val="20"/>
                            <w:szCs w:val="20"/>
                            <w:lang w:val="en-AU"/>
                          </w:rPr>
                          <w:t xml:space="preserve"> website.</w:t>
                        </w:r>
                      </w:p>
                      <w:p w:rsidR="00A429FE" w:rsidRPr="00A429FE" w:rsidRDefault="00A429FE" w:rsidP="00A429F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7088" name="Picture 17088" descr="etailed Contents">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88" descr="etailed Contents">
                                        <a:hlinkClick r:id="rId93"/>
                                      </pic:cNvPr>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A429FE" w:rsidRPr="00A429FE" w:rsidRDefault="00A429FE" w:rsidP="00A429FE">
                        <w:pPr>
                          <w:rPr>
                            <w:rFonts w:ascii="Times" w:eastAsia="Times New Roman" w:hAnsi="Times" w:cs="Times New Roman"/>
                            <w:sz w:val="20"/>
                            <w:szCs w:val="20"/>
                            <w:lang w:val="en-AU"/>
                          </w:rPr>
                        </w:pPr>
                        <w:r w:rsidRPr="00A429FE">
                          <w:rPr>
                            <w:rFonts w:ascii="Times" w:eastAsia="Times New Roman" w:hAnsi="Times" w:cs="Times New Roman"/>
                            <w:sz w:val="20"/>
                            <w:szCs w:val="20"/>
                            <w:lang w:val="en-AU"/>
                          </w:rPr>
                          <w:pict>
                            <v:rect id="_x0000_i18113" style="width:0;height:1.5pt" o:hralign="center" o:hrstd="t" o:hr="t" fillcolor="#aaa" stroked="f"/>
                          </w:pict>
                        </w:r>
                      </w:p>
                      <w:p w:rsidR="00A429FE" w:rsidRPr="00A429FE" w:rsidRDefault="00A429FE" w:rsidP="00A429FE">
                        <w:pPr>
                          <w:spacing w:before="100" w:beforeAutospacing="1" w:after="100" w:afterAutospacing="1"/>
                          <w:rPr>
                            <w:rFonts w:ascii="Times" w:hAnsi="Times" w:cs="Times New Roman"/>
                            <w:sz w:val="20"/>
                            <w:szCs w:val="20"/>
                            <w:lang w:val="en-AU"/>
                          </w:rPr>
                        </w:pPr>
                        <w:bookmarkStart w:id="34" w:name="0129"/>
                        <w:bookmarkEnd w:id="34"/>
                        <w:r w:rsidRPr="00A429FE">
                          <w:rPr>
                            <w:rFonts w:ascii="Times" w:hAnsi="Times" w:cs="Times New Roman"/>
                            <w:b/>
                            <w:bCs/>
                            <w:sz w:val="20"/>
                            <w:szCs w:val="20"/>
                            <w:lang w:val="en-AU"/>
                          </w:rPr>
                          <w:t xml:space="preserve">1.29 EU regulation of the derivatives markets </w:t>
                        </w:r>
                        <w:r w:rsidRPr="00A429FE">
                          <w:rPr>
                            <w:rFonts w:ascii="Times" w:hAnsi="Times" w:cs="Times New Roman"/>
                            <w:b/>
                            <w:bCs/>
                            <w:sz w:val="20"/>
                            <w:szCs w:val="20"/>
                            <w:lang w:val="en-AU"/>
                          </w:rPr>
                          <w:br/>
                        </w:r>
                        <w:r w:rsidRPr="00A429FE">
                          <w:rPr>
                            <w:rFonts w:ascii="Times" w:hAnsi="Times" w:cs="Times New Roman"/>
                            <w:sz w:val="20"/>
                            <w:szCs w:val="20"/>
                            <w:lang w:val="en-AU"/>
                          </w:rPr>
                          <w:t> </w:t>
                        </w:r>
                        <w:r w:rsidRPr="00A429FE">
                          <w:rPr>
                            <w:rFonts w:ascii="Times" w:hAnsi="Times" w:cs="Times New Roman"/>
                            <w:sz w:val="20"/>
                            <w:szCs w:val="20"/>
                            <w:lang w:val="en-AU"/>
                          </w:rPr>
                          <w:br/>
                          <w:t xml:space="preserve">On 15 September 2010, the European Commission tabled a proposal for a regulation aimed at bringing more safety and more transparency to the over-the-counter (OTC) derivatives market. </w:t>
                        </w:r>
                        <w:r w:rsidRPr="00A429FE">
                          <w:rPr>
                            <w:rFonts w:ascii="Times" w:hAnsi="Times" w:cs="Times New Roman"/>
                            <w:sz w:val="20"/>
                            <w:szCs w:val="20"/>
                            <w:lang w:val="en-AU"/>
                          </w:rPr>
                          <w:br/>
                          <w:t> </w:t>
                        </w:r>
                        <w:r w:rsidRPr="00A429FE">
                          <w:rPr>
                            <w:rFonts w:ascii="Times" w:hAnsi="Times" w:cs="Times New Roman"/>
                            <w:sz w:val="20"/>
                            <w:szCs w:val="20"/>
                            <w:lang w:val="en-AU"/>
                          </w:rPr>
                          <w:br/>
                          <w:t>In its draft regulation, the Commission proposes that information on OTC derivative contracts should be reported to trade repositories and be accessible to supervisory authorities. More information will also be made available to all market participants. The Commission also proposes that standard OTC derivative contracts be cleared through central counterparties (CCPs). This will reduce counterparty credit risk, i.e. the risk that one party to the contract defaults. The Commission's proposal, fully in line with the EU's G20 commitments and the approach adopted by the United States, now passes to the European Parliament and the EU Member States for consideration. Once adopted, the regulation would apply from end 2012.</w:t>
                        </w:r>
                        <w:r w:rsidRPr="00A429FE">
                          <w:rPr>
                            <w:rFonts w:ascii="Times" w:hAnsi="Times" w:cs="Times New Roman"/>
                            <w:sz w:val="20"/>
                            <w:szCs w:val="20"/>
                            <w:lang w:val="en-AU"/>
                          </w:rPr>
                          <w:br/>
                          <w:t> </w:t>
                        </w:r>
                        <w:r w:rsidRPr="00A429FE">
                          <w:rPr>
                            <w:rFonts w:ascii="Times" w:hAnsi="Times" w:cs="Times New Roman"/>
                            <w:sz w:val="20"/>
                            <w:szCs w:val="20"/>
                            <w:lang w:val="en-AU"/>
                          </w:rPr>
                          <w:br/>
                        </w:r>
                        <w:r w:rsidRPr="00A429FE">
                          <w:rPr>
                            <w:rFonts w:ascii="Times" w:hAnsi="Times" w:cs="Times New Roman"/>
                            <w:b/>
                            <w:bCs/>
                            <w:sz w:val="20"/>
                            <w:szCs w:val="20"/>
                            <w:lang w:val="en-AU"/>
                          </w:rPr>
                          <w:t>(a) Key elements of the proposal:</w:t>
                        </w:r>
                        <w:r w:rsidRPr="00A429FE">
                          <w:rPr>
                            <w:rFonts w:ascii="Times" w:hAnsi="Times" w:cs="Times New Roman"/>
                            <w:sz w:val="20"/>
                            <w:szCs w:val="20"/>
                            <w:lang w:val="en-AU"/>
                          </w:rPr>
                          <w:br/>
                        </w:r>
                        <w:r w:rsidRPr="00A429FE">
                          <w:rPr>
                            <w:rFonts w:ascii="Times" w:hAnsi="Times" w:cs="Times New Roman"/>
                            <w:sz w:val="20"/>
                            <w:szCs w:val="20"/>
                            <w:lang w:val="en-AU"/>
                          </w:rPr>
                          <w:br/>
                        </w:r>
                        <w:r w:rsidRPr="00A429FE">
                          <w:rPr>
                            <w:rFonts w:ascii="Times" w:hAnsi="Times" w:cs="Times New Roman"/>
                            <w:b/>
                            <w:bCs/>
                            <w:sz w:val="20"/>
                            <w:szCs w:val="20"/>
                            <w:lang w:val="en-AU"/>
                          </w:rPr>
                          <w:t xml:space="preserve">Greater transparency: </w:t>
                        </w:r>
                        <w:r w:rsidRPr="00A429FE">
                          <w:rPr>
                            <w:rFonts w:ascii="Times" w:hAnsi="Times" w:cs="Times New Roman"/>
                            <w:sz w:val="20"/>
                            <w:szCs w:val="20"/>
                            <w:lang w:val="en-AU"/>
                          </w:rPr>
                          <w:t xml:space="preserve">Currently, reporting of OTC derivatives is not mandatory. As a result, policy makers, regulators but also market participants do not have a clear overview of what is going on in the market. Under the Commission's proposal, trades in OTC derivatives in the EU will have to be reported to central data centres, known as trade repositories. Regulators in the EU will have access to these repositories, enabling them to have a better overview of who owes what and to whom and to detect any potential problems, such as accumulation of risk, early on. Meanwhile, the new European Securities and Markets Authority (ESMA) will be responsible for the surveillance of trade repositories and for granting / withdrawing their registration. In addition, trade repositories will have to publish aggregate positions by class of derivatives to give all market participants a clearer view of the OTC derivatives market. </w:t>
                        </w:r>
                        <w:r w:rsidRPr="00A429FE">
                          <w:rPr>
                            <w:rFonts w:ascii="Times" w:hAnsi="Times" w:cs="Times New Roman"/>
                            <w:sz w:val="20"/>
                            <w:szCs w:val="20"/>
                            <w:lang w:val="en-AU"/>
                          </w:rPr>
                          <w:br/>
                          <w:t> </w:t>
                        </w:r>
                        <w:r w:rsidRPr="00A429FE">
                          <w:rPr>
                            <w:rFonts w:ascii="Times" w:hAnsi="Times" w:cs="Times New Roman"/>
                            <w:sz w:val="20"/>
                            <w:szCs w:val="20"/>
                            <w:lang w:val="en-AU"/>
                          </w:rPr>
                          <w:br/>
                        </w:r>
                        <w:r w:rsidRPr="00A429FE">
                          <w:rPr>
                            <w:rFonts w:ascii="Times" w:hAnsi="Times" w:cs="Times New Roman"/>
                            <w:b/>
                            <w:bCs/>
                            <w:sz w:val="20"/>
                            <w:szCs w:val="20"/>
                            <w:lang w:val="en-AU"/>
                          </w:rPr>
                          <w:t>Greater safety - Reducing counterparty risks:</w:t>
                        </w:r>
                        <w:r w:rsidRPr="00A429FE">
                          <w:rPr>
                            <w:rFonts w:ascii="Times" w:hAnsi="Times" w:cs="Times New Roman"/>
                            <w:sz w:val="20"/>
                            <w:szCs w:val="20"/>
                            <w:lang w:val="en-AU"/>
                          </w:rPr>
                          <w:t xml:space="preserve"> Under the current situation, participants in the OTC derivatives market do not sufficiently mitigate counterparty credit risk, which refers to the risk of loss arising from one party not making the required payments when they are due. Under the Commission's proposal, OTC derivatives that are standardised (i.e. they have met predefined eligibility criteria), such as a high level of liquidity, would have to be cleared through central counterparties (CCPs). CCPs are entities that interpose themselves between the two counterparties to a transaction and thus become the 'buyer to every seller', as well as the 'seller to every buyer'. This will prevent the situation where a collapse of one market participant causes the collapse of other market participants, thereby putting the entire financial system at risk. If a contract is not eligible and therefore not cleared by a CCP, different risk management techniques must be applied (such as requirements to hold more capital). As CCPs are to take on additional risks, they will be subject to stringent business conducts and harmonised organisational and prudential requirements to ensure their safety - such as internal governance rules, audit checks, greater requirements on capital etc. </w:t>
                        </w:r>
                        <w:r w:rsidRPr="00A429FE">
                          <w:rPr>
                            <w:rFonts w:ascii="Times" w:hAnsi="Times" w:cs="Times New Roman"/>
                            <w:sz w:val="20"/>
                            <w:szCs w:val="20"/>
                            <w:lang w:val="en-AU"/>
                          </w:rPr>
                          <w:br/>
                          <w:t> </w:t>
                        </w:r>
                        <w:r w:rsidRPr="00A429FE">
                          <w:rPr>
                            <w:rFonts w:ascii="Times" w:hAnsi="Times" w:cs="Times New Roman"/>
                            <w:sz w:val="20"/>
                            <w:szCs w:val="20"/>
                            <w:lang w:val="en-AU"/>
                          </w:rPr>
                          <w:br/>
                        </w:r>
                        <w:r w:rsidRPr="00A429FE">
                          <w:rPr>
                            <w:rFonts w:ascii="Times" w:hAnsi="Times" w:cs="Times New Roman"/>
                            <w:b/>
                            <w:bCs/>
                            <w:sz w:val="20"/>
                            <w:szCs w:val="20"/>
                            <w:lang w:val="en-AU"/>
                          </w:rPr>
                          <w:t>Greater safety - Reducing operational risk:</w:t>
                        </w:r>
                        <w:r w:rsidRPr="00A429FE">
                          <w:rPr>
                            <w:rFonts w:ascii="Times" w:hAnsi="Times" w:cs="Times New Roman"/>
                            <w:sz w:val="20"/>
                            <w:szCs w:val="20"/>
                            <w:lang w:val="en-AU"/>
                          </w:rPr>
                          <w:t xml:space="preserve"> The OTC derivatives market allows for a high degree of flexibility in defining the economic and legal terms of contracts. As a consequence, there are a number of highly bespoke and complex contracts in the market that still require significant manual intervention in many stages of the processing. This increases operational risk, i.e. the risk of loss due to, for example, human error. The Commission's proposal requires market participants to measure, monitor and mitigate this risk, for example by using electronic means for confirming the terms of OTC derivative contracts.</w:t>
                        </w:r>
                        <w:r w:rsidRPr="00A429FE">
                          <w:rPr>
                            <w:rFonts w:ascii="Times" w:hAnsi="Times" w:cs="Times New Roman"/>
                            <w:sz w:val="20"/>
                            <w:szCs w:val="20"/>
                            <w:lang w:val="en-AU"/>
                          </w:rPr>
                          <w:br/>
                          <w:t> </w:t>
                        </w:r>
                        <w:r w:rsidRPr="00A429FE">
                          <w:rPr>
                            <w:rFonts w:ascii="Times" w:hAnsi="Times" w:cs="Times New Roman"/>
                            <w:sz w:val="20"/>
                            <w:szCs w:val="20"/>
                            <w:lang w:val="en-AU"/>
                          </w:rPr>
                          <w:br/>
                        </w:r>
                        <w:r w:rsidRPr="00A429FE">
                          <w:rPr>
                            <w:rFonts w:ascii="Times" w:hAnsi="Times" w:cs="Times New Roman"/>
                            <w:b/>
                            <w:bCs/>
                            <w:sz w:val="20"/>
                            <w:szCs w:val="20"/>
                            <w:lang w:val="en-AU"/>
                          </w:rPr>
                          <w:t xml:space="preserve">Scope: </w:t>
                        </w:r>
                        <w:r w:rsidRPr="00A429FE">
                          <w:rPr>
                            <w:rFonts w:ascii="Times" w:hAnsi="Times" w:cs="Times New Roman"/>
                            <w:sz w:val="20"/>
                            <w:szCs w:val="20"/>
                            <w:lang w:val="en-AU"/>
                          </w:rPr>
                          <w:t xml:space="preserve">The proposal applies to all types of OTC derivatives. It applies both to financial firms who use OTC derivatives but also to non-financial firms that have large positions in OTC derivatives. It also applies to CCPs and trade repositories. However, non-financial firms (such as manufacturers) who use OTC derivatives to mitigate risk arising from their core business activities ("commercial hedging" used to protect against exchange rate variations for example), are exempt from the CCP clearing requirements. </w:t>
                        </w:r>
                        <w:r w:rsidRPr="00A429FE">
                          <w:rPr>
                            <w:rFonts w:ascii="Times" w:hAnsi="Times" w:cs="Times New Roman"/>
                            <w:sz w:val="20"/>
                            <w:szCs w:val="20"/>
                            <w:lang w:val="en-AU"/>
                          </w:rPr>
                          <w:br/>
                        </w:r>
                        <w:r w:rsidRPr="00A429FE">
                          <w:rPr>
                            <w:rFonts w:ascii="Times" w:hAnsi="Times" w:cs="Times New Roman"/>
                            <w:sz w:val="20"/>
                            <w:szCs w:val="20"/>
                            <w:lang w:val="en-AU"/>
                          </w:rPr>
                          <w:br/>
                        </w:r>
                        <w:r w:rsidRPr="00A429FE">
                          <w:rPr>
                            <w:rFonts w:ascii="Times" w:hAnsi="Times" w:cs="Times New Roman"/>
                            <w:b/>
                            <w:bCs/>
                            <w:sz w:val="20"/>
                            <w:szCs w:val="20"/>
                            <w:lang w:val="en-AU"/>
                          </w:rPr>
                          <w:t>(b) Background</w:t>
                        </w:r>
                        <w:r w:rsidRPr="00A429FE">
                          <w:rPr>
                            <w:rFonts w:ascii="Times" w:hAnsi="Times" w:cs="Times New Roman"/>
                            <w:sz w:val="20"/>
                            <w:szCs w:val="20"/>
                            <w:lang w:val="en-AU"/>
                          </w:rPr>
                          <w:br/>
                        </w:r>
                        <w:r w:rsidRPr="00A429FE">
                          <w:rPr>
                            <w:rFonts w:ascii="Times" w:hAnsi="Times" w:cs="Times New Roman"/>
                            <w:sz w:val="20"/>
                            <w:szCs w:val="20"/>
                            <w:lang w:val="en-AU"/>
                          </w:rPr>
                          <w:br/>
                          <w:t xml:space="preserve">The use of derivatives has grown exponentially over the last decade, with OTC transactions being the main contributor to this growth. At the end of December 2009, the size of the OTC derivatives market by notional value equalled approximately US$615 trillion, a 12% increase with respect to the end of 2008. However, this was still 10% lower than the peak reached in June 2008. </w:t>
                        </w:r>
                        <w:r w:rsidRPr="00A429FE">
                          <w:rPr>
                            <w:rFonts w:ascii="Times" w:hAnsi="Times" w:cs="Times New Roman"/>
                            <w:sz w:val="20"/>
                            <w:szCs w:val="20"/>
                            <w:lang w:val="en-AU"/>
                          </w:rPr>
                          <w:br/>
                        </w:r>
                        <w:r w:rsidRPr="00A429FE">
                          <w:rPr>
                            <w:rFonts w:ascii="Times" w:hAnsi="Times" w:cs="Times New Roman"/>
                            <w:sz w:val="20"/>
                            <w:szCs w:val="20"/>
                            <w:lang w:val="en-AU"/>
                          </w:rPr>
                          <w:br/>
                          <w:t>The near-collapse of Bear Stearns in March 2008, the default of Lehman Brothers on 15 September 2008 and the bail-out of AIG the following day started to highlight the shortcomings in the functioning of the OTC derivatives market, where 80% of derivatives are traded. In a Communication on Driving European recovery from March 2009, the European Commission committed to deliver, on the basis of a report on derivatives and other complex structured products, appropriate initiatives to increase transparency and to address financial stability concerns.</w:t>
                        </w:r>
                        <w:r w:rsidRPr="00A429FE">
                          <w:rPr>
                            <w:rFonts w:ascii="Times" w:hAnsi="Times" w:cs="Times New Roman"/>
                            <w:sz w:val="20"/>
                            <w:szCs w:val="20"/>
                            <w:lang w:val="en-AU"/>
                          </w:rPr>
                          <w:br/>
                          <w:t> </w:t>
                        </w:r>
                        <w:r w:rsidRPr="00A429FE">
                          <w:rPr>
                            <w:rFonts w:ascii="Times" w:hAnsi="Times" w:cs="Times New Roman"/>
                            <w:sz w:val="20"/>
                            <w:szCs w:val="20"/>
                            <w:lang w:val="en-AU"/>
                          </w:rPr>
                          <w:br/>
                          <w:t xml:space="preserve">Further information is available on the </w:t>
                        </w:r>
                        <w:r w:rsidRPr="00A429FE">
                          <w:rPr>
                            <w:rFonts w:ascii="Times" w:hAnsi="Times" w:cs="Times New Roman"/>
                            <w:sz w:val="20"/>
                            <w:szCs w:val="20"/>
                            <w:lang w:val="en-AU"/>
                          </w:rPr>
                          <w:fldChar w:fldCharType="begin"/>
                        </w:r>
                        <w:r w:rsidRPr="00A429FE">
                          <w:rPr>
                            <w:rFonts w:ascii="Times" w:hAnsi="Times" w:cs="Times New Roman"/>
                            <w:sz w:val="20"/>
                            <w:szCs w:val="20"/>
                            <w:lang w:val="en-AU"/>
                          </w:rPr>
                          <w:instrText xml:space="preserve"> HYPERLINK "http://ec.europa.eu/internal_market/financial-markets/derivatives/index_en.htm" \t "_new" </w:instrText>
                        </w:r>
                        <w:r w:rsidRPr="00A429FE">
                          <w:rPr>
                            <w:rFonts w:ascii="Times" w:hAnsi="Times" w:cs="Times New Roman"/>
                            <w:sz w:val="20"/>
                            <w:szCs w:val="20"/>
                            <w:lang w:val="en-AU"/>
                          </w:rPr>
                        </w:r>
                        <w:r w:rsidRPr="00A429FE">
                          <w:rPr>
                            <w:rFonts w:ascii="Times" w:hAnsi="Times" w:cs="Times New Roman"/>
                            <w:sz w:val="20"/>
                            <w:szCs w:val="20"/>
                            <w:lang w:val="en-AU"/>
                          </w:rPr>
                          <w:fldChar w:fldCharType="separate"/>
                        </w:r>
                        <w:r w:rsidRPr="00A429FE">
                          <w:rPr>
                            <w:rFonts w:ascii="Times" w:hAnsi="Times" w:cs="Times New Roman"/>
                            <w:color w:val="0000FF"/>
                            <w:sz w:val="20"/>
                            <w:szCs w:val="20"/>
                            <w:u w:val="single"/>
                            <w:lang w:val="en-AU"/>
                          </w:rPr>
                          <w:t>European Commission</w:t>
                        </w:r>
                        <w:r w:rsidRPr="00A429FE">
                          <w:rPr>
                            <w:rFonts w:ascii="Times" w:hAnsi="Times" w:cs="Times New Roman"/>
                            <w:sz w:val="20"/>
                            <w:szCs w:val="20"/>
                            <w:lang w:val="en-AU"/>
                          </w:rPr>
                          <w:fldChar w:fldCharType="end"/>
                        </w:r>
                        <w:r w:rsidRPr="00A429FE">
                          <w:rPr>
                            <w:rFonts w:ascii="Times" w:hAnsi="Times" w:cs="Times New Roman"/>
                            <w:sz w:val="20"/>
                            <w:szCs w:val="20"/>
                            <w:lang w:val="en-AU"/>
                          </w:rPr>
                          <w:t xml:space="preserve"> website.</w:t>
                        </w:r>
                      </w:p>
                      <w:p w:rsidR="00A429FE" w:rsidRPr="00A429FE" w:rsidRDefault="00A429FE" w:rsidP="00A429F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7090" name="Picture 17090" descr="etailed Contents">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90" descr="etailed Contents">
                                        <a:hlinkClick r:id="rId93"/>
                                      </pic:cNvPr>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A429FE" w:rsidRPr="00A429FE" w:rsidRDefault="00A429FE" w:rsidP="00A429FE">
                        <w:pPr>
                          <w:rPr>
                            <w:rFonts w:ascii="Times" w:eastAsia="Times New Roman" w:hAnsi="Times" w:cs="Times New Roman"/>
                            <w:sz w:val="20"/>
                            <w:szCs w:val="20"/>
                            <w:lang w:val="en-AU"/>
                          </w:rPr>
                        </w:pPr>
                        <w:r w:rsidRPr="00A429FE">
                          <w:rPr>
                            <w:rFonts w:ascii="Times" w:eastAsia="Times New Roman" w:hAnsi="Times" w:cs="Times New Roman"/>
                            <w:sz w:val="20"/>
                            <w:szCs w:val="20"/>
                            <w:lang w:val="en-AU"/>
                          </w:rPr>
                          <w:pict>
                            <v:rect id="_x0000_i18115" style="width:0;height:1.5pt" o:hralign="center" o:hrstd="t" o:hr="t" fillcolor="#aaa" stroked="f"/>
                          </w:pict>
                        </w:r>
                      </w:p>
                      <w:p w:rsidR="00A429FE" w:rsidRPr="00A429FE" w:rsidRDefault="00A429FE" w:rsidP="00A429FE">
                        <w:pPr>
                          <w:spacing w:before="100" w:beforeAutospacing="1" w:after="100" w:afterAutospacing="1"/>
                          <w:rPr>
                            <w:rFonts w:ascii="Times" w:hAnsi="Times" w:cs="Times New Roman"/>
                            <w:sz w:val="20"/>
                            <w:szCs w:val="20"/>
                            <w:lang w:val="en-AU"/>
                          </w:rPr>
                        </w:pPr>
                        <w:bookmarkStart w:id="35" w:name="0130"/>
                        <w:bookmarkEnd w:id="35"/>
                        <w:r w:rsidRPr="00A429FE">
                          <w:rPr>
                            <w:rFonts w:ascii="Times" w:hAnsi="Times" w:cs="Times New Roman"/>
                            <w:b/>
                            <w:bCs/>
                            <w:sz w:val="20"/>
                            <w:szCs w:val="20"/>
                            <w:lang w:val="en-AU"/>
                          </w:rPr>
                          <w:t>1.30 Report on insolvency practitioners</w:t>
                        </w:r>
                        <w:r w:rsidRPr="00A429FE">
                          <w:rPr>
                            <w:rFonts w:ascii="Times" w:hAnsi="Times" w:cs="Times New Roman"/>
                            <w:b/>
                            <w:bCs/>
                            <w:sz w:val="20"/>
                            <w:szCs w:val="20"/>
                            <w:lang w:val="en-AU"/>
                          </w:rPr>
                          <w:br/>
                        </w:r>
                        <w:r w:rsidRPr="00A429FE">
                          <w:rPr>
                            <w:rFonts w:ascii="Times" w:hAnsi="Times" w:cs="Times New Roman"/>
                            <w:sz w:val="20"/>
                            <w:szCs w:val="20"/>
                            <w:lang w:val="en-AU"/>
                          </w:rPr>
                          <w:t> </w:t>
                        </w:r>
                        <w:r w:rsidRPr="00A429FE">
                          <w:rPr>
                            <w:rFonts w:ascii="Times" w:hAnsi="Times" w:cs="Times New Roman"/>
                            <w:sz w:val="20"/>
                            <w:szCs w:val="20"/>
                            <w:lang w:val="en-AU"/>
                          </w:rPr>
                          <w:br/>
                          <w:t xml:space="preserve">On 14 September 2010, the Senate Economics References Committee of the Parliament of Australia published its report titled "The regulation, registration and remuneration of insolvency practitioners in Australia: the case for a new framework". </w:t>
                        </w:r>
                        <w:r w:rsidRPr="00A429FE">
                          <w:rPr>
                            <w:rFonts w:ascii="Times" w:hAnsi="Times" w:cs="Times New Roman"/>
                            <w:sz w:val="20"/>
                            <w:szCs w:val="20"/>
                            <w:lang w:val="en-AU"/>
                          </w:rPr>
                          <w:br/>
                          <w:t> </w:t>
                        </w:r>
                        <w:r w:rsidRPr="00A429FE">
                          <w:rPr>
                            <w:rFonts w:ascii="Times" w:hAnsi="Times" w:cs="Times New Roman"/>
                            <w:sz w:val="20"/>
                            <w:szCs w:val="20"/>
                            <w:lang w:val="en-AU"/>
                          </w:rPr>
                          <w:br/>
                          <w:t>The Committee states in its report:</w:t>
                        </w:r>
                      </w:p>
                      <w:p w:rsidR="00A429FE" w:rsidRPr="00A429FE" w:rsidRDefault="00A429FE" w:rsidP="00A429FE">
                        <w:pPr>
                          <w:spacing w:before="100" w:beforeAutospacing="1" w:after="100" w:afterAutospacing="1"/>
                          <w:rPr>
                            <w:rFonts w:ascii="Times" w:hAnsi="Times" w:cs="Times New Roman"/>
                            <w:sz w:val="20"/>
                            <w:szCs w:val="20"/>
                            <w:lang w:val="en-AU"/>
                          </w:rPr>
                        </w:pPr>
                        <w:r w:rsidRPr="00A429FE">
                          <w:rPr>
                            <w:rFonts w:ascii="Times" w:hAnsi="Times" w:cs="Times New Roman"/>
                            <w:sz w:val="20"/>
                            <w:szCs w:val="20"/>
                            <w:lang w:val="en-AU"/>
                          </w:rPr>
                          <w:t>"11.65 The committee recognises that the role of the insolvency practitioner is important to the proper functioning of a market economy. Practitioners require a range of financial, investigative, written and interpersonal skills to perform their role well. Their proficiency allows troubled businesses to stay afloat and, where this is not possible, enables vulnerable creditors to maximise their returns. The committee also acknowledges that the process of corporate insolvency is often turbulent and distressing for company directors and employees. Insolvency practitioners deserve to be properly remunerated.</w:t>
                        </w:r>
                        <w:r w:rsidRPr="00A429FE">
                          <w:rPr>
                            <w:rFonts w:ascii="Times" w:hAnsi="Times" w:cs="Times New Roman"/>
                            <w:sz w:val="20"/>
                            <w:szCs w:val="20"/>
                            <w:lang w:val="en-AU"/>
                          </w:rPr>
                          <w:br/>
                          <w:t> </w:t>
                        </w:r>
                        <w:r w:rsidRPr="00A429FE">
                          <w:rPr>
                            <w:rFonts w:ascii="Times" w:hAnsi="Times" w:cs="Times New Roman"/>
                            <w:sz w:val="20"/>
                            <w:szCs w:val="20"/>
                            <w:lang w:val="en-AU"/>
                          </w:rPr>
                          <w:br/>
                          <w:t xml:space="preserve">11.66 By the same token, the insolvency profession must also be properly regulated. There are significant responsibilities vested in the insolvency practitioner to act in the interests of creditors and employees and in the public interest. Accordingly, there must be an effective framework to promote high performance and deter misconduct. </w:t>
                        </w:r>
                        <w:r w:rsidRPr="00A429FE">
                          <w:rPr>
                            <w:rFonts w:ascii="Times" w:hAnsi="Times" w:cs="Times New Roman"/>
                            <w:sz w:val="20"/>
                            <w:szCs w:val="20"/>
                            <w:lang w:val="en-AU"/>
                          </w:rPr>
                          <w:br/>
                          <w:t> </w:t>
                        </w:r>
                        <w:r w:rsidRPr="00A429FE">
                          <w:rPr>
                            <w:rFonts w:ascii="Times" w:hAnsi="Times" w:cs="Times New Roman"/>
                            <w:sz w:val="20"/>
                            <w:szCs w:val="20"/>
                            <w:lang w:val="en-AU"/>
                          </w:rPr>
                          <w:br/>
                          <w:t>11.67 This inquiry has found several regulatory gaps in the framework for regulating insolvency practitioners in Australia. Of greatest concern is that ASIC lacks a proactive approach and its response to complaints is often slow and unsatisfactory.</w:t>
                        </w:r>
                        <w:r w:rsidRPr="00A429FE">
                          <w:rPr>
                            <w:rFonts w:ascii="Times" w:hAnsi="Times" w:cs="Times New Roman"/>
                            <w:sz w:val="20"/>
                            <w:szCs w:val="20"/>
                            <w:lang w:val="en-AU"/>
                          </w:rPr>
                          <w:br/>
                          <w:t> </w:t>
                        </w:r>
                        <w:r w:rsidRPr="00A429FE">
                          <w:rPr>
                            <w:rFonts w:ascii="Times" w:hAnsi="Times" w:cs="Times New Roman"/>
                            <w:sz w:val="20"/>
                            <w:szCs w:val="20"/>
                            <w:lang w:val="en-AU"/>
                          </w:rPr>
                          <w:br/>
                          <w:t xml:space="preserve">11.68 The recommendations made in this chapter are bold and substantive. The committee believes they are necessary and, in many cases, long overdue. It foresees several advantages from transferring ASIC's insolvency functions to within ITSA, all of which will improve the monitoring of the corporate insolvency profession. </w:t>
                        </w:r>
                        <w:r w:rsidRPr="00A429FE">
                          <w:rPr>
                            <w:rFonts w:ascii="Times" w:hAnsi="Times" w:cs="Times New Roman"/>
                            <w:sz w:val="20"/>
                            <w:szCs w:val="20"/>
                            <w:lang w:val="en-AU"/>
                          </w:rPr>
                          <w:br/>
                          <w:t> </w:t>
                        </w:r>
                        <w:r w:rsidRPr="00A429FE">
                          <w:rPr>
                            <w:rFonts w:ascii="Times" w:hAnsi="Times" w:cs="Times New Roman"/>
                            <w:sz w:val="20"/>
                            <w:szCs w:val="20"/>
                            <w:lang w:val="en-AU"/>
                          </w:rPr>
                          <w:br/>
                          <w:t>11.69 In the committee's opinion, the financial costs associated with implementing the recommendations are far outweighed by the deterrent effect they will have on misconduct. Moreover, if properly implemented and enforced, the recommendations will restore stakeholders' and the public's confidence in the performance and reputation of corporate insolvency industry."</w:t>
                        </w:r>
                        <w:r w:rsidRPr="00A429FE">
                          <w:rPr>
                            <w:rFonts w:ascii="Times" w:hAnsi="Times" w:cs="Times New Roman"/>
                            <w:sz w:val="20"/>
                            <w:szCs w:val="20"/>
                            <w:lang w:val="en-AU"/>
                          </w:rPr>
                          <w:br/>
                          <w:t> </w:t>
                        </w:r>
                        <w:r w:rsidRPr="00A429FE">
                          <w:rPr>
                            <w:rFonts w:ascii="Times" w:hAnsi="Times" w:cs="Times New Roman"/>
                            <w:sz w:val="20"/>
                            <w:szCs w:val="20"/>
                            <w:lang w:val="en-AU"/>
                          </w:rPr>
                          <w:br/>
                          <w:t xml:space="preserve">The Committee makes 17 recommendations in its report. The first recommendation is that "the corporate insolvency arm of ASIC be transferred to ITSA to form the Australian Insolvency Practitioners Authority (AIPA). The agency should be governed by the </w:t>
                        </w:r>
                        <w:r w:rsidRPr="00A429FE">
                          <w:rPr>
                            <w:rFonts w:ascii="Times" w:hAnsi="Times" w:cs="Times New Roman"/>
                            <w:sz w:val="20"/>
                            <w:szCs w:val="20"/>
                            <w:lang w:val="en-AU"/>
                          </w:rPr>
                          <w:fldChar w:fldCharType="begin"/>
                        </w:r>
                        <w:r w:rsidRPr="00A429FE">
                          <w:rPr>
                            <w:rFonts w:ascii="Times" w:hAnsi="Times" w:cs="Times New Roman"/>
                            <w:sz w:val="20"/>
                            <w:szCs w:val="20"/>
                            <w:lang w:val="en-AU"/>
                          </w:rPr>
                          <w:instrText xml:space="preserve"> HYPERLINK "http://my.lawlex.com.au/index.asp?pact=coredoc&amp;nav=col&amp;cid=12266" \t "Default" </w:instrText>
                        </w:r>
                        <w:r w:rsidRPr="00A429FE">
                          <w:rPr>
                            <w:rFonts w:ascii="Times" w:hAnsi="Times" w:cs="Times New Roman"/>
                            <w:sz w:val="20"/>
                            <w:szCs w:val="20"/>
                            <w:lang w:val="en-AU"/>
                          </w:rPr>
                        </w:r>
                        <w:r w:rsidRPr="00A429FE">
                          <w:rPr>
                            <w:rFonts w:ascii="Times" w:hAnsi="Times" w:cs="Times New Roman"/>
                            <w:sz w:val="20"/>
                            <w:szCs w:val="20"/>
                            <w:lang w:val="en-AU"/>
                          </w:rPr>
                          <w:fldChar w:fldCharType="separate"/>
                        </w:r>
                        <w:r w:rsidRPr="00A429FE">
                          <w:rPr>
                            <w:rFonts w:ascii="Times" w:hAnsi="Times" w:cs="Times New Roman"/>
                            <w:color w:val="0000FF"/>
                            <w:sz w:val="20"/>
                            <w:szCs w:val="20"/>
                            <w:u w:val="single"/>
                            <w:lang w:val="en-AU"/>
                          </w:rPr>
                          <w:t>Financial Management and Accountability Act</w:t>
                        </w:r>
                        <w:r w:rsidRPr="00A429FE">
                          <w:rPr>
                            <w:rFonts w:ascii="Times" w:hAnsi="Times" w:cs="Times New Roman"/>
                            <w:sz w:val="20"/>
                            <w:szCs w:val="20"/>
                            <w:lang w:val="en-AU"/>
                          </w:rPr>
                          <w:fldChar w:fldCharType="end"/>
                        </w:r>
                        <w:r w:rsidRPr="00A429FE">
                          <w:rPr>
                            <w:rFonts w:ascii="Times" w:hAnsi="Times" w:cs="Times New Roman"/>
                            <w:sz w:val="20"/>
                            <w:szCs w:val="20"/>
                            <w:lang w:val="en-AU"/>
                          </w:rPr>
                          <w:t xml:space="preserve"> under the Attorney General's portfolio."</w:t>
                        </w:r>
                        <w:r w:rsidRPr="00A429FE">
                          <w:rPr>
                            <w:rFonts w:ascii="Times" w:hAnsi="Times" w:cs="Times New Roman"/>
                            <w:sz w:val="20"/>
                            <w:szCs w:val="20"/>
                            <w:lang w:val="en-AU"/>
                          </w:rPr>
                          <w:br/>
                          <w:t> </w:t>
                        </w:r>
                        <w:r w:rsidRPr="00A429FE">
                          <w:rPr>
                            <w:rFonts w:ascii="Times" w:hAnsi="Times" w:cs="Times New Roman"/>
                            <w:sz w:val="20"/>
                            <w:szCs w:val="20"/>
                            <w:lang w:val="en-AU"/>
                          </w:rPr>
                          <w:br/>
                          <w:t>Other recommendations deal with matters including harmonisation of the personal insolvency and corporate insolvency regimes; establishment of a 'flying squad' within the new insolvency regulator that would be responsible for conducting investigations of a sample of insolvency practitioners, some selected at random, others with the aid of a risk profiling system and market intelligence; making proceedings of the Companies Auditors and Disciplinary Board open to the public; establishment of a fidelity fund to ensure that creditors are insured for fraud and wrongdoing; and improved insolvency data.</w:t>
                        </w:r>
                        <w:r w:rsidRPr="00A429FE">
                          <w:rPr>
                            <w:rFonts w:ascii="Times" w:hAnsi="Times" w:cs="Times New Roman"/>
                            <w:sz w:val="20"/>
                            <w:szCs w:val="20"/>
                            <w:lang w:val="en-AU"/>
                          </w:rPr>
                          <w:br/>
                          <w:t> </w:t>
                        </w:r>
                        <w:r w:rsidRPr="00A429FE">
                          <w:rPr>
                            <w:rFonts w:ascii="Times" w:hAnsi="Times" w:cs="Times New Roman"/>
                            <w:sz w:val="20"/>
                            <w:szCs w:val="20"/>
                            <w:lang w:val="en-AU"/>
                          </w:rPr>
                          <w:br/>
                          <w:t xml:space="preserve">The report is available on the </w:t>
                        </w:r>
                        <w:r w:rsidRPr="00A429FE">
                          <w:rPr>
                            <w:rFonts w:ascii="Times" w:hAnsi="Times" w:cs="Times New Roman"/>
                            <w:sz w:val="20"/>
                            <w:szCs w:val="20"/>
                            <w:lang w:val="en-AU"/>
                          </w:rPr>
                          <w:fldChar w:fldCharType="begin"/>
                        </w:r>
                        <w:r w:rsidRPr="00A429FE">
                          <w:rPr>
                            <w:rFonts w:ascii="Times" w:hAnsi="Times" w:cs="Times New Roman"/>
                            <w:sz w:val="20"/>
                            <w:szCs w:val="20"/>
                            <w:lang w:val="en-AU"/>
                          </w:rPr>
                          <w:instrText xml:space="preserve"> HYPERLINK "http://www.aph.gov.au/senate/committee/economics_ctte/liquidators_09/report/index.htm" \t "_new" </w:instrText>
                        </w:r>
                        <w:r w:rsidRPr="00A429FE">
                          <w:rPr>
                            <w:rFonts w:ascii="Times" w:hAnsi="Times" w:cs="Times New Roman"/>
                            <w:sz w:val="20"/>
                            <w:szCs w:val="20"/>
                            <w:lang w:val="en-AU"/>
                          </w:rPr>
                        </w:r>
                        <w:r w:rsidRPr="00A429FE">
                          <w:rPr>
                            <w:rFonts w:ascii="Times" w:hAnsi="Times" w:cs="Times New Roman"/>
                            <w:sz w:val="20"/>
                            <w:szCs w:val="20"/>
                            <w:lang w:val="en-AU"/>
                          </w:rPr>
                          <w:fldChar w:fldCharType="separate"/>
                        </w:r>
                        <w:r w:rsidRPr="00A429FE">
                          <w:rPr>
                            <w:rFonts w:ascii="Times" w:hAnsi="Times" w:cs="Times New Roman"/>
                            <w:color w:val="0000FF"/>
                            <w:sz w:val="20"/>
                            <w:szCs w:val="20"/>
                            <w:u w:val="single"/>
                            <w:lang w:val="en-AU"/>
                          </w:rPr>
                          <w:t>Parliament of Australia</w:t>
                        </w:r>
                        <w:r w:rsidRPr="00A429FE">
                          <w:rPr>
                            <w:rFonts w:ascii="Times" w:hAnsi="Times" w:cs="Times New Roman"/>
                            <w:sz w:val="20"/>
                            <w:szCs w:val="20"/>
                            <w:lang w:val="en-AU"/>
                          </w:rPr>
                          <w:fldChar w:fldCharType="end"/>
                        </w:r>
                        <w:r w:rsidRPr="00A429FE">
                          <w:rPr>
                            <w:rFonts w:ascii="Times" w:hAnsi="Times" w:cs="Times New Roman"/>
                            <w:sz w:val="20"/>
                            <w:szCs w:val="20"/>
                            <w:lang w:val="en-AU"/>
                          </w:rPr>
                          <w:t xml:space="preserve"> website.</w:t>
                        </w:r>
                      </w:p>
                      <w:p w:rsidR="00A429FE" w:rsidRPr="00A429FE" w:rsidRDefault="00A429FE" w:rsidP="00A429F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7092" name="Picture 17092" descr="etailed Contents">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92" descr="etailed Contents">
                                        <a:hlinkClick r:id="rId93"/>
                                      </pic:cNvPr>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A429FE" w:rsidRPr="00A429FE" w:rsidRDefault="00A429FE" w:rsidP="00A429FE">
                        <w:pPr>
                          <w:rPr>
                            <w:rFonts w:ascii="Times" w:eastAsia="Times New Roman" w:hAnsi="Times" w:cs="Times New Roman"/>
                            <w:sz w:val="20"/>
                            <w:szCs w:val="20"/>
                            <w:lang w:val="en-AU"/>
                          </w:rPr>
                        </w:pPr>
                        <w:r w:rsidRPr="00A429FE">
                          <w:rPr>
                            <w:rFonts w:ascii="Times" w:eastAsia="Times New Roman" w:hAnsi="Times" w:cs="Times New Roman"/>
                            <w:sz w:val="20"/>
                            <w:szCs w:val="20"/>
                            <w:lang w:val="en-AU"/>
                          </w:rPr>
                          <w:pict>
                            <v:rect id="_x0000_i18117" style="width:0;height:1.5pt" o:hralign="center" o:hrstd="t" o:hr="t" fillcolor="#aaa" stroked="f"/>
                          </w:pict>
                        </w:r>
                      </w:p>
                      <w:p w:rsidR="00A429FE" w:rsidRPr="00A429FE" w:rsidRDefault="00A429FE" w:rsidP="00A429FE">
                        <w:pPr>
                          <w:spacing w:before="100" w:beforeAutospacing="1" w:after="100" w:afterAutospacing="1"/>
                          <w:rPr>
                            <w:rFonts w:ascii="Times" w:hAnsi="Times" w:cs="Times New Roman"/>
                            <w:sz w:val="20"/>
                            <w:szCs w:val="20"/>
                            <w:lang w:val="en-AU"/>
                          </w:rPr>
                        </w:pPr>
                        <w:bookmarkStart w:id="36" w:name="0131"/>
                        <w:bookmarkEnd w:id="36"/>
                        <w:r w:rsidRPr="00A429FE">
                          <w:rPr>
                            <w:rFonts w:ascii="Times" w:hAnsi="Times" w:cs="Times New Roman"/>
                            <w:b/>
                            <w:bCs/>
                            <w:sz w:val="20"/>
                            <w:szCs w:val="20"/>
                            <w:lang w:val="en-AU"/>
                          </w:rPr>
                          <w:t xml:space="preserve">1.31 Compensation for US corporate directors remained flat in 2009 </w:t>
                        </w:r>
                        <w:r w:rsidRPr="00A429FE">
                          <w:rPr>
                            <w:rFonts w:ascii="Times" w:hAnsi="Times" w:cs="Times New Roman"/>
                            <w:b/>
                            <w:bCs/>
                            <w:sz w:val="20"/>
                            <w:szCs w:val="20"/>
                            <w:lang w:val="en-AU"/>
                          </w:rPr>
                          <w:br/>
                        </w:r>
                        <w:r w:rsidRPr="00A429FE">
                          <w:rPr>
                            <w:rFonts w:ascii="Times" w:hAnsi="Times" w:cs="Times New Roman"/>
                            <w:sz w:val="20"/>
                            <w:szCs w:val="20"/>
                            <w:lang w:val="en-AU"/>
                          </w:rPr>
                          <w:br/>
                          <w:t>Compensation for outside directors at the largest US corporations remained relatively flat last year as most companies continued their cautious approach to spending compensation dollars, according to a new analysis by Towers Watson published on 13 September 2010.  </w:t>
                        </w:r>
                        <w:r w:rsidRPr="00A429FE">
                          <w:rPr>
                            <w:rFonts w:ascii="Times" w:hAnsi="Times" w:cs="Times New Roman"/>
                            <w:sz w:val="20"/>
                            <w:szCs w:val="20"/>
                            <w:lang w:val="en-AU"/>
                          </w:rPr>
                          <w:br/>
                          <w:t> </w:t>
                        </w:r>
                        <w:r w:rsidRPr="00A429FE">
                          <w:rPr>
                            <w:rFonts w:ascii="Times" w:hAnsi="Times" w:cs="Times New Roman"/>
                            <w:sz w:val="20"/>
                            <w:szCs w:val="20"/>
                            <w:lang w:val="en-AU"/>
                          </w:rPr>
                          <w:br/>
                          <w:t>The analysis also found that more companies replaced board and committee meeting fees with fixed retainers for service.</w:t>
                        </w:r>
                        <w:r w:rsidRPr="00A429FE">
                          <w:rPr>
                            <w:rFonts w:ascii="Times" w:hAnsi="Times" w:cs="Times New Roman"/>
                            <w:sz w:val="20"/>
                            <w:szCs w:val="20"/>
                            <w:lang w:val="en-AU"/>
                          </w:rPr>
                          <w:br/>
                          <w:t> </w:t>
                        </w:r>
                        <w:r w:rsidRPr="00A429FE">
                          <w:rPr>
                            <w:rFonts w:ascii="Times" w:hAnsi="Times" w:cs="Times New Roman"/>
                            <w:sz w:val="20"/>
                            <w:szCs w:val="20"/>
                            <w:lang w:val="en-AU"/>
                          </w:rPr>
                          <w:br/>
                          <w:t>The Towers Watson annual analysis of director compensation at Fortune 500 companies found that 2009 pay packages for directors climbed just 1% over 2008 levels. That is smaller than the median increase of 3% directors received in 2008. Prior to the economic crisis, directors had been steadily receiving annual pay increases of nearly 10%.</w:t>
                        </w:r>
                        <w:r w:rsidRPr="00A429FE">
                          <w:rPr>
                            <w:rFonts w:ascii="Times" w:hAnsi="Times" w:cs="Times New Roman"/>
                            <w:sz w:val="20"/>
                            <w:szCs w:val="20"/>
                            <w:lang w:val="en-AU"/>
                          </w:rPr>
                          <w:br/>
                          <w:t> </w:t>
                        </w:r>
                        <w:r w:rsidRPr="00A429FE">
                          <w:rPr>
                            <w:rFonts w:ascii="Times" w:hAnsi="Times" w:cs="Times New Roman"/>
                            <w:sz w:val="20"/>
                            <w:szCs w:val="20"/>
                            <w:lang w:val="en-AU"/>
                          </w:rPr>
                          <w:br/>
                          <w:t>According to the analysis, total compensation for the outside directors at the companies studied increased to $200,698 (all figures are in US$) last year, up slightly from a median value of $199,949 in 2008. This marks the first time that median total compensation, which factors in the annualized value of one-time equity grants some directors receive when joining the board, has surpassed the $200,000 threshold. Cash compensation increased by 1% (from $83,875 in 2008 to $85,000 last year), while the value of equity awards also increased by a scant 1%, to $104,939 from $103,963 the previous year.</w:t>
                        </w:r>
                        <w:r w:rsidRPr="00A429FE">
                          <w:rPr>
                            <w:rFonts w:ascii="Times" w:hAnsi="Times" w:cs="Times New Roman"/>
                            <w:sz w:val="20"/>
                            <w:szCs w:val="20"/>
                            <w:lang w:val="en-AU"/>
                          </w:rPr>
                          <w:br/>
                          <w:t> </w:t>
                        </w:r>
                        <w:r w:rsidRPr="00A429FE">
                          <w:rPr>
                            <w:rFonts w:ascii="Times" w:hAnsi="Times" w:cs="Times New Roman"/>
                            <w:sz w:val="20"/>
                            <w:szCs w:val="20"/>
                            <w:lang w:val="en-AU"/>
                          </w:rPr>
                          <w:br/>
                          <w:t>Indeed, the analysis found that more companies eliminated board and committee meeting fees, and replaced them with fixed retainers for serving on boards and committees. The percentage of companies paying board meeting fees declined from 44% in 2008 to 40% last year, a reversal from 2005, when 60% of companies paid board meeting fees. There was also a decline in companies paying committee meeting fees - from 48% in 2008 to 45% in 2009. The value of compensation previously provided as meeting fees was replaced with corresponding increases to board and committee retainers. Most companies continued to move toward a relatively even mix of cash and equity in their programs.</w:t>
                        </w:r>
                        <w:r w:rsidRPr="00A429FE">
                          <w:rPr>
                            <w:rFonts w:ascii="Times" w:hAnsi="Times" w:cs="Times New Roman"/>
                            <w:sz w:val="20"/>
                            <w:szCs w:val="20"/>
                            <w:lang w:val="en-AU"/>
                          </w:rPr>
                          <w:br/>
                          <w:t> </w:t>
                        </w:r>
                        <w:r w:rsidRPr="00A429FE">
                          <w:rPr>
                            <w:rFonts w:ascii="Times" w:hAnsi="Times" w:cs="Times New Roman"/>
                            <w:sz w:val="20"/>
                            <w:szCs w:val="20"/>
                            <w:lang w:val="en-AU"/>
                          </w:rPr>
                          <w:br/>
                          <w:t>Among other survey findings:</w:t>
                        </w:r>
                      </w:p>
                      <w:p w:rsidR="00A429FE" w:rsidRPr="00A429FE" w:rsidRDefault="00A429FE" w:rsidP="00A429FE">
                        <w:pPr>
                          <w:tabs>
                            <w:tab w:val="num" w:pos="720"/>
                          </w:tabs>
                          <w:spacing w:before="100" w:beforeAutospacing="1" w:after="100" w:afterAutospacing="1"/>
                          <w:ind w:left="720" w:hanging="360"/>
                          <w:rPr>
                            <w:rFonts w:ascii="Times" w:eastAsia="Times New Roman" w:hAnsi="Times" w:cs="Times New Roman"/>
                            <w:sz w:val="20"/>
                            <w:szCs w:val="20"/>
                            <w:lang w:val="en-AU"/>
                          </w:rPr>
                        </w:pPr>
                        <w:r w:rsidRPr="00A429FE">
                          <w:rPr>
                            <w:rFonts w:ascii="Times" w:eastAsia="Times New Roman" w:hAnsi="Times" w:cs="Times New Roman"/>
                            <w:sz w:val="20"/>
                            <w:szCs w:val="20"/>
                            <w:lang w:val="en-AU"/>
                          </w:rPr>
                          <w:t xml:space="preserve">Nearly four in 10 (38%) companies operate with a separate chair and CEO, up slightly from the previous year. At the median, nonexecutive board chairs received an additional $150,000 in incremental pay above and beyond that provided for regular board service, bringing their median total pay package to approximately $347,000 in 2009. </w:t>
                        </w:r>
                      </w:p>
                      <w:p w:rsidR="00A429FE" w:rsidRPr="00A429FE" w:rsidRDefault="00A429FE" w:rsidP="00A429FE">
                        <w:pPr>
                          <w:tabs>
                            <w:tab w:val="num" w:pos="720"/>
                          </w:tabs>
                          <w:spacing w:before="100" w:beforeAutospacing="1" w:after="100" w:afterAutospacing="1"/>
                          <w:ind w:left="720" w:hanging="360"/>
                          <w:rPr>
                            <w:rFonts w:ascii="Times" w:eastAsia="Times New Roman" w:hAnsi="Times" w:cs="Times New Roman"/>
                            <w:sz w:val="20"/>
                            <w:szCs w:val="20"/>
                            <w:lang w:val="en-AU"/>
                          </w:rPr>
                        </w:pPr>
                        <w:r w:rsidRPr="00A429FE">
                          <w:rPr>
                            <w:rFonts w:ascii="Times" w:eastAsia="Times New Roman" w:hAnsi="Times" w:cs="Times New Roman"/>
                            <w:sz w:val="20"/>
                            <w:szCs w:val="20"/>
                            <w:lang w:val="en-AU"/>
                          </w:rPr>
                          <w:t xml:space="preserve">Audit committee members received larger retainers ($10,000 median value in 2009) versus those who serve on compensation committees ($7,500 median value) or governance/nominating committees ($6,000 median value). The higher fees are to compensate directors for added time requirements and responsibilities associated with the enactment of the Sarbanes-Oxley Act.  </w:t>
                        </w:r>
                      </w:p>
                      <w:p w:rsidR="00A429FE" w:rsidRPr="00A429FE" w:rsidRDefault="00A429FE" w:rsidP="00A429FE">
                        <w:pPr>
                          <w:spacing w:before="100" w:beforeAutospacing="1" w:after="100" w:afterAutospacing="1"/>
                          <w:rPr>
                            <w:rFonts w:ascii="Times" w:hAnsi="Times" w:cs="Times New Roman"/>
                            <w:sz w:val="20"/>
                            <w:szCs w:val="20"/>
                            <w:lang w:val="en-AU"/>
                          </w:rPr>
                        </w:pPr>
                        <w:r w:rsidRPr="00A429FE">
                          <w:rPr>
                            <w:rFonts w:ascii="Times" w:hAnsi="Times" w:cs="Times New Roman"/>
                            <w:sz w:val="20"/>
                            <w:szCs w:val="20"/>
                            <w:lang w:val="en-AU"/>
                          </w:rPr>
                          <w:t xml:space="preserve">The analysis is available on the </w:t>
                        </w:r>
                        <w:r w:rsidRPr="00A429FE">
                          <w:rPr>
                            <w:rFonts w:ascii="Times" w:hAnsi="Times" w:cs="Times New Roman"/>
                            <w:sz w:val="20"/>
                            <w:szCs w:val="20"/>
                            <w:lang w:val="en-AU"/>
                          </w:rPr>
                          <w:fldChar w:fldCharType="begin"/>
                        </w:r>
                        <w:r w:rsidRPr="00A429FE">
                          <w:rPr>
                            <w:rFonts w:ascii="Times" w:hAnsi="Times" w:cs="Times New Roman"/>
                            <w:sz w:val="20"/>
                            <w:szCs w:val="20"/>
                            <w:lang w:val="en-AU"/>
                          </w:rPr>
                          <w:instrText xml:space="preserve"> HYPERLINK "http://www.towersperrin.com/tp/getwebcachedoc?webc=USA/2010/201008/Aug_31_Director_Pay.pdf" \t "_new" </w:instrText>
                        </w:r>
                        <w:r w:rsidRPr="00A429FE">
                          <w:rPr>
                            <w:rFonts w:ascii="Times" w:hAnsi="Times" w:cs="Times New Roman"/>
                            <w:sz w:val="20"/>
                            <w:szCs w:val="20"/>
                            <w:lang w:val="en-AU"/>
                          </w:rPr>
                        </w:r>
                        <w:r w:rsidRPr="00A429FE">
                          <w:rPr>
                            <w:rFonts w:ascii="Times" w:hAnsi="Times" w:cs="Times New Roman"/>
                            <w:sz w:val="20"/>
                            <w:szCs w:val="20"/>
                            <w:lang w:val="en-AU"/>
                          </w:rPr>
                          <w:fldChar w:fldCharType="separate"/>
                        </w:r>
                        <w:r w:rsidRPr="00A429FE">
                          <w:rPr>
                            <w:rFonts w:ascii="Times" w:hAnsi="Times" w:cs="Times New Roman"/>
                            <w:color w:val="0000FF"/>
                            <w:sz w:val="20"/>
                            <w:szCs w:val="20"/>
                            <w:u w:val="single"/>
                            <w:lang w:val="en-AU"/>
                          </w:rPr>
                          <w:t>Towers Watson</w:t>
                        </w:r>
                        <w:r w:rsidRPr="00A429FE">
                          <w:rPr>
                            <w:rFonts w:ascii="Times" w:hAnsi="Times" w:cs="Times New Roman"/>
                            <w:sz w:val="20"/>
                            <w:szCs w:val="20"/>
                            <w:lang w:val="en-AU"/>
                          </w:rPr>
                          <w:fldChar w:fldCharType="end"/>
                        </w:r>
                        <w:r w:rsidRPr="00A429FE">
                          <w:rPr>
                            <w:rFonts w:ascii="Times" w:hAnsi="Times" w:cs="Times New Roman"/>
                            <w:sz w:val="20"/>
                            <w:szCs w:val="20"/>
                            <w:lang w:val="en-AU"/>
                          </w:rPr>
                          <w:t xml:space="preserve"> website.</w:t>
                        </w:r>
                      </w:p>
                      <w:p w:rsidR="00A429FE" w:rsidRPr="00A429FE" w:rsidRDefault="00A429FE" w:rsidP="00A429F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7094" name="Picture 17094" descr="etailed Contents">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94" descr="etailed Contents">
                                        <a:hlinkClick r:id="rId93"/>
                                      </pic:cNvPr>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A429FE" w:rsidRPr="00A429FE" w:rsidRDefault="00A429FE" w:rsidP="00A429FE">
                        <w:pPr>
                          <w:rPr>
                            <w:rFonts w:ascii="Times" w:eastAsia="Times New Roman" w:hAnsi="Times" w:cs="Times New Roman"/>
                            <w:sz w:val="20"/>
                            <w:szCs w:val="20"/>
                            <w:lang w:val="en-AU"/>
                          </w:rPr>
                        </w:pPr>
                        <w:r w:rsidRPr="00A429FE">
                          <w:rPr>
                            <w:rFonts w:ascii="Times" w:eastAsia="Times New Roman" w:hAnsi="Times" w:cs="Times New Roman"/>
                            <w:sz w:val="20"/>
                            <w:szCs w:val="20"/>
                            <w:lang w:val="en-AU"/>
                          </w:rPr>
                          <w:pict>
                            <v:rect id="_x0000_i18119" style="width:0;height:1.5pt" o:hralign="center" o:hrstd="t" o:hr="t" fillcolor="#aaa" stroked="f"/>
                          </w:pict>
                        </w:r>
                      </w:p>
                      <w:p w:rsidR="00A429FE" w:rsidRPr="00A429FE" w:rsidRDefault="00A429FE" w:rsidP="00A429FE">
                        <w:pPr>
                          <w:spacing w:before="100" w:beforeAutospacing="1" w:after="100" w:afterAutospacing="1"/>
                          <w:rPr>
                            <w:rFonts w:ascii="Times" w:hAnsi="Times" w:cs="Times New Roman"/>
                            <w:sz w:val="20"/>
                            <w:szCs w:val="20"/>
                            <w:lang w:val="en-AU"/>
                          </w:rPr>
                        </w:pPr>
                        <w:bookmarkStart w:id="37" w:name="0132"/>
                        <w:bookmarkEnd w:id="37"/>
                        <w:r w:rsidRPr="00A429FE">
                          <w:rPr>
                            <w:rFonts w:ascii="Times" w:hAnsi="Times" w:cs="Times New Roman"/>
                            <w:b/>
                            <w:bCs/>
                            <w:sz w:val="20"/>
                            <w:szCs w:val="20"/>
                            <w:lang w:val="en-AU"/>
                          </w:rPr>
                          <w:t>1.32 CEO pay in the top 100 Australian companies</w:t>
                        </w:r>
                        <w:r w:rsidRPr="00A429FE">
                          <w:rPr>
                            <w:rFonts w:ascii="Times" w:hAnsi="Times" w:cs="Times New Roman"/>
                            <w:b/>
                            <w:bCs/>
                            <w:sz w:val="20"/>
                            <w:szCs w:val="20"/>
                            <w:lang w:val="en-AU"/>
                          </w:rPr>
                          <w:br/>
                        </w:r>
                        <w:r w:rsidRPr="00A429FE">
                          <w:rPr>
                            <w:rFonts w:ascii="Times" w:hAnsi="Times" w:cs="Times New Roman"/>
                            <w:sz w:val="20"/>
                            <w:szCs w:val="20"/>
                            <w:lang w:val="en-AU"/>
                          </w:rPr>
                          <w:br/>
                          <w:t xml:space="preserve">In September 2010, the Australian Council of Superannuation Investors (ACSI) published its annual report on CEO pay in the top 100 Australian companies. </w:t>
                        </w:r>
                        <w:r w:rsidRPr="00A429FE">
                          <w:rPr>
                            <w:rFonts w:ascii="Times" w:hAnsi="Times" w:cs="Times New Roman"/>
                            <w:sz w:val="20"/>
                            <w:szCs w:val="20"/>
                            <w:lang w:val="en-AU"/>
                          </w:rPr>
                          <w:br/>
                        </w:r>
                        <w:r w:rsidRPr="00A429FE">
                          <w:rPr>
                            <w:rFonts w:ascii="Times" w:hAnsi="Times" w:cs="Times New Roman"/>
                            <w:sz w:val="20"/>
                            <w:szCs w:val="20"/>
                            <w:lang w:val="en-AU"/>
                          </w:rPr>
                          <w:br/>
                          <w:t xml:space="preserve">Results in brief: </w:t>
                        </w:r>
                      </w:p>
                      <w:p w:rsidR="00A429FE" w:rsidRPr="00A429FE" w:rsidRDefault="00A429FE" w:rsidP="00A429FE">
                        <w:pPr>
                          <w:tabs>
                            <w:tab w:val="num" w:pos="720"/>
                          </w:tabs>
                          <w:spacing w:before="100" w:beforeAutospacing="1" w:after="100" w:afterAutospacing="1"/>
                          <w:ind w:left="720" w:hanging="360"/>
                          <w:rPr>
                            <w:rFonts w:ascii="Times" w:eastAsia="Times New Roman" w:hAnsi="Times" w:cs="Times New Roman"/>
                            <w:sz w:val="20"/>
                            <w:szCs w:val="20"/>
                            <w:lang w:val="en-AU"/>
                          </w:rPr>
                        </w:pPr>
                        <w:r w:rsidRPr="00A429FE">
                          <w:rPr>
                            <w:rFonts w:ascii="Times" w:eastAsia="Times New Roman" w:hAnsi="Times" w:cs="Times New Roman"/>
                            <w:sz w:val="20"/>
                            <w:szCs w:val="20"/>
                            <w:lang w:val="en-AU"/>
                          </w:rPr>
                          <w:t xml:space="preserve">In 2009, median total remuneration for a top 100 CEO was down only 0.2 percent from 2008 to $4.04 million. Between 2007 and 2009, the median S&amp;P/ASX 100 CEO total pay has declined by only 3.1% from 2007's record high. Median total CEO pay in 2009 was 23.4% above median CEO total pay posted in 2006, over the same three year period, there has been a decline in the S&amp;P/ASX 100 Index of 21.4%. </w:t>
                        </w:r>
                      </w:p>
                      <w:p w:rsidR="00A429FE" w:rsidRPr="00A429FE" w:rsidRDefault="00A429FE" w:rsidP="00A429FE">
                        <w:pPr>
                          <w:tabs>
                            <w:tab w:val="num" w:pos="720"/>
                          </w:tabs>
                          <w:spacing w:before="100" w:beforeAutospacing="1" w:after="100" w:afterAutospacing="1"/>
                          <w:ind w:left="720" w:hanging="360"/>
                          <w:rPr>
                            <w:rFonts w:ascii="Times" w:eastAsia="Times New Roman" w:hAnsi="Times" w:cs="Times New Roman"/>
                            <w:sz w:val="20"/>
                            <w:szCs w:val="20"/>
                            <w:lang w:val="en-AU"/>
                          </w:rPr>
                        </w:pPr>
                        <w:r w:rsidRPr="00A429FE">
                          <w:rPr>
                            <w:rFonts w:ascii="Times" w:eastAsia="Times New Roman" w:hAnsi="Times" w:cs="Times New Roman"/>
                            <w:sz w:val="20"/>
                            <w:szCs w:val="20"/>
                            <w:lang w:val="en-AU"/>
                          </w:rPr>
                          <w:t xml:space="preserve">Although average annual bonuses fell 19.9% in 2009 to $1.546 million, the median bonus actually increased by 3.3% to $1.207 million. Median bonuses, while 10% below the 2007 record, remain 20% above 2006 levels. </w:t>
                        </w:r>
                      </w:p>
                      <w:p w:rsidR="00A429FE" w:rsidRPr="00A429FE" w:rsidRDefault="00A429FE" w:rsidP="00A429FE">
                        <w:pPr>
                          <w:spacing w:before="100" w:beforeAutospacing="1" w:after="100" w:afterAutospacing="1"/>
                          <w:rPr>
                            <w:rFonts w:ascii="Times" w:hAnsi="Times" w:cs="Times New Roman"/>
                            <w:sz w:val="20"/>
                            <w:szCs w:val="20"/>
                            <w:lang w:val="en-AU"/>
                          </w:rPr>
                        </w:pPr>
                        <w:r w:rsidRPr="00A429FE">
                          <w:rPr>
                            <w:rFonts w:ascii="Times" w:hAnsi="Times" w:cs="Times New Roman"/>
                            <w:sz w:val="20"/>
                            <w:szCs w:val="20"/>
                            <w:lang w:val="en-AU"/>
                          </w:rPr>
                          <w:t xml:space="preserve">The report is available at </w:t>
                        </w:r>
                        <w:r w:rsidRPr="00A429FE">
                          <w:rPr>
                            <w:rFonts w:ascii="Times" w:hAnsi="Times" w:cs="Times New Roman"/>
                            <w:sz w:val="20"/>
                            <w:szCs w:val="20"/>
                            <w:lang w:val="en-AU"/>
                          </w:rPr>
                          <w:fldChar w:fldCharType="begin"/>
                        </w:r>
                        <w:r w:rsidRPr="00A429FE">
                          <w:rPr>
                            <w:rFonts w:ascii="Times" w:hAnsi="Times" w:cs="Times New Roman"/>
                            <w:sz w:val="20"/>
                            <w:szCs w:val="20"/>
                            <w:lang w:val="en-AU"/>
                          </w:rPr>
                          <w:instrText xml:space="preserve"> HYPERLINK "http://www.acsi.org.au/" \t "_new" </w:instrText>
                        </w:r>
                        <w:r w:rsidRPr="00A429FE">
                          <w:rPr>
                            <w:rFonts w:ascii="Times" w:hAnsi="Times" w:cs="Times New Roman"/>
                            <w:sz w:val="20"/>
                            <w:szCs w:val="20"/>
                            <w:lang w:val="en-AU"/>
                          </w:rPr>
                        </w:r>
                        <w:r w:rsidRPr="00A429FE">
                          <w:rPr>
                            <w:rFonts w:ascii="Times" w:hAnsi="Times" w:cs="Times New Roman"/>
                            <w:sz w:val="20"/>
                            <w:szCs w:val="20"/>
                            <w:lang w:val="en-AU"/>
                          </w:rPr>
                          <w:fldChar w:fldCharType="separate"/>
                        </w:r>
                        <w:r w:rsidRPr="00A429FE">
                          <w:rPr>
                            <w:rFonts w:ascii="Times" w:hAnsi="Times" w:cs="Times New Roman"/>
                            <w:color w:val="0000FF"/>
                            <w:sz w:val="20"/>
                            <w:szCs w:val="20"/>
                            <w:u w:val="single"/>
                            <w:lang w:val="en-AU"/>
                          </w:rPr>
                          <w:t>ACSI</w:t>
                        </w:r>
                        <w:r w:rsidRPr="00A429FE">
                          <w:rPr>
                            <w:rFonts w:ascii="Times" w:hAnsi="Times" w:cs="Times New Roman"/>
                            <w:sz w:val="20"/>
                            <w:szCs w:val="20"/>
                            <w:lang w:val="en-AU"/>
                          </w:rPr>
                          <w:fldChar w:fldCharType="end"/>
                        </w:r>
                        <w:r w:rsidRPr="00A429FE">
                          <w:rPr>
                            <w:rFonts w:ascii="Times" w:hAnsi="Times" w:cs="Times New Roman"/>
                            <w:sz w:val="20"/>
                            <w:szCs w:val="20"/>
                            <w:lang w:val="en-AU"/>
                          </w:rPr>
                          <w:t xml:space="preserve"> website.</w:t>
                        </w:r>
                      </w:p>
                      <w:p w:rsidR="00A429FE" w:rsidRPr="00A429FE" w:rsidRDefault="00A429FE" w:rsidP="00A429F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7096" name="Picture 17096" descr="etailed Contents">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96" descr="etailed Contents">
                                        <a:hlinkClick r:id="rId93"/>
                                      </pic:cNvPr>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A429FE" w:rsidRPr="00A429FE" w:rsidRDefault="00A429FE" w:rsidP="00A429FE">
                  <w:pPr>
                    <w:rPr>
                      <w:rFonts w:ascii="Times" w:eastAsia="Times New Roman" w:hAnsi="Times" w:cs="Times New Roman"/>
                      <w:sz w:val="20"/>
                      <w:szCs w:val="20"/>
                      <w:lang w:val="en-AU"/>
                    </w:rPr>
                  </w:pPr>
                </w:p>
              </w:tc>
            </w:tr>
          </w:tbl>
          <w:p w:rsidR="00A429FE" w:rsidRPr="00A429FE" w:rsidRDefault="00A429FE" w:rsidP="00A429FE">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592"/>
            </w:tblGrid>
            <w:tr w:rsidR="00A429FE" w:rsidRPr="00A429FE">
              <w:trPr>
                <w:trHeight w:val="560"/>
                <w:tblCellSpacing w:w="0" w:type="dxa"/>
              </w:trPr>
              <w:tc>
                <w:tcPr>
                  <w:tcW w:w="0" w:type="auto"/>
                  <w:shd w:val="clear" w:color="auto" w:fill="E4E5E5"/>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6457"/>
                    <w:gridCol w:w="600"/>
                    <w:gridCol w:w="535"/>
                  </w:tblGrid>
                  <w:tr w:rsidR="00A429FE" w:rsidRPr="00A429FE">
                    <w:trPr>
                      <w:tblCellSpacing w:w="0" w:type="dxa"/>
                    </w:trPr>
                    <w:tc>
                      <w:tcPr>
                        <w:tcW w:w="0" w:type="auto"/>
                        <w:vAlign w:val="center"/>
                        <w:hideMark/>
                      </w:tcPr>
                      <w:p w:rsidR="00A429FE" w:rsidRPr="00A429FE" w:rsidRDefault="00A429FE" w:rsidP="00A429FE">
                        <w:pPr>
                          <w:rPr>
                            <w:rFonts w:ascii="Times" w:eastAsia="Times New Roman" w:hAnsi="Times" w:cs="Times New Roman"/>
                            <w:sz w:val="20"/>
                            <w:szCs w:val="20"/>
                            <w:lang w:val="en-AU"/>
                          </w:rPr>
                        </w:pPr>
                        <w:bookmarkStart w:id="38" w:name="2"/>
                        <w:bookmarkEnd w:id="38"/>
                        <w:r w:rsidRPr="00A429FE">
                          <w:rPr>
                            <w:rFonts w:ascii="Times" w:eastAsia="Times New Roman" w:hAnsi="Times" w:cs="Times New Roman"/>
                            <w:b/>
                            <w:bCs/>
                            <w:sz w:val="20"/>
                            <w:szCs w:val="20"/>
                            <w:lang w:val="en-AU"/>
                          </w:rPr>
                          <w:t>2. Recent ASIC Developments</w:t>
                        </w:r>
                      </w:p>
                    </w:tc>
                    <w:tc>
                      <w:tcPr>
                        <w:tcW w:w="600" w:type="dxa"/>
                        <w:vAlign w:val="center"/>
                        <w:hideMark/>
                      </w:tcPr>
                      <w:p w:rsidR="00A429FE" w:rsidRPr="00A429FE" w:rsidRDefault="00A429FE" w:rsidP="00A429FE">
                        <w:pPr>
                          <w:rPr>
                            <w:rFonts w:ascii="Times" w:eastAsia="Times New Roman" w:hAnsi="Times" w:cs="Times New Roman"/>
                            <w:sz w:val="20"/>
                            <w:szCs w:val="20"/>
                            <w:lang w:val="en-AU"/>
                          </w:rPr>
                        </w:pPr>
                      </w:p>
                    </w:tc>
                    <w:tc>
                      <w:tcPr>
                        <w:tcW w:w="240" w:type="dxa"/>
                        <w:vAlign w:val="center"/>
                        <w:hideMark/>
                      </w:tcPr>
                      <w:p w:rsidR="00A429FE" w:rsidRPr="00A429FE" w:rsidRDefault="00A429FE" w:rsidP="00A429FE">
                        <w:pPr>
                          <w:rPr>
                            <w:rFonts w:ascii="Times" w:eastAsia="Times New Roman" w:hAnsi="Times" w:cs="Times New Roman"/>
                            <w:sz w:val="20"/>
                            <w:szCs w:val="20"/>
                            <w:lang w:val="en-AU"/>
                          </w:rPr>
                        </w:pPr>
                        <w:r>
                          <w:rPr>
                            <w:rFonts w:ascii="Times" w:eastAsia="Times New Roman" w:hAnsi="Times" w:cs="Times New Roman"/>
                            <w:noProof/>
                            <w:color w:val="0000FF"/>
                            <w:sz w:val="20"/>
                            <w:szCs w:val="20"/>
                          </w:rPr>
                          <w:drawing>
                            <wp:inline distT="0" distB="0" distL="0" distR="0">
                              <wp:extent cx="136525" cy="153670"/>
                              <wp:effectExtent l="0" t="0" r="0" b="0"/>
                              <wp:docPr id="17097" name="Picture 17097" descr="ext Section">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97" descr="ext Section">
                                        <a:hlinkClick r:id="rId95"/>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A429FE" w:rsidRPr="00A429FE" w:rsidRDefault="00A429FE" w:rsidP="00A429FE">
                  <w:pPr>
                    <w:rPr>
                      <w:rFonts w:ascii="Times" w:eastAsia="Times New Roman" w:hAnsi="Times" w:cs="Times New Roman"/>
                      <w:sz w:val="20"/>
                      <w:szCs w:val="20"/>
                      <w:lang w:val="en-AU"/>
                    </w:rPr>
                  </w:pPr>
                </w:p>
              </w:tc>
            </w:tr>
            <w:tr w:rsidR="00A429FE" w:rsidRPr="00A429FE">
              <w:trPr>
                <w:tblCellSpacing w:w="0" w:type="dxa"/>
              </w:trPr>
              <w:tc>
                <w:tcPr>
                  <w:tcW w:w="0" w:type="auto"/>
                  <w:vAlign w:val="center"/>
                  <w:hideMark/>
                </w:tcPr>
                <w:p w:rsidR="00A429FE" w:rsidRPr="00A429FE" w:rsidRDefault="00A429FE" w:rsidP="00A429FE">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6956425" cy="17145"/>
                        <wp:effectExtent l="0" t="0" r="0" b="0"/>
                        <wp:docPr id="17098" name="Picture 17098"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98"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6425" cy="17145"/>
                                </a:xfrm>
                                <a:prstGeom prst="rect">
                                  <a:avLst/>
                                </a:prstGeom>
                                <a:noFill/>
                                <a:ln>
                                  <a:noFill/>
                                </a:ln>
                              </pic:spPr>
                            </pic:pic>
                          </a:graphicData>
                        </a:graphic>
                      </wp:inline>
                    </w:drawing>
                  </w:r>
                </w:p>
              </w:tc>
            </w:tr>
            <w:tr w:rsidR="00A429FE" w:rsidRPr="00A429FE">
              <w:trPr>
                <w:tblCellSpacing w:w="0" w:type="dxa"/>
              </w:trPr>
              <w:tc>
                <w:tcPr>
                  <w:tcW w:w="0" w:type="auto"/>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7592"/>
                  </w:tblGrid>
                  <w:tr w:rsidR="00A429FE" w:rsidRPr="00A429FE">
                    <w:trPr>
                      <w:tblCellSpacing w:w="0" w:type="dxa"/>
                    </w:trPr>
                    <w:tc>
                      <w:tcPr>
                        <w:tcW w:w="0" w:type="auto"/>
                        <w:hideMark/>
                      </w:tcPr>
                      <w:p w:rsidR="00A429FE" w:rsidRPr="00A429FE" w:rsidRDefault="00A429FE" w:rsidP="00A429FE">
                        <w:pPr>
                          <w:spacing w:before="100" w:beforeAutospacing="1" w:after="100" w:afterAutospacing="1"/>
                          <w:rPr>
                            <w:rFonts w:ascii="Times" w:hAnsi="Times" w:cs="Times New Roman"/>
                            <w:sz w:val="20"/>
                            <w:szCs w:val="20"/>
                            <w:lang w:val="en-AU"/>
                          </w:rPr>
                        </w:pPr>
                        <w:bookmarkStart w:id="39" w:name="021"/>
                        <w:bookmarkEnd w:id="39"/>
                        <w:r w:rsidRPr="00A429FE">
                          <w:rPr>
                            <w:rFonts w:ascii="Times" w:hAnsi="Times" w:cs="Times New Roman"/>
                            <w:b/>
                            <w:bCs/>
                            <w:sz w:val="20"/>
                            <w:szCs w:val="20"/>
                            <w:lang w:val="en-AU"/>
                          </w:rPr>
                          <w:t>2.1 ASIC seeks comment on proposed guidance for independent experts' reports and related party transactions</w:t>
                        </w:r>
                        <w:r w:rsidRPr="00A429FE">
                          <w:rPr>
                            <w:rFonts w:ascii="Times" w:hAnsi="Times" w:cs="Times New Roman"/>
                            <w:sz w:val="20"/>
                            <w:szCs w:val="20"/>
                            <w:lang w:val="en-AU"/>
                          </w:rPr>
                          <w:br/>
                        </w:r>
                        <w:r w:rsidRPr="00A429FE">
                          <w:rPr>
                            <w:rFonts w:ascii="Times" w:hAnsi="Times" w:cs="Times New Roman"/>
                            <w:sz w:val="20"/>
                            <w:szCs w:val="20"/>
                            <w:lang w:val="en-AU"/>
                          </w:rPr>
                          <w:br/>
                          <w:t xml:space="preserve">On 18 October 2010, the Australian Securities and Investments Commission (ASIC) released two consultation papers outlining proposals for guidance on independent experts' reports and governance and disclosure for related party transactions. </w:t>
                        </w:r>
                        <w:r w:rsidRPr="00A429FE">
                          <w:rPr>
                            <w:rFonts w:ascii="Times" w:hAnsi="Times" w:cs="Times New Roman"/>
                            <w:sz w:val="20"/>
                            <w:szCs w:val="20"/>
                            <w:lang w:val="en-AU"/>
                          </w:rPr>
                          <w:br/>
                        </w:r>
                        <w:r w:rsidRPr="00A429FE">
                          <w:rPr>
                            <w:rFonts w:ascii="Times" w:hAnsi="Times" w:cs="Times New Roman"/>
                            <w:sz w:val="20"/>
                            <w:szCs w:val="20"/>
                            <w:lang w:val="en-AU"/>
                          </w:rPr>
                          <w:br/>
                          <w:t xml:space="preserve">Over the past 12 months, ASIC reviewed the approach to related party arrangements of listed companies and registered managed investment schemes. Independent experts' reports in the context of related party dealings, and takeover and similar transactions were also examined. As a result, ASIC identified critical areas in which independent experts' reports and related party approval processes and disclosures can be improved. </w:t>
                        </w:r>
                        <w:r w:rsidRPr="00A429FE">
                          <w:rPr>
                            <w:rFonts w:ascii="Times" w:hAnsi="Times" w:cs="Times New Roman"/>
                            <w:sz w:val="20"/>
                            <w:szCs w:val="20"/>
                            <w:lang w:val="en-AU"/>
                          </w:rPr>
                          <w:br/>
                        </w:r>
                        <w:r w:rsidRPr="00A429FE">
                          <w:rPr>
                            <w:rFonts w:ascii="Times" w:hAnsi="Times" w:cs="Times New Roman"/>
                            <w:sz w:val="20"/>
                            <w:szCs w:val="20"/>
                            <w:lang w:val="en-AU"/>
                          </w:rPr>
                          <w:br/>
                          <w:t>The papers contain a number of proposals, reflecting ASIC's market analysis.</w:t>
                        </w:r>
                        <w:r w:rsidRPr="00A429FE">
                          <w:rPr>
                            <w:rFonts w:ascii="Times" w:hAnsi="Times" w:cs="Times New Roman"/>
                            <w:sz w:val="20"/>
                            <w:szCs w:val="20"/>
                            <w:lang w:val="en-AU"/>
                          </w:rPr>
                          <w:br/>
                        </w:r>
                        <w:r w:rsidRPr="00A429FE">
                          <w:rPr>
                            <w:rFonts w:ascii="Times" w:hAnsi="Times" w:cs="Times New Roman"/>
                            <w:sz w:val="20"/>
                            <w:szCs w:val="20"/>
                            <w:lang w:val="en-AU"/>
                          </w:rPr>
                          <w:br/>
                        </w:r>
                        <w:r w:rsidRPr="00A429FE">
                          <w:rPr>
                            <w:rFonts w:ascii="Times" w:hAnsi="Times" w:cs="Times New Roman"/>
                            <w:b/>
                            <w:bCs/>
                            <w:sz w:val="20"/>
                            <w:szCs w:val="20"/>
                            <w:lang w:val="en-AU"/>
                          </w:rPr>
                          <w:t>(a) Related party transactions</w:t>
                        </w:r>
                        <w:r w:rsidRPr="00A429FE">
                          <w:rPr>
                            <w:rFonts w:ascii="Times" w:hAnsi="Times" w:cs="Times New Roman"/>
                            <w:sz w:val="20"/>
                            <w:szCs w:val="20"/>
                            <w:lang w:val="en-AU"/>
                          </w:rPr>
                          <w:br/>
                        </w:r>
                        <w:r w:rsidRPr="00A429FE">
                          <w:rPr>
                            <w:rFonts w:ascii="Times" w:hAnsi="Times" w:cs="Times New Roman"/>
                            <w:sz w:val="20"/>
                            <w:szCs w:val="20"/>
                            <w:lang w:val="en-AU"/>
                          </w:rPr>
                          <w:br/>
                          <w:t xml:space="preserve">The proposals in CP 142 offer updated guidance for companies and registered managed investment schemes on whether an 'arm's length' exception applies when entering into transactions with related parties or whether members should have the opportunity to vote on these transactions. ASIC's reviews indicated some companies have relied on the exception even though there was uncertainty about whether it applied. ASIC encourages a broad review of all the circumstances of the transaction. </w:t>
                        </w:r>
                        <w:r w:rsidRPr="00A429FE">
                          <w:rPr>
                            <w:rFonts w:ascii="Times" w:hAnsi="Times" w:cs="Times New Roman"/>
                            <w:sz w:val="20"/>
                            <w:szCs w:val="20"/>
                            <w:lang w:val="en-AU"/>
                          </w:rPr>
                          <w:br/>
                        </w:r>
                        <w:r w:rsidRPr="00A429FE">
                          <w:rPr>
                            <w:rFonts w:ascii="Times" w:hAnsi="Times" w:cs="Times New Roman"/>
                            <w:sz w:val="20"/>
                            <w:szCs w:val="20"/>
                            <w:lang w:val="en-AU"/>
                          </w:rPr>
                          <w:br/>
                          <w:t>ASIC believes that details of all arrangements, whether or not a board has assessed them as 'arm's length', are material to investors and propose that they should be fully described in prospectuses, product disclosure statements and other materials sent to shareholders for approval, such as takeovers, schemes and significant transactions.</w:t>
                        </w:r>
                        <w:r w:rsidRPr="00A429FE">
                          <w:rPr>
                            <w:rFonts w:ascii="Times" w:hAnsi="Times" w:cs="Times New Roman"/>
                            <w:sz w:val="20"/>
                            <w:szCs w:val="20"/>
                            <w:lang w:val="en-AU"/>
                          </w:rPr>
                          <w:br/>
                        </w:r>
                        <w:r w:rsidRPr="00A429FE">
                          <w:rPr>
                            <w:rFonts w:ascii="Times" w:hAnsi="Times" w:cs="Times New Roman"/>
                            <w:sz w:val="20"/>
                            <w:szCs w:val="20"/>
                            <w:lang w:val="en-AU"/>
                          </w:rPr>
                          <w:br/>
                        </w:r>
                        <w:r w:rsidRPr="00A429FE">
                          <w:rPr>
                            <w:rFonts w:ascii="Times" w:hAnsi="Times" w:cs="Times New Roman"/>
                            <w:b/>
                            <w:bCs/>
                            <w:sz w:val="20"/>
                            <w:szCs w:val="20"/>
                            <w:lang w:val="en-AU"/>
                          </w:rPr>
                          <w:t>(b) Experts' reports</w:t>
                        </w:r>
                        <w:r w:rsidRPr="00A429FE">
                          <w:rPr>
                            <w:rFonts w:ascii="Times" w:hAnsi="Times" w:cs="Times New Roman"/>
                            <w:b/>
                            <w:bCs/>
                            <w:sz w:val="20"/>
                            <w:szCs w:val="20"/>
                            <w:lang w:val="en-AU"/>
                          </w:rPr>
                          <w:br/>
                        </w:r>
                        <w:r w:rsidRPr="00A429FE">
                          <w:rPr>
                            <w:rFonts w:ascii="Times" w:hAnsi="Times" w:cs="Times New Roman"/>
                            <w:sz w:val="20"/>
                            <w:szCs w:val="20"/>
                            <w:lang w:val="en-AU"/>
                          </w:rPr>
                          <w:br/>
                          <w:t xml:space="preserve">ASIC's reviews identified examples of experts relying on information without adequately explaining their valuation methodology. CP 143 proposes additional guidance on the requirement for an expert's report to be based on reasonable grounds. It includes discussion of the circumstances in which a discounted cash flow (DCF) valuation will be appropriate for start-up or potential development assets, where there is no certainty of cash flow in the future. </w:t>
                        </w:r>
                        <w:r w:rsidRPr="00A429FE">
                          <w:rPr>
                            <w:rFonts w:ascii="Times" w:hAnsi="Times" w:cs="Times New Roman"/>
                            <w:sz w:val="20"/>
                            <w:szCs w:val="20"/>
                            <w:lang w:val="en-AU"/>
                          </w:rPr>
                          <w:br/>
                        </w:r>
                        <w:r w:rsidRPr="00A429FE">
                          <w:rPr>
                            <w:rFonts w:ascii="Times" w:hAnsi="Times" w:cs="Times New Roman"/>
                            <w:sz w:val="20"/>
                            <w:szCs w:val="20"/>
                            <w:lang w:val="en-AU"/>
                          </w:rPr>
                          <w:br/>
                          <w:t xml:space="preserve">The consultation paper titled 'Related Party Transactions' is available on the </w:t>
                        </w:r>
                        <w:r w:rsidRPr="00A429FE">
                          <w:rPr>
                            <w:rFonts w:ascii="Times" w:hAnsi="Times" w:cs="Times New Roman"/>
                            <w:sz w:val="20"/>
                            <w:szCs w:val="20"/>
                            <w:lang w:val="en-AU"/>
                          </w:rPr>
                          <w:fldChar w:fldCharType="begin"/>
                        </w:r>
                        <w:r w:rsidRPr="00A429FE">
                          <w:rPr>
                            <w:rFonts w:ascii="Times" w:hAnsi="Times" w:cs="Times New Roman"/>
                            <w:sz w:val="20"/>
                            <w:szCs w:val="20"/>
                            <w:lang w:val="en-AU"/>
                          </w:rPr>
                          <w:instrText xml:space="preserve"> HYPERLINK "http://www.asic.gov.au/asic/pdflib.nsf/LookupByFileName/cp142.pdf/$file/cp142.pdf" \t "_new" </w:instrText>
                        </w:r>
                        <w:r w:rsidRPr="00A429FE">
                          <w:rPr>
                            <w:rFonts w:ascii="Times" w:hAnsi="Times" w:cs="Times New Roman"/>
                            <w:sz w:val="20"/>
                            <w:szCs w:val="20"/>
                            <w:lang w:val="en-AU"/>
                          </w:rPr>
                        </w:r>
                        <w:r w:rsidRPr="00A429FE">
                          <w:rPr>
                            <w:rFonts w:ascii="Times" w:hAnsi="Times" w:cs="Times New Roman"/>
                            <w:sz w:val="20"/>
                            <w:szCs w:val="20"/>
                            <w:lang w:val="en-AU"/>
                          </w:rPr>
                          <w:fldChar w:fldCharType="separate"/>
                        </w:r>
                        <w:r w:rsidRPr="00A429FE">
                          <w:rPr>
                            <w:rFonts w:ascii="Times" w:hAnsi="Times" w:cs="Times New Roman"/>
                            <w:color w:val="0000FF"/>
                            <w:sz w:val="20"/>
                            <w:szCs w:val="20"/>
                            <w:u w:val="single"/>
                            <w:lang w:val="en-AU"/>
                          </w:rPr>
                          <w:t>ASIC</w:t>
                        </w:r>
                        <w:r w:rsidRPr="00A429FE">
                          <w:rPr>
                            <w:rFonts w:ascii="Times" w:hAnsi="Times" w:cs="Times New Roman"/>
                            <w:sz w:val="20"/>
                            <w:szCs w:val="20"/>
                            <w:lang w:val="en-AU"/>
                          </w:rPr>
                          <w:fldChar w:fldCharType="end"/>
                        </w:r>
                        <w:r w:rsidRPr="00A429FE">
                          <w:rPr>
                            <w:rFonts w:ascii="Times" w:hAnsi="Times" w:cs="Times New Roman"/>
                            <w:sz w:val="20"/>
                            <w:szCs w:val="20"/>
                            <w:lang w:val="en-AU"/>
                          </w:rPr>
                          <w:t xml:space="preserve"> website.</w:t>
                        </w:r>
                      </w:p>
                      <w:p w:rsidR="00A429FE" w:rsidRPr="00A429FE" w:rsidRDefault="00A429FE" w:rsidP="00A429FE">
                        <w:pPr>
                          <w:spacing w:before="100" w:beforeAutospacing="1" w:after="100" w:afterAutospacing="1"/>
                          <w:rPr>
                            <w:rFonts w:ascii="Times" w:hAnsi="Times" w:cs="Times New Roman"/>
                            <w:sz w:val="20"/>
                            <w:szCs w:val="20"/>
                            <w:lang w:val="en-AU"/>
                          </w:rPr>
                        </w:pPr>
                        <w:r w:rsidRPr="00A429FE">
                          <w:rPr>
                            <w:rFonts w:ascii="Times" w:hAnsi="Times" w:cs="Times New Roman"/>
                            <w:sz w:val="20"/>
                            <w:szCs w:val="20"/>
                            <w:lang w:val="en-AU"/>
                          </w:rPr>
                          <w:t xml:space="preserve">The consultation paper titled 'Expert Reports and Independence of Experts: Updates to RG 111: Content of Expert Reports and RG 112: Independence of Experts' is available on the </w:t>
                        </w:r>
                        <w:r w:rsidRPr="00A429FE">
                          <w:rPr>
                            <w:rFonts w:ascii="Times" w:hAnsi="Times" w:cs="Times New Roman"/>
                            <w:sz w:val="20"/>
                            <w:szCs w:val="20"/>
                            <w:lang w:val="en-AU"/>
                          </w:rPr>
                          <w:fldChar w:fldCharType="begin"/>
                        </w:r>
                        <w:r w:rsidRPr="00A429FE">
                          <w:rPr>
                            <w:rFonts w:ascii="Times" w:hAnsi="Times" w:cs="Times New Roman"/>
                            <w:sz w:val="20"/>
                            <w:szCs w:val="20"/>
                            <w:lang w:val="en-AU"/>
                          </w:rPr>
                          <w:instrText xml:space="preserve"> HYPERLINK "http://www.asic.gov.au/asic/pdflib.nsf/LookupByFileName/cp143.pdf/$file/cp143.pdf" \t "_new" </w:instrText>
                        </w:r>
                        <w:r w:rsidRPr="00A429FE">
                          <w:rPr>
                            <w:rFonts w:ascii="Times" w:hAnsi="Times" w:cs="Times New Roman"/>
                            <w:sz w:val="20"/>
                            <w:szCs w:val="20"/>
                            <w:lang w:val="en-AU"/>
                          </w:rPr>
                        </w:r>
                        <w:r w:rsidRPr="00A429FE">
                          <w:rPr>
                            <w:rFonts w:ascii="Times" w:hAnsi="Times" w:cs="Times New Roman"/>
                            <w:sz w:val="20"/>
                            <w:szCs w:val="20"/>
                            <w:lang w:val="en-AU"/>
                          </w:rPr>
                          <w:fldChar w:fldCharType="separate"/>
                        </w:r>
                        <w:r w:rsidRPr="00A429FE">
                          <w:rPr>
                            <w:rFonts w:ascii="Times" w:hAnsi="Times" w:cs="Times New Roman"/>
                            <w:color w:val="0000FF"/>
                            <w:sz w:val="20"/>
                            <w:szCs w:val="20"/>
                            <w:u w:val="single"/>
                            <w:lang w:val="en-AU"/>
                          </w:rPr>
                          <w:t>ASIC</w:t>
                        </w:r>
                        <w:r w:rsidRPr="00A429FE">
                          <w:rPr>
                            <w:rFonts w:ascii="Times" w:hAnsi="Times" w:cs="Times New Roman"/>
                            <w:sz w:val="20"/>
                            <w:szCs w:val="20"/>
                            <w:lang w:val="en-AU"/>
                          </w:rPr>
                          <w:fldChar w:fldCharType="end"/>
                        </w:r>
                        <w:r w:rsidRPr="00A429FE">
                          <w:rPr>
                            <w:rFonts w:ascii="Times" w:hAnsi="Times" w:cs="Times New Roman"/>
                            <w:sz w:val="20"/>
                            <w:szCs w:val="20"/>
                            <w:lang w:val="en-AU"/>
                          </w:rPr>
                          <w:t xml:space="preserve"> website.</w:t>
                        </w:r>
                      </w:p>
                      <w:p w:rsidR="00A429FE" w:rsidRPr="00A429FE" w:rsidRDefault="00A429FE" w:rsidP="00A429F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7099" name="Picture 17099" descr="etailed Contents">
                                <a:hlinkClick xmlns:a="http://schemas.openxmlformats.org/drawingml/2006/main" r:id="rId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99" descr="etailed Contents">
                                        <a:hlinkClick r:id="rId96"/>
                                      </pic:cNvPr>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A429FE" w:rsidRPr="00A429FE" w:rsidRDefault="00A429FE" w:rsidP="00A429FE">
                        <w:pPr>
                          <w:rPr>
                            <w:rFonts w:ascii="Times" w:eastAsia="Times New Roman" w:hAnsi="Times" w:cs="Times New Roman"/>
                            <w:sz w:val="20"/>
                            <w:szCs w:val="20"/>
                            <w:lang w:val="en-AU"/>
                          </w:rPr>
                        </w:pPr>
                        <w:r w:rsidRPr="00A429FE">
                          <w:rPr>
                            <w:rFonts w:ascii="Times" w:eastAsia="Times New Roman" w:hAnsi="Times" w:cs="Times New Roman"/>
                            <w:sz w:val="20"/>
                            <w:szCs w:val="20"/>
                            <w:lang w:val="en-AU"/>
                          </w:rPr>
                          <w:pict>
                            <v:rect id="_x0000_i18124" style="width:0;height:1.5pt" o:hralign="center" o:hrstd="t" o:hr="t" fillcolor="#aaa" stroked="f"/>
                          </w:pict>
                        </w:r>
                      </w:p>
                      <w:p w:rsidR="00A429FE" w:rsidRPr="00A429FE" w:rsidRDefault="00A429FE" w:rsidP="00A429FE">
                        <w:pPr>
                          <w:spacing w:before="100" w:beforeAutospacing="1" w:after="100" w:afterAutospacing="1"/>
                          <w:rPr>
                            <w:rFonts w:ascii="Times" w:hAnsi="Times" w:cs="Times New Roman"/>
                            <w:sz w:val="20"/>
                            <w:szCs w:val="20"/>
                            <w:lang w:val="en-AU"/>
                          </w:rPr>
                        </w:pPr>
                        <w:bookmarkStart w:id="40" w:name="022"/>
                        <w:bookmarkEnd w:id="40"/>
                        <w:r w:rsidRPr="00A429FE">
                          <w:rPr>
                            <w:rFonts w:ascii="Times" w:hAnsi="Times" w:cs="Times New Roman"/>
                            <w:b/>
                            <w:bCs/>
                            <w:sz w:val="20"/>
                            <w:szCs w:val="20"/>
                            <w:lang w:val="en-AU"/>
                          </w:rPr>
                          <w:t>2.2 Preventing insolvent trading: new ASIC report</w:t>
                        </w:r>
                        <w:r w:rsidRPr="00A429FE">
                          <w:rPr>
                            <w:rFonts w:ascii="Times" w:hAnsi="Times" w:cs="Times New Roman"/>
                            <w:b/>
                            <w:bCs/>
                            <w:sz w:val="20"/>
                            <w:szCs w:val="20"/>
                            <w:lang w:val="en-AU"/>
                          </w:rPr>
                          <w:br/>
                        </w:r>
                        <w:r w:rsidRPr="00A429FE">
                          <w:rPr>
                            <w:rFonts w:ascii="Times" w:hAnsi="Times" w:cs="Times New Roman"/>
                            <w:sz w:val="20"/>
                            <w:szCs w:val="20"/>
                            <w:lang w:val="en-AU"/>
                          </w:rPr>
                          <w:br/>
                          <w:t xml:space="preserve">On 18 October 2010, the Australian Securities and Investments Commission (ASIC) released a report that sets out the key messages and outcomes of its national insolvent trading program (NITP). </w:t>
                        </w:r>
                        <w:r w:rsidRPr="00A429FE">
                          <w:rPr>
                            <w:rFonts w:ascii="Times" w:hAnsi="Times" w:cs="Times New Roman"/>
                            <w:sz w:val="20"/>
                            <w:szCs w:val="20"/>
                            <w:lang w:val="en-AU"/>
                          </w:rPr>
                          <w:br/>
                        </w:r>
                        <w:r w:rsidRPr="00A429FE">
                          <w:rPr>
                            <w:rFonts w:ascii="Times" w:hAnsi="Times" w:cs="Times New Roman"/>
                            <w:sz w:val="20"/>
                            <w:szCs w:val="20"/>
                            <w:lang w:val="en-AU"/>
                          </w:rPr>
                          <w:br/>
                          <w:t xml:space="preserve">The report titled 'National Insolvent Trading Program Report' (REP 213) will be beneficial to directors of companies, company advisers (including accountants and lawyers) and other interested stakeholders to assist them in understanding and complying with their duty under the </w:t>
                        </w:r>
                        <w:r w:rsidRPr="00A429FE">
                          <w:rPr>
                            <w:rFonts w:ascii="Times" w:hAnsi="Times" w:cs="Times New Roman"/>
                            <w:sz w:val="20"/>
                            <w:szCs w:val="20"/>
                            <w:lang w:val="en-AU"/>
                          </w:rPr>
                          <w:fldChar w:fldCharType="begin"/>
                        </w:r>
                        <w:r w:rsidRPr="00A429FE">
                          <w:rPr>
                            <w:rFonts w:ascii="Times" w:hAnsi="Times" w:cs="Times New Roman"/>
                            <w:sz w:val="20"/>
                            <w:szCs w:val="20"/>
                            <w:lang w:val="en-AU"/>
                          </w:rPr>
                          <w:instrText xml:space="preserve"> HYPERLINK "http://my.lawlex.com.au/index.asp?pact=coredoc&amp;nav=col&amp;cid=56482" \t "Default" </w:instrText>
                        </w:r>
                        <w:r w:rsidRPr="00A429FE">
                          <w:rPr>
                            <w:rFonts w:ascii="Times" w:hAnsi="Times" w:cs="Times New Roman"/>
                            <w:sz w:val="20"/>
                            <w:szCs w:val="20"/>
                            <w:lang w:val="en-AU"/>
                          </w:rPr>
                        </w:r>
                        <w:r w:rsidRPr="00A429FE">
                          <w:rPr>
                            <w:rFonts w:ascii="Times" w:hAnsi="Times" w:cs="Times New Roman"/>
                            <w:sz w:val="20"/>
                            <w:szCs w:val="20"/>
                            <w:lang w:val="en-AU"/>
                          </w:rPr>
                          <w:fldChar w:fldCharType="separate"/>
                        </w:r>
                        <w:r w:rsidRPr="00A429FE">
                          <w:rPr>
                            <w:rFonts w:ascii="Times" w:hAnsi="Times" w:cs="Times New Roman"/>
                            <w:color w:val="0000FF"/>
                            <w:sz w:val="20"/>
                            <w:szCs w:val="20"/>
                            <w:u w:val="single"/>
                            <w:lang w:val="en-AU"/>
                          </w:rPr>
                          <w:t>Corporations Act 2001</w:t>
                        </w:r>
                        <w:r w:rsidRPr="00A429FE">
                          <w:rPr>
                            <w:rFonts w:ascii="Times" w:hAnsi="Times" w:cs="Times New Roman"/>
                            <w:sz w:val="20"/>
                            <w:szCs w:val="20"/>
                            <w:lang w:val="en-AU"/>
                          </w:rPr>
                          <w:fldChar w:fldCharType="end"/>
                        </w:r>
                        <w:r w:rsidRPr="00A429FE">
                          <w:rPr>
                            <w:rFonts w:ascii="Times" w:hAnsi="Times" w:cs="Times New Roman"/>
                            <w:sz w:val="20"/>
                            <w:szCs w:val="20"/>
                            <w:lang w:val="en-AU"/>
                          </w:rPr>
                          <w:t xml:space="preserve"> (Corporations Act) to prevent insolvent trading. </w:t>
                        </w:r>
                        <w:r w:rsidRPr="00A429FE">
                          <w:rPr>
                            <w:rFonts w:ascii="Times" w:hAnsi="Times" w:cs="Times New Roman"/>
                            <w:sz w:val="20"/>
                            <w:szCs w:val="20"/>
                            <w:lang w:val="en-AU"/>
                          </w:rPr>
                          <w:br/>
                        </w:r>
                        <w:r w:rsidRPr="00A429FE">
                          <w:rPr>
                            <w:rFonts w:ascii="Times" w:hAnsi="Times" w:cs="Times New Roman"/>
                            <w:sz w:val="20"/>
                            <w:szCs w:val="20"/>
                            <w:lang w:val="en-AU"/>
                          </w:rPr>
                          <w:br/>
                          <w:t xml:space="preserve">The NITP was aligned with ASIC's oversight responsibility in monitoring compliance and conduct by company officers in relation to their obligations and behaviour where corporate failure occurs. The program focused on companies which were in financial distress or nearing insolvency. Through on site visits, the program encouraged directors to seek professional advice at an early stage to address solvency issues. During the period 2006 to 2010, ASIC visited over 1,530 companies displaying solvency concerns. As a result, directors have an increased awareness of their duties. </w:t>
                        </w:r>
                        <w:r w:rsidRPr="00A429FE">
                          <w:rPr>
                            <w:rFonts w:ascii="Times" w:hAnsi="Times" w:cs="Times New Roman"/>
                            <w:sz w:val="20"/>
                            <w:szCs w:val="20"/>
                            <w:lang w:val="en-AU"/>
                          </w:rPr>
                          <w:br/>
                        </w:r>
                        <w:r w:rsidRPr="00A429FE">
                          <w:rPr>
                            <w:rFonts w:ascii="Times" w:hAnsi="Times" w:cs="Times New Roman"/>
                            <w:sz w:val="20"/>
                            <w:szCs w:val="20"/>
                            <w:lang w:val="en-AU"/>
                          </w:rPr>
                          <w:br/>
                          <w:t xml:space="preserve">There are four key messages from the NITP that directors should take into account in carrying out their role. </w:t>
                        </w:r>
                      </w:p>
                      <w:p w:rsidR="00A429FE" w:rsidRPr="00A429FE" w:rsidRDefault="00A429FE" w:rsidP="00A429FE">
                        <w:pPr>
                          <w:spacing w:before="100" w:beforeAutospacing="1" w:after="100" w:afterAutospacing="1"/>
                          <w:rPr>
                            <w:rFonts w:ascii="Times" w:hAnsi="Times" w:cs="Times New Roman"/>
                            <w:sz w:val="20"/>
                            <w:szCs w:val="20"/>
                            <w:lang w:val="en-AU"/>
                          </w:rPr>
                        </w:pPr>
                        <w:r w:rsidRPr="00A429FE">
                          <w:rPr>
                            <w:rFonts w:ascii="Times" w:hAnsi="Times" w:cs="Times New Roman"/>
                            <w:sz w:val="20"/>
                            <w:szCs w:val="20"/>
                            <w:lang w:val="en-AU"/>
                          </w:rPr>
                          <w:t>Directors must:</w:t>
                        </w:r>
                      </w:p>
                      <w:p w:rsidR="00A429FE" w:rsidRPr="00A429FE" w:rsidRDefault="00A429FE" w:rsidP="00A429FE">
                        <w:pPr>
                          <w:tabs>
                            <w:tab w:val="num" w:pos="720"/>
                          </w:tabs>
                          <w:spacing w:before="100" w:beforeAutospacing="1" w:after="100" w:afterAutospacing="1"/>
                          <w:ind w:left="720" w:hanging="360"/>
                          <w:rPr>
                            <w:rFonts w:ascii="Times" w:eastAsia="Times New Roman" w:hAnsi="Times" w:cs="Times New Roman"/>
                            <w:sz w:val="20"/>
                            <w:szCs w:val="20"/>
                            <w:lang w:val="en-AU"/>
                          </w:rPr>
                        </w:pPr>
                        <w:r w:rsidRPr="00A429FE">
                          <w:rPr>
                            <w:rFonts w:ascii="Times" w:eastAsia="Times New Roman" w:hAnsi="Times" w:cs="Times New Roman"/>
                            <w:sz w:val="20"/>
                            <w:szCs w:val="20"/>
                            <w:lang w:val="en-AU"/>
                          </w:rPr>
                          <w:t xml:space="preserve">maintain appropriate books and records; </w:t>
                        </w:r>
                      </w:p>
                      <w:p w:rsidR="00A429FE" w:rsidRPr="00A429FE" w:rsidRDefault="00A429FE" w:rsidP="00A429FE">
                        <w:pPr>
                          <w:tabs>
                            <w:tab w:val="num" w:pos="720"/>
                          </w:tabs>
                          <w:spacing w:before="100" w:beforeAutospacing="1" w:after="100" w:afterAutospacing="1"/>
                          <w:ind w:left="720" w:hanging="360"/>
                          <w:rPr>
                            <w:rFonts w:ascii="Times" w:eastAsia="Times New Roman" w:hAnsi="Times" w:cs="Times New Roman"/>
                            <w:sz w:val="20"/>
                            <w:szCs w:val="20"/>
                            <w:lang w:val="en-AU"/>
                          </w:rPr>
                        </w:pPr>
                        <w:r w:rsidRPr="00A429FE">
                          <w:rPr>
                            <w:rFonts w:ascii="Times" w:eastAsia="Times New Roman" w:hAnsi="Times" w:cs="Times New Roman"/>
                            <w:sz w:val="20"/>
                            <w:szCs w:val="20"/>
                            <w:lang w:val="en-AU"/>
                          </w:rPr>
                          <w:t xml:space="preserve">identify insolvency concerns and assess available options; </w:t>
                        </w:r>
                      </w:p>
                      <w:p w:rsidR="00A429FE" w:rsidRPr="00A429FE" w:rsidRDefault="00A429FE" w:rsidP="00A429FE">
                        <w:pPr>
                          <w:tabs>
                            <w:tab w:val="num" w:pos="720"/>
                          </w:tabs>
                          <w:spacing w:before="100" w:beforeAutospacing="1" w:after="100" w:afterAutospacing="1"/>
                          <w:ind w:left="720" w:hanging="360"/>
                          <w:rPr>
                            <w:rFonts w:ascii="Times" w:eastAsia="Times New Roman" w:hAnsi="Times" w:cs="Times New Roman"/>
                            <w:sz w:val="20"/>
                            <w:szCs w:val="20"/>
                            <w:lang w:val="en-AU"/>
                          </w:rPr>
                        </w:pPr>
                        <w:r w:rsidRPr="00A429FE">
                          <w:rPr>
                            <w:rFonts w:ascii="Times" w:eastAsia="Times New Roman" w:hAnsi="Times" w:cs="Times New Roman"/>
                            <w:sz w:val="20"/>
                            <w:szCs w:val="20"/>
                            <w:lang w:val="en-AU"/>
                          </w:rPr>
                          <w:t xml:space="preserve">seek professional advice; and </w:t>
                        </w:r>
                      </w:p>
                      <w:p w:rsidR="00A429FE" w:rsidRPr="00A429FE" w:rsidRDefault="00A429FE" w:rsidP="00A429FE">
                        <w:pPr>
                          <w:tabs>
                            <w:tab w:val="num" w:pos="720"/>
                          </w:tabs>
                          <w:spacing w:before="100" w:beforeAutospacing="1" w:after="100" w:afterAutospacing="1"/>
                          <w:ind w:left="720" w:hanging="360"/>
                          <w:rPr>
                            <w:rFonts w:ascii="Times" w:eastAsia="Times New Roman" w:hAnsi="Times" w:cs="Times New Roman"/>
                            <w:sz w:val="20"/>
                            <w:szCs w:val="20"/>
                            <w:lang w:val="en-AU"/>
                          </w:rPr>
                        </w:pPr>
                        <w:r w:rsidRPr="00A429FE">
                          <w:rPr>
                            <w:rFonts w:ascii="Times" w:eastAsia="Times New Roman" w:hAnsi="Times" w:cs="Times New Roman"/>
                            <w:sz w:val="20"/>
                            <w:szCs w:val="20"/>
                            <w:lang w:val="en-AU"/>
                          </w:rPr>
                          <w:t xml:space="preserve">act in a timely manner. </w:t>
                        </w:r>
                      </w:p>
                      <w:p w:rsidR="00A429FE" w:rsidRPr="00A429FE" w:rsidRDefault="00A429FE" w:rsidP="00A429FE">
                        <w:pPr>
                          <w:spacing w:before="100" w:beforeAutospacing="1" w:after="100" w:afterAutospacing="1"/>
                          <w:rPr>
                            <w:rFonts w:ascii="Times" w:hAnsi="Times" w:cs="Times New Roman"/>
                            <w:sz w:val="20"/>
                            <w:szCs w:val="20"/>
                            <w:lang w:val="en-AU"/>
                          </w:rPr>
                        </w:pPr>
                        <w:r w:rsidRPr="00A429FE">
                          <w:rPr>
                            <w:rFonts w:ascii="Times" w:hAnsi="Times" w:cs="Times New Roman"/>
                            <w:sz w:val="20"/>
                            <w:szCs w:val="20"/>
                            <w:lang w:val="en-AU"/>
                          </w:rPr>
                          <w:t>ASIC has previously released Regulatory Guide 217 'Duty to Prevent Insolvent Trading: Guide for Directors' (RG 217), which sets out key principles which ASIC considers directors should follow to meet their obligation to prevent insolvent trading. The development of RG 217 was assisted via the outcomes and observations of the NITP.</w:t>
                        </w:r>
                        <w:r w:rsidRPr="00A429FE">
                          <w:rPr>
                            <w:rFonts w:ascii="Times" w:hAnsi="Times" w:cs="Times New Roman"/>
                            <w:sz w:val="20"/>
                            <w:szCs w:val="20"/>
                            <w:lang w:val="en-AU"/>
                          </w:rPr>
                          <w:br/>
                        </w:r>
                        <w:r w:rsidRPr="00A429FE">
                          <w:rPr>
                            <w:rFonts w:ascii="Times" w:hAnsi="Times" w:cs="Times New Roman"/>
                            <w:sz w:val="20"/>
                            <w:szCs w:val="20"/>
                            <w:lang w:val="en-AU"/>
                          </w:rPr>
                          <w:br/>
                          <w:t xml:space="preserve">Key indicators of insolvency include, but are not limited to, ongoing trading losses, cash flow difficulties, outstanding trade creditors and the inability to obtain further finance. </w:t>
                        </w:r>
                        <w:r w:rsidRPr="00A429FE">
                          <w:rPr>
                            <w:rFonts w:ascii="Times" w:hAnsi="Times" w:cs="Times New Roman"/>
                            <w:sz w:val="20"/>
                            <w:szCs w:val="20"/>
                            <w:lang w:val="en-AU"/>
                          </w:rPr>
                          <w:br/>
                        </w:r>
                        <w:r w:rsidRPr="00A429FE">
                          <w:rPr>
                            <w:rFonts w:ascii="Times" w:hAnsi="Times" w:cs="Times New Roman"/>
                            <w:sz w:val="20"/>
                            <w:szCs w:val="20"/>
                            <w:lang w:val="en-AU"/>
                          </w:rPr>
                          <w:br/>
                          <w:t>ASIC's forward plan for Insolvency Practitioners and Liquidators will focus on the conduct of liquidators and insolvency practices, particularly in relation to independence and remuneration. ASIC will however continue to review companies displaying significant insolvency indicators and encourage directors to seek appropriate advice early.</w:t>
                        </w:r>
                        <w:r w:rsidRPr="00A429FE">
                          <w:rPr>
                            <w:rFonts w:ascii="Times" w:hAnsi="Times" w:cs="Times New Roman"/>
                            <w:sz w:val="20"/>
                            <w:szCs w:val="20"/>
                            <w:lang w:val="en-AU"/>
                          </w:rPr>
                          <w:br/>
                        </w:r>
                        <w:r w:rsidRPr="00A429FE">
                          <w:rPr>
                            <w:rFonts w:ascii="Times" w:hAnsi="Times" w:cs="Times New Roman"/>
                            <w:sz w:val="20"/>
                            <w:szCs w:val="20"/>
                            <w:lang w:val="en-AU"/>
                          </w:rPr>
                          <w:br/>
                        </w:r>
                        <w:r w:rsidRPr="00A429FE">
                          <w:rPr>
                            <w:rFonts w:ascii="Times" w:hAnsi="Times" w:cs="Times New Roman"/>
                            <w:b/>
                            <w:bCs/>
                            <w:sz w:val="20"/>
                            <w:szCs w:val="20"/>
                            <w:lang w:val="en-AU"/>
                          </w:rPr>
                          <w:t>Background</w:t>
                        </w:r>
                        <w:r w:rsidRPr="00A429FE">
                          <w:rPr>
                            <w:rFonts w:ascii="Times" w:hAnsi="Times" w:cs="Times New Roman"/>
                            <w:sz w:val="20"/>
                            <w:szCs w:val="20"/>
                            <w:lang w:val="en-AU"/>
                          </w:rPr>
                          <w:br/>
                        </w:r>
                        <w:r w:rsidRPr="00A429FE">
                          <w:rPr>
                            <w:rFonts w:ascii="Times" w:hAnsi="Times" w:cs="Times New Roman"/>
                            <w:sz w:val="20"/>
                            <w:szCs w:val="20"/>
                            <w:lang w:val="en-AU"/>
                          </w:rPr>
                          <w:br/>
                          <w:t>RG 217 also details factors which ASIC will consider when deciding to bring proceedings against a director for allowing a company to trade while insolvent (including criminal proceedings and proceedings to recover comprehension for loss resulting from insolvent trading).</w:t>
                        </w:r>
                        <w:r w:rsidRPr="00A429FE">
                          <w:rPr>
                            <w:rFonts w:ascii="Times" w:hAnsi="Times" w:cs="Times New Roman"/>
                            <w:sz w:val="20"/>
                            <w:szCs w:val="20"/>
                            <w:lang w:val="en-AU"/>
                          </w:rPr>
                          <w:br/>
                        </w:r>
                        <w:r w:rsidRPr="00A429FE">
                          <w:rPr>
                            <w:rFonts w:ascii="Times" w:hAnsi="Times" w:cs="Times New Roman"/>
                            <w:sz w:val="20"/>
                            <w:szCs w:val="20"/>
                            <w:lang w:val="en-AU"/>
                          </w:rPr>
                          <w:br/>
                          <w:t>The Corporations Act imposes on directors a positive duty to prevent insolvent trading: see section 588G.</w:t>
                        </w:r>
                        <w:r w:rsidRPr="00A429FE">
                          <w:rPr>
                            <w:rFonts w:ascii="Times" w:hAnsi="Times" w:cs="Times New Roman"/>
                            <w:sz w:val="20"/>
                            <w:szCs w:val="20"/>
                            <w:lang w:val="en-AU"/>
                          </w:rPr>
                          <w:br/>
                          <w:t> </w:t>
                        </w:r>
                        <w:r w:rsidRPr="00A429FE">
                          <w:rPr>
                            <w:rFonts w:ascii="Times" w:hAnsi="Times" w:cs="Times New Roman"/>
                            <w:sz w:val="20"/>
                            <w:szCs w:val="20"/>
                            <w:lang w:val="en-AU"/>
                          </w:rPr>
                          <w:br/>
                          <w:t xml:space="preserve">The report is available on the </w:t>
                        </w:r>
                        <w:r w:rsidRPr="00A429FE">
                          <w:rPr>
                            <w:rFonts w:ascii="Times" w:hAnsi="Times" w:cs="Times New Roman"/>
                            <w:sz w:val="20"/>
                            <w:szCs w:val="20"/>
                            <w:lang w:val="en-AU"/>
                          </w:rPr>
                          <w:fldChar w:fldCharType="begin"/>
                        </w:r>
                        <w:r w:rsidRPr="00A429FE">
                          <w:rPr>
                            <w:rFonts w:ascii="Times" w:hAnsi="Times" w:cs="Times New Roman"/>
                            <w:sz w:val="20"/>
                            <w:szCs w:val="20"/>
                            <w:lang w:val="en-AU"/>
                          </w:rPr>
                          <w:instrText xml:space="preserve"> HYPERLINK "http://www.asic.gov.au/asic/pdflib.nsf/LookupByFileName/rep213.pdf/$file/rep213.pdf" \t "_new" </w:instrText>
                        </w:r>
                        <w:r w:rsidRPr="00A429FE">
                          <w:rPr>
                            <w:rFonts w:ascii="Times" w:hAnsi="Times" w:cs="Times New Roman"/>
                            <w:sz w:val="20"/>
                            <w:szCs w:val="20"/>
                            <w:lang w:val="en-AU"/>
                          </w:rPr>
                        </w:r>
                        <w:r w:rsidRPr="00A429FE">
                          <w:rPr>
                            <w:rFonts w:ascii="Times" w:hAnsi="Times" w:cs="Times New Roman"/>
                            <w:sz w:val="20"/>
                            <w:szCs w:val="20"/>
                            <w:lang w:val="en-AU"/>
                          </w:rPr>
                          <w:fldChar w:fldCharType="separate"/>
                        </w:r>
                        <w:r w:rsidRPr="00A429FE">
                          <w:rPr>
                            <w:rFonts w:ascii="Times" w:hAnsi="Times" w:cs="Times New Roman"/>
                            <w:color w:val="0000FF"/>
                            <w:sz w:val="20"/>
                            <w:szCs w:val="20"/>
                            <w:u w:val="single"/>
                            <w:lang w:val="en-AU"/>
                          </w:rPr>
                          <w:t>ASIC</w:t>
                        </w:r>
                        <w:r w:rsidRPr="00A429FE">
                          <w:rPr>
                            <w:rFonts w:ascii="Times" w:hAnsi="Times" w:cs="Times New Roman"/>
                            <w:sz w:val="20"/>
                            <w:szCs w:val="20"/>
                            <w:lang w:val="en-AU"/>
                          </w:rPr>
                          <w:fldChar w:fldCharType="end"/>
                        </w:r>
                        <w:r w:rsidRPr="00A429FE">
                          <w:rPr>
                            <w:rFonts w:ascii="Times" w:hAnsi="Times" w:cs="Times New Roman"/>
                            <w:sz w:val="20"/>
                            <w:szCs w:val="20"/>
                            <w:lang w:val="en-AU"/>
                          </w:rPr>
                          <w:t xml:space="preserve"> website.</w:t>
                        </w:r>
                      </w:p>
                      <w:p w:rsidR="00A429FE" w:rsidRPr="00A429FE" w:rsidRDefault="00A429FE" w:rsidP="00A429F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7101" name="Picture 17101" descr="etailed Contents">
                                <a:hlinkClick xmlns:a="http://schemas.openxmlformats.org/drawingml/2006/main" r:id="rId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01" descr="etailed Contents">
                                        <a:hlinkClick r:id="rId96"/>
                                      </pic:cNvPr>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A429FE" w:rsidRPr="00A429FE" w:rsidRDefault="00A429FE" w:rsidP="00A429FE">
                        <w:pPr>
                          <w:rPr>
                            <w:rFonts w:ascii="Times" w:eastAsia="Times New Roman" w:hAnsi="Times" w:cs="Times New Roman"/>
                            <w:sz w:val="20"/>
                            <w:szCs w:val="20"/>
                            <w:lang w:val="en-AU"/>
                          </w:rPr>
                        </w:pPr>
                        <w:r w:rsidRPr="00A429FE">
                          <w:rPr>
                            <w:rFonts w:ascii="Times" w:eastAsia="Times New Roman" w:hAnsi="Times" w:cs="Times New Roman"/>
                            <w:sz w:val="20"/>
                            <w:szCs w:val="20"/>
                            <w:lang w:val="en-AU"/>
                          </w:rPr>
                          <w:pict>
                            <v:rect id="_x0000_i18126" style="width:0;height:1.5pt" o:hralign="center" o:hrstd="t" o:hr="t" fillcolor="#aaa" stroked="f"/>
                          </w:pict>
                        </w:r>
                      </w:p>
                      <w:p w:rsidR="00A429FE" w:rsidRPr="00A429FE" w:rsidRDefault="00A429FE" w:rsidP="00A429FE">
                        <w:pPr>
                          <w:spacing w:before="100" w:beforeAutospacing="1" w:after="100" w:afterAutospacing="1"/>
                          <w:rPr>
                            <w:rFonts w:ascii="Times" w:hAnsi="Times" w:cs="Times New Roman"/>
                            <w:sz w:val="20"/>
                            <w:szCs w:val="20"/>
                            <w:lang w:val="en-AU"/>
                          </w:rPr>
                        </w:pPr>
                        <w:bookmarkStart w:id="41" w:name="023"/>
                        <w:bookmarkEnd w:id="41"/>
                        <w:r w:rsidRPr="00A429FE">
                          <w:rPr>
                            <w:rFonts w:ascii="Times" w:hAnsi="Times" w:cs="Times New Roman"/>
                            <w:b/>
                            <w:bCs/>
                            <w:sz w:val="20"/>
                            <w:szCs w:val="20"/>
                            <w:lang w:val="en-AU"/>
                          </w:rPr>
                          <w:t>2.3 ASIC releases proposals to strengthen disclosure by unlisted mortgage schemes</w:t>
                        </w:r>
                        <w:r w:rsidRPr="00A429FE">
                          <w:rPr>
                            <w:rFonts w:ascii="Times" w:hAnsi="Times" w:cs="Times New Roman"/>
                            <w:b/>
                            <w:bCs/>
                            <w:sz w:val="20"/>
                            <w:szCs w:val="20"/>
                            <w:lang w:val="en-AU"/>
                          </w:rPr>
                          <w:br/>
                        </w:r>
                        <w:r w:rsidRPr="00A429FE">
                          <w:rPr>
                            <w:rFonts w:ascii="Times" w:hAnsi="Times" w:cs="Times New Roman"/>
                            <w:sz w:val="20"/>
                            <w:szCs w:val="20"/>
                            <w:lang w:val="en-AU"/>
                          </w:rPr>
                          <w:br/>
                          <w:t>On 6 October 2010, the Australian Securities and Investments Commission (ASIC) released a consultation paper outlining proposals to further improve disclosure for retail investors considering investing in unlisted mortgage schemes.</w:t>
                        </w:r>
                        <w:r w:rsidRPr="00A429FE">
                          <w:rPr>
                            <w:rFonts w:ascii="Times" w:hAnsi="Times" w:cs="Times New Roman"/>
                            <w:sz w:val="20"/>
                            <w:szCs w:val="20"/>
                            <w:lang w:val="en-AU"/>
                          </w:rPr>
                          <w:br/>
                        </w:r>
                        <w:r w:rsidRPr="00A429FE">
                          <w:rPr>
                            <w:rFonts w:ascii="Times" w:hAnsi="Times" w:cs="Times New Roman"/>
                            <w:sz w:val="20"/>
                            <w:szCs w:val="20"/>
                            <w:lang w:val="en-AU"/>
                          </w:rPr>
                          <w:br/>
                          <w:t xml:space="preserve">Consultation Paper 141 'Mortgage schemes: Strengthening the disclosure benchmarks' (CP 141) aims to build on the benchmark-based disclosure model for unlisted mortgage schemes, as outlined in ASIC's Regulatory Guide 45 'Mortgage schemes - improving disclosure for retail investors' (RG 45). The proposals in CP 141 reinforce ASIC's focus on protecting retail investors through the promotion of better disclosure. </w:t>
                        </w:r>
                        <w:r w:rsidRPr="00A429FE">
                          <w:rPr>
                            <w:rFonts w:ascii="Times" w:hAnsi="Times" w:cs="Times New Roman"/>
                            <w:sz w:val="20"/>
                            <w:szCs w:val="20"/>
                            <w:lang w:val="en-AU"/>
                          </w:rPr>
                          <w:br/>
                        </w:r>
                        <w:r w:rsidRPr="00A429FE">
                          <w:rPr>
                            <w:rFonts w:ascii="Times" w:hAnsi="Times" w:cs="Times New Roman"/>
                            <w:sz w:val="20"/>
                            <w:szCs w:val="20"/>
                            <w:lang w:val="en-AU"/>
                          </w:rPr>
                          <w:br/>
                          <w:t xml:space="preserve">Since the release of RG 45, ASIC has worked with the responsible entities of unlisted mortgage schemes to help them understand the benchmarks and ASIC's disclosure expectations. Throughout the implementation phase, ASIC has reviewed the effectiveness of the benchmarks and found they could be strengthened to respond to recent changes in the sector. </w:t>
                        </w:r>
                        <w:r w:rsidRPr="00A429FE">
                          <w:rPr>
                            <w:rFonts w:ascii="Times" w:hAnsi="Times" w:cs="Times New Roman"/>
                            <w:sz w:val="20"/>
                            <w:szCs w:val="20"/>
                            <w:lang w:val="en-AU"/>
                          </w:rPr>
                          <w:br/>
                        </w:r>
                        <w:r w:rsidRPr="00A429FE">
                          <w:rPr>
                            <w:rFonts w:ascii="Times" w:hAnsi="Times" w:cs="Times New Roman"/>
                            <w:sz w:val="20"/>
                            <w:szCs w:val="20"/>
                            <w:lang w:val="en-AU"/>
                          </w:rPr>
                          <w:br/>
                          <w:t>CP 141 includes a summary of ASIC's findings on its review of the disclosure against the existing benchmarks in RG 45 and sets out proposals to improve the benchmarks to produce better and more focused disclosure by:</w:t>
                        </w:r>
                      </w:p>
                      <w:p w:rsidR="00A429FE" w:rsidRPr="00A429FE" w:rsidRDefault="00A429FE" w:rsidP="00A429FE">
                        <w:pPr>
                          <w:tabs>
                            <w:tab w:val="num" w:pos="720"/>
                          </w:tabs>
                          <w:spacing w:before="100" w:beforeAutospacing="1" w:after="100" w:afterAutospacing="1"/>
                          <w:ind w:left="720" w:hanging="360"/>
                          <w:rPr>
                            <w:rFonts w:ascii="Times" w:eastAsia="Times New Roman" w:hAnsi="Times" w:cs="Times New Roman"/>
                            <w:sz w:val="20"/>
                            <w:szCs w:val="20"/>
                            <w:lang w:val="en-AU"/>
                          </w:rPr>
                        </w:pPr>
                        <w:r w:rsidRPr="00A429FE">
                          <w:rPr>
                            <w:rFonts w:ascii="Times" w:eastAsia="Times New Roman" w:hAnsi="Times" w:cs="Times New Roman"/>
                            <w:sz w:val="20"/>
                            <w:szCs w:val="20"/>
                            <w:lang w:val="en-AU"/>
                          </w:rPr>
                          <w:t xml:space="preserve">simplifying the benchmarks to make it easier to determine whether the benchmark is met or not; </w:t>
                        </w:r>
                      </w:p>
                      <w:p w:rsidR="00A429FE" w:rsidRPr="00A429FE" w:rsidRDefault="00A429FE" w:rsidP="00A429FE">
                        <w:pPr>
                          <w:tabs>
                            <w:tab w:val="num" w:pos="720"/>
                          </w:tabs>
                          <w:spacing w:before="100" w:beforeAutospacing="1" w:after="100" w:afterAutospacing="1"/>
                          <w:ind w:left="720" w:hanging="360"/>
                          <w:rPr>
                            <w:rFonts w:ascii="Times" w:eastAsia="Times New Roman" w:hAnsi="Times" w:cs="Times New Roman"/>
                            <w:sz w:val="20"/>
                            <w:szCs w:val="20"/>
                            <w:lang w:val="en-AU"/>
                          </w:rPr>
                        </w:pPr>
                        <w:r w:rsidRPr="00A429FE">
                          <w:rPr>
                            <w:rFonts w:ascii="Times" w:eastAsia="Times New Roman" w:hAnsi="Times" w:cs="Times New Roman"/>
                            <w:sz w:val="20"/>
                            <w:szCs w:val="20"/>
                            <w:lang w:val="en-AU"/>
                          </w:rPr>
                          <w:t xml:space="preserve">separating additional disclosure requirements from the benchmark; </w:t>
                        </w:r>
                      </w:p>
                      <w:p w:rsidR="00A429FE" w:rsidRPr="00A429FE" w:rsidRDefault="00A429FE" w:rsidP="00A429FE">
                        <w:pPr>
                          <w:tabs>
                            <w:tab w:val="num" w:pos="720"/>
                          </w:tabs>
                          <w:spacing w:before="100" w:beforeAutospacing="1" w:after="100" w:afterAutospacing="1"/>
                          <w:ind w:left="720" w:hanging="360"/>
                          <w:rPr>
                            <w:rFonts w:ascii="Times" w:eastAsia="Times New Roman" w:hAnsi="Times" w:cs="Times New Roman"/>
                            <w:sz w:val="20"/>
                            <w:szCs w:val="20"/>
                            <w:lang w:val="en-AU"/>
                          </w:rPr>
                        </w:pPr>
                        <w:r w:rsidRPr="00A429FE">
                          <w:rPr>
                            <w:rFonts w:ascii="Times" w:eastAsia="Times New Roman" w:hAnsi="Times" w:cs="Times New Roman"/>
                            <w:sz w:val="20"/>
                            <w:szCs w:val="20"/>
                            <w:lang w:val="en-AU"/>
                          </w:rPr>
                          <w:t xml:space="preserve">clarifying how the RG 45 benchmarks apply to feeder funds; and </w:t>
                        </w:r>
                      </w:p>
                      <w:p w:rsidR="00A429FE" w:rsidRPr="00A429FE" w:rsidRDefault="00A429FE" w:rsidP="00A429FE">
                        <w:pPr>
                          <w:tabs>
                            <w:tab w:val="num" w:pos="720"/>
                          </w:tabs>
                          <w:spacing w:before="100" w:beforeAutospacing="1" w:after="100" w:afterAutospacing="1"/>
                          <w:ind w:left="720" w:hanging="360"/>
                          <w:rPr>
                            <w:rFonts w:ascii="Times" w:eastAsia="Times New Roman" w:hAnsi="Times" w:cs="Times New Roman"/>
                            <w:sz w:val="20"/>
                            <w:szCs w:val="20"/>
                            <w:lang w:val="en-AU"/>
                          </w:rPr>
                        </w:pPr>
                        <w:r w:rsidRPr="00A429FE">
                          <w:rPr>
                            <w:rFonts w:ascii="Times" w:eastAsia="Times New Roman" w:hAnsi="Times" w:cs="Times New Roman"/>
                            <w:sz w:val="20"/>
                            <w:szCs w:val="20"/>
                            <w:lang w:val="en-AU"/>
                          </w:rPr>
                          <w:t xml:space="preserve">providing additional guidance on compliance with the 'if not, why not' approach. </w:t>
                        </w:r>
                      </w:p>
                      <w:p w:rsidR="00A429FE" w:rsidRPr="00A429FE" w:rsidRDefault="00A429FE" w:rsidP="00A429FE">
                        <w:pPr>
                          <w:spacing w:before="100" w:beforeAutospacing="1" w:after="100" w:afterAutospacing="1"/>
                          <w:rPr>
                            <w:rFonts w:ascii="Times" w:hAnsi="Times" w:cs="Times New Roman"/>
                            <w:sz w:val="20"/>
                            <w:szCs w:val="20"/>
                            <w:lang w:val="en-AU"/>
                          </w:rPr>
                        </w:pPr>
                        <w:r w:rsidRPr="00A429FE">
                          <w:rPr>
                            <w:rFonts w:ascii="Times" w:hAnsi="Times" w:cs="Times New Roman"/>
                            <w:sz w:val="20"/>
                            <w:szCs w:val="20"/>
                            <w:lang w:val="en-AU"/>
                          </w:rPr>
                          <w:t xml:space="preserve">The consultation paper is available on the </w:t>
                        </w:r>
                        <w:r w:rsidRPr="00A429FE">
                          <w:rPr>
                            <w:rFonts w:ascii="Times" w:hAnsi="Times" w:cs="Times New Roman"/>
                            <w:sz w:val="20"/>
                            <w:szCs w:val="20"/>
                            <w:lang w:val="en-AU"/>
                          </w:rPr>
                          <w:fldChar w:fldCharType="begin"/>
                        </w:r>
                        <w:r w:rsidRPr="00A429FE">
                          <w:rPr>
                            <w:rFonts w:ascii="Times" w:hAnsi="Times" w:cs="Times New Roman"/>
                            <w:sz w:val="20"/>
                            <w:szCs w:val="20"/>
                            <w:lang w:val="en-AU"/>
                          </w:rPr>
                          <w:instrText xml:space="preserve"> HYPERLINK "http://www.asic.gov.au/asic/pdflib.nsf/LookupByFileName/cp141.pdf/$file/cp141.pdf" \t "_new" </w:instrText>
                        </w:r>
                        <w:r w:rsidRPr="00A429FE">
                          <w:rPr>
                            <w:rFonts w:ascii="Times" w:hAnsi="Times" w:cs="Times New Roman"/>
                            <w:sz w:val="20"/>
                            <w:szCs w:val="20"/>
                            <w:lang w:val="en-AU"/>
                          </w:rPr>
                        </w:r>
                        <w:r w:rsidRPr="00A429FE">
                          <w:rPr>
                            <w:rFonts w:ascii="Times" w:hAnsi="Times" w:cs="Times New Roman"/>
                            <w:sz w:val="20"/>
                            <w:szCs w:val="20"/>
                            <w:lang w:val="en-AU"/>
                          </w:rPr>
                          <w:fldChar w:fldCharType="separate"/>
                        </w:r>
                        <w:r w:rsidRPr="00A429FE">
                          <w:rPr>
                            <w:rFonts w:ascii="Times" w:hAnsi="Times" w:cs="Times New Roman"/>
                            <w:color w:val="0000FF"/>
                            <w:sz w:val="20"/>
                            <w:szCs w:val="20"/>
                            <w:u w:val="single"/>
                            <w:lang w:val="en-AU"/>
                          </w:rPr>
                          <w:t>ASIC</w:t>
                        </w:r>
                        <w:r w:rsidRPr="00A429FE">
                          <w:rPr>
                            <w:rFonts w:ascii="Times" w:hAnsi="Times" w:cs="Times New Roman"/>
                            <w:sz w:val="20"/>
                            <w:szCs w:val="20"/>
                            <w:lang w:val="en-AU"/>
                          </w:rPr>
                          <w:fldChar w:fldCharType="end"/>
                        </w:r>
                        <w:r w:rsidRPr="00A429FE">
                          <w:rPr>
                            <w:rFonts w:ascii="Times" w:hAnsi="Times" w:cs="Times New Roman"/>
                            <w:sz w:val="20"/>
                            <w:szCs w:val="20"/>
                            <w:lang w:val="en-AU"/>
                          </w:rPr>
                          <w:t xml:space="preserve"> website.</w:t>
                        </w:r>
                        <w:r w:rsidRPr="00A429FE">
                          <w:rPr>
                            <w:rFonts w:ascii="Times" w:hAnsi="Times" w:cs="Times New Roman"/>
                            <w:sz w:val="20"/>
                            <w:szCs w:val="20"/>
                            <w:lang w:val="en-AU"/>
                          </w:rPr>
                          <w:br/>
                          <w:t> </w:t>
                        </w:r>
                        <w:r w:rsidRPr="00A429FE">
                          <w:rPr>
                            <w:rFonts w:ascii="Times" w:hAnsi="Times" w:cs="Times New Roman"/>
                            <w:sz w:val="20"/>
                            <w:szCs w:val="20"/>
                            <w:lang w:val="en-AU"/>
                          </w:rPr>
                          <w:br/>
                          <w:t xml:space="preserve">RG 45 is available on the </w:t>
                        </w:r>
                        <w:r w:rsidRPr="00A429FE">
                          <w:rPr>
                            <w:rFonts w:ascii="Times" w:hAnsi="Times" w:cs="Times New Roman"/>
                            <w:sz w:val="20"/>
                            <w:szCs w:val="20"/>
                            <w:lang w:val="en-AU"/>
                          </w:rPr>
                          <w:fldChar w:fldCharType="begin"/>
                        </w:r>
                        <w:r w:rsidRPr="00A429FE">
                          <w:rPr>
                            <w:rFonts w:ascii="Times" w:hAnsi="Times" w:cs="Times New Roman"/>
                            <w:sz w:val="20"/>
                            <w:szCs w:val="20"/>
                            <w:lang w:val="en-AU"/>
                          </w:rPr>
                          <w:instrText xml:space="preserve"> HYPERLINK "http://www.asic.gov.au/asic/asic.nsf/byheadline/Regulatory+guides?openDocument" \l "rg45" \t "_new" </w:instrText>
                        </w:r>
                        <w:r w:rsidRPr="00A429FE">
                          <w:rPr>
                            <w:rFonts w:ascii="Times" w:hAnsi="Times" w:cs="Times New Roman"/>
                            <w:sz w:val="20"/>
                            <w:szCs w:val="20"/>
                            <w:lang w:val="en-AU"/>
                          </w:rPr>
                        </w:r>
                        <w:r w:rsidRPr="00A429FE">
                          <w:rPr>
                            <w:rFonts w:ascii="Times" w:hAnsi="Times" w:cs="Times New Roman"/>
                            <w:sz w:val="20"/>
                            <w:szCs w:val="20"/>
                            <w:lang w:val="en-AU"/>
                          </w:rPr>
                          <w:fldChar w:fldCharType="separate"/>
                        </w:r>
                        <w:r w:rsidRPr="00A429FE">
                          <w:rPr>
                            <w:rFonts w:ascii="Times" w:hAnsi="Times" w:cs="Times New Roman"/>
                            <w:color w:val="0000FF"/>
                            <w:sz w:val="20"/>
                            <w:szCs w:val="20"/>
                            <w:u w:val="single"/>
                            <w:lang w:val="en-AU"/>
                          </w:rPr>
                          <w:t>ASIC</w:t>
                        </w:r>
                        <w:r w:rsidRPr="00A429FE">
                          <w:rPr>
                            <w:rFonts w:ascii="Times" w:hAnsi="Times" w:cs="Times New Roman"/>
                            <w:sz w:val="20"/>
                            <w:szCs w:val="20"/>
                            <w:lang w:val="en-AU"/>
                          </w:rPr>
                          <w:fldChar w:fldCharType="end"/>
                        </w:r>
                        <w:r w:rsidRPr="00A429FE">
                          <w:rPr>
                            <w:rFonts w:ascii="Times" w:hAnsi="Times" w:cs="Times New Roman"/>
                            <w:sz w:val="20"/>
                            <w:szCs w:val="20"/>
                            <w:lang w:val="en-AU"/>
                          </w:rPr>
                          <w:t xml:space="preserve"> website.</w:t>
                        </w:r>
                      </w:p>
                      <w:p w:rsidR="00A429FE" w:rsidRPr="00A429FE" w:rsidRDefault="00A429FE" w:rsidP="00A429F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7103" name="Picture 17103" descr="etailed Contents">
                                <a:hlinkClick xmlns:a="http://schemas.openxmlformats.org/drawingml/2006/main" r:id="rId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03" descr="etailed Contents">
                                        <a:hlinkClick r:id="rId96"/>
                                      </pic:cNvPr>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A429FE" w:rsidRPr="00A429FE" w:rsidRDefault="00A429FE" w:rsidP="00A429FE">
                        <w:pPr>
                          <w:rPr>
                            <w:rFonts w:ascii="Times" w:eastAsia="Times New Roman" w:hAnsi="Times" w:cs="Times New Roman"/>
                            <w:sz w:val="20"/>
                            <w:szCs w:val="20"/>
                            <w:lang w:val="en-AU"/>
                          </w:rPr>
                        </w:pPr>
                        <w:r w:rsidRPr="00A429FE">
                          <w:rPr>
                            <w:rFonts w:ascii="Times" w:eastAsia="Times New Roman" w:hAnsi="Times" w:cs="Times New Roman"/>
                            <w:sz w:val="20"/>
                            <w:szCs w:val="20"/>
                            <w:lang w:val="en-AU"/>
                          </w:rPr>
                          <w:pict>
                            <v:rect id="_x0000_i18128" style="width:0;height:1.5pt" o:hralign="center" o:hrstd="t" o:hr="t" fillcolor="#aaa" stroked="f"/>
                          </w:pict>
                        </w:r>
                      </w:p>
                      <w:p w:rsidR="00A429FE" w:rsidRPr="00A429FE" w:rsidRDefault="00A429FE" w:rsidP="00A429FE">
                        <w:pPr>
                          <w:spacing w:before="100" w:beforeAutospacing="1" w:after="100" w:afterAutospacing="1"/>
                          <w:rPr>
                            <w:rFonts w:ascii="Times" w:hAnsi="Times" w:cs="Times New Roman"/>
                            <w:sz w:val="20"/>
                            <w:szCs w:val="20"/>
                            <w:lang w:val="en-AU"/>
                          </w:rPr>
                        </w:pPr>
                        <w:bookmarkStart w:id="42" w:name="024"/>
                        <w:bookmarkEnd w:id="42"/>
                        <w:r w:rsidRPr="00A429FE">
                          <w:rPr>
                            <w:rFonts w:ascii="Times" w:hAnsi="Times" w:cs="Times New Roman"/>
                            <w:b/>
                            <w:bCs/>
                            <w:sz w:val="20"/>
                            <w:szCs w:val="20"/>
                            <w:lang w:val="en-AU"/>
                          </w:rPr>
                          <w:t>2.4 ASIC issues consultation paper on financial requirements for managed investment scheme responsible entities</w:t>
                        </w:r>
                        <w:r w:rsidRPr="00A429FE">
                          <w:rPr>
                            <w:rFonts w:ascii="Times" w:hAnsi="Times" w:cs="Times New Roman"/>
                            <w:b/>
                            <w:bCs/>
                            <w:sz w:val="20"/>
                            <w:szCs w:val="20"/>
                            <w:lang w:val="en-AU"/>
                          </w:rPr>
                          <w:br/>
                        </w:r>
                        <w:r w:rsidRPr="00A429FE">
                          <w:rPr>
                            <w:rFonts w:ascii="Times" w:hAnsi="Times" w:cs="Times New Roman"/>
                            <w:sz w:val="20"/>
                            <w:szCs w:val="20"/>
                            <w:lang w:val="en-AU"/>
                          </w:rPr>
                          <w:br/>
                          <w:t>On 30 September 2010, the Australian Securities and Investments Commission (ASIC) released a consultation paper, setting out issues for consultation regarding the financial requirements for responsible entities (REs) of managed investment schemes (MISs).</w:t>
                        </w:r>
                        <w:r w:rsidRPr="00A429FE">
                          <w:rPr>
                            <w:rFonts w:ascii="Times" w:hAnsi="Times" w:cs="Times New Roman"/>
                            <w:sz w:val="20"/>
                            <w:szCs w:val="20"/>
                            <w:lang w:val="en-AU"/>
                          </w:rPr>
                          <w:br/>
                        </w:r>
                        <w:r w:rsidRPr="00A429FE">
                          <w:rPr>
                            <w:rFonts w:ascii="Times" w:hAnsi="Times" w:cs="Times New Roman"/>
                            <w:sz w:val="20"/>
                            <w:szCs w:val="20"/>
                            <w:lang w:val="en-AU"/>
                          </w:rPr>
                          <w:br/>
                          <w:t xml:space="preserve">ASIC has reviewed the financial requirements of REs. The review aims to ensure that REs have adequate resources to meet operating costs and there is appropriate alignment with the interests of investors. </w:t>
                        </w:r>
                        <w:r w:rsidRPr="00A429FE">
                          <w:rPr>
                            <w:rFonts w:ascii="Times" w:hAnsi="Times" w:cs="Times New Roman"/>
                            <w:sz w:val="20"/>
                            <w:szCs w:val="20"/>
                            <w:lang w:val="en-AU"/>
                          </w:rPr>
                          <w:br/>
                        </w:r>
                        <w:r w:rsidRPr="00A429FE">
                          <w:rPr>
                            <w:rFonts w:ascii="Times" w:hAnsi="Times" w:cs="Times New Roman"/>
                            <w:sz w:val="20"/>
                            <w:szCs w:val="20"/>
                            <w:lang w:val="en-AU"/>
                          </w:rPr>
                          <w:br/>
                          <w:t>The consultation paper requests feedback about the following issues:</w:t>
                        </w:r>
                      </w:p>
                      <w:p w:rsidR="00A429FE" w:rsidRPr="00A429FE" w:rsidRDefault="00A429FE" w:rsidP="00A429FE">
                        <w:pPr>
                          <w:tabs>
                            <w:tab w:val="num" w:pos="720"/>
                          </w:tabs>
                          <w:spacing w:before="100" w:beforeAutospacing="1" w:after="100" w:afterAutospacing="1"/>
                          <w:ind w:left="720" w:hanging="360"/>
                          <w:rPr>
                            <w:rFonts w:ascii="Times" w:eastAsia="Times New Roman" w:hAnsi="Times" w:cs="Times New Roman"/>
                            <w:sz w:val="20"/>
                            <w:szCs w:val="20"/>
                            <w:lang w:val="en-AU"/>
                          </w:rPr>
                        </w:pPr>
                        <w:r w:rsidRPr="00A429FE">
                          <w:rPr>
                            <w:rFonts w:ascii="Times" w:eastAsia="Times New Roman" w:hAnsi="Times" w:cs="Times New Roman"/>
                            <w:sz w:val="20"/>
                            <w:szCs w:val="20"/>
                            <w:lang w:val="en-AU"/>
                          </w:rPr>
                          <w:t xml:space="preserve">restricting guarantees and indemnities granted by REs; </w:t>
                        </w:r>
                      </w:p>
                      <w:p w:rsidR="00A429FE" w:rsidRPr="00A429FE" w:rsidRDefault="00A429FE" w:rsidP="00A429FE">
                        <w:pPr>
                          <w:tabs>
                            <w:tab w:val="num" w:pos="720"/>
                          </w:tabs>
                          <w:spacing w:before="100" w:beforeAutospacing="1" w:after="100" w:afterAutospacing="1"/>
                          <w:ind w:left="720" w:hanging="360"/>
                          <w:rPr>
                            <w:rFonts w:ascii="Times" w:eastAsia="Times New Roman" w:hAnsi="Times" w:cs="Times New Roman"/>
                            <w:sz w:val="20"/>
                            <w:szCs w:val="20"/>
                            <w:lang w:val="en-AU"/>
                          </w:rPr>
                        </w:pPr>
                        <w:r w:rsidRPr="00A429FE">
                          <w:rPr>
                            <w:rFonts w:ascii="Times" w:eastAsia="Times New Roman" w:hAnsi="Times" w:cs="Times New Roman"/>
                            <w:sz w:val="20"/>
                            <w:szCs w:val="20"/>
                            <w:lang w:val="en-AU"/>
                          </w:rPr>
                          <w:t xml:space="preserve">requiring REs to create rolling 12-month cash flow projections; </w:t>
                        </w:r>
                      </w:p>
                      <w:p w:rsidR="00A429FE" w:rsidRPr="00A429FE" w:rsidRDefault="00A429FE" w:rsidP="00A429FE">
                        <w:pPr>
                          <w:tabs>
                            <w:tab w:val="num" w:pos="720"/>
                          </w:tabs>
                          <w:spacing w:before="100" w:beforeAutospacing="1" w:after="100" w:afterAutospacing="1"/>
                          <w:ind w:left="720" w:hanging="360"/>
                          <w:rPr>
                            <w:rFonts w:ascii="Times" w:eastAsia="Times New Roman" w:hAnsi="Times" w:cs="Times New Roman"/>
                            <w:sz w:val="20"/>
                            <w:szCs w:val="20"/>
                            <w:lang w:val="en-AU"/>
                          </w:rPr>
                        </w:pPr>
                        <w:r w:rsidRPr="00A429FE">
                          <w:rPr>
                            <w:rFonts w:ascii="Times" w:eastAsia="Times New Roman" w:hAnsi="Times" w:cs="Times New Roman"/>
                            <w:sz w:val="20"/>
                            <w:szCs w:val="20"/>
                            <w:lang w:val="en-AU"/>
                          </w:rPr>
                          <w:t xml:space="preserve">increasing the net tangible asset capital (NTA) requirements for REs; and </w:t>
                        </w:r>
                      </w:p>
                      <w:p w:rsidR="00A429FE" w:rsidRPr="00A429FE" w:rsidRDefault="00A429FE" w:rsidP="00A429FE">
                        <w:pPr>
                          <w:tabs>
                            <w:tab w:val="num" w:pos="720"/>
                          </w:tabs>
                          <w:spacing w:before="100" w:beforeAutospacing="1" w:after="100" w:afterAutospacing="1"/>
                          <w:ind w:left="720" w:hanging="360"/>
                          <w:rPr>
                            <w:rFonts w:ascii="Times" w:eastAsia="Times New Roman" w:hAnsi="Times" w:cs="Times New Roman"/>
                            <w:sz w:val="20"/>
                            <w:szCs w:val="20"/>
                            <w:lang w:val="en-AU"/>
                          </w:rPr>
                        </w:pPr>
                        <w:r w:rsidRPr="00A429FE">
                          <w:rPr>
                            <w:rFonts w:ascii="Times" w:eastAsia="Times New Roman" w:hAnsi="Times" w:cs="Times New Roman"/>
                            <w:sz w:val="20"/>
                            <w:szCs w:val="20"/>
                            <w:lang w:val="en-AU"/>
                          </w:rPr>
                          <w:t>specifying the net tangible asset (NTA) liquidity requirements for REs.</w:t>
                        </w:r>
                      </w:p>
                      <w:p w:rsidR="00A429FE" w:rsidRPr="00A429FE" w:rsidRDefault="00A429FE" w:rsidP="00A429FE">
                        <w:pPr>
                          <w:spacing w:before="100" w:beforeAutospacing="1" w:after="100" w:afterAutospacing="1"/>
                          <w:rPr>
                            <w:rFonts w:ascii="Times" w:hAnsi="Times" w:cs="Times New Roman"/>
                            <w:sz w:val="20"/>
                            <w:szCs w:val="20"/>
                            <w:lang w:val="en-AU"/>
                          </w:rPr>
                        </w:pPr>
                        <w:r w:rsidRPr="00A429FE">
                          <w:rPr>
                            <w:rFonts w:ascii="Times" w:hAnsi="Times" w:cs="Times New Roman"/>
                            <w:sz w:val="20"/>
                            <w:szCs w:val="20"/>
                            <w:lang w:val="en-AU"/>
                          </w:rPr>
                          <w:t xml:space="preserve">The consultation paper is available on the </w:t>
                        </w:r>
                        <w:r w:rsidRPr="00A429FE">
                          <w:rPr>
                            <w:rFonts w:ascii="Times" w:hAnsi="Times" w:cs="Times New Roman"/>
                            <w:sz w:val="20"/>
                            <w:szCs w:val="20"/>
                            <w:lang w:val="en-AU"/>
                          </w:rPr>
                          <w:fldChar w:fldCharType="begin"/>
                        </w:r>
                        <w:r w:rsidRPr="00A429FE">
                          <w:rPr>
                            <w:rFonts w:ascii="Times" w:hAnsi="Times" w:cs="Times New Roman"/>
                            <w:sz w:val="20"/>
                            <w:szCs w:val="20"/>
                            <w:lang w:val="en-AU"/>
                          </w:rPr>
                          <w:instrText xml:space="preserve"> HYPERLINK "http://www.asic.gov.au/cp" \t "_new" </w:instrText>
                        </w:r>
                        <w:r w:rsidRPr="00A429FE">
                          <w:rPr>
                            <w:rFonts w:ascii="Times" w:hAnsi="Times" w:cs="Times New Roman"/>
                            <w:sz w:val="20"/>
                            <w:szCs w:val="20"/>
                            <w:lang w:val="en-AU"/>
                          </w:rPr>
                        </w:r>
                        <w:r w:rsidRPr="00A429FE">
                          <w:rPr>
                            <w:rFonts w:ascii="Times" w:hAnsi="Times" w:cs="Times New Roman"/>
                            <w:sz w:val="20"/>
                            <w:szCs w:val="20"/>
                            <w:lang w:val="en-AU"/>
                          </w:rPr>
                          <w:fldChar w:fldCharType="separate"/>
                        </w:r>
                        <w:r w:rsidRPr="00A429FE">
                          <w:rPr>
                            <w:rFonts w:ascii="Times" w:hAnsi="Times" w:cs="Times New Roman"/>
                            <w:color w:val="0000FF"/>
                            <w:sz w:val="20"/>
                            <w:szCs w:val="20"/>
                            <w:u w:val="single"/>
                            <w:lang w:val="en-AU"/>
                          </w:rPr>
                          <w:t>ASIC</w:t>
                        </w:r>
                        <w:r w:rsidRPr="00A429FE">
                          <w:rPr>
                            <w:rFonts w:ascii="Times" w:hAnsi="Times" w:cs="Times New Roman"/>
                            <w:sz w:val="20"/>
                            <w:szCs w:val="20"/>
                            <w:lang w:val="en-AU"/>
                          </w:rPr>
                          <w:fldChar w:fldCharType="end"/>
                        </w:r>
                        <w:r w:rsidRPr="00A429FE">
                          <w:rPr>
                            <w:rFonts w:ascii="Times" w:hAnsi="Times" w:cs="Times New Roman"/>
                            <w:sz w:val="20"/>
                            <w:szCs w:val="20"/>
                            <w:lang w:val="en-AU"/>
                          </w:rPr>
                          <w:t xml:space="preserve"> website.</w:t>
                        </w:r>
                      </w:p>
                      <w:p w:rsidR="00A429FE" w:rsidRPr="00A429FE" w:rsidRDefault="00A429FE" w:rsidP="00A429F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7105" name="Picture 17105" descr="etailed Contents">
                                <a:hlinkClick xmlns:a="http://schemas.openxmlformats.org/drawingml/2006/main" r:id="rId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05" descr="etailed Contents">
                                        <a:hlinkClick r:id="rId96"/>
                                      </pic:cNvPr>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A429FE" w:rsidRPr="00A429FE" w:rsidRDefault="00A429FE" w:rsidP="00A429FE">
                        <w:pPr>
                          <w:rPr>
                            <w:rFonts w:ascii="Times" w:eastAsia="Times New Roman" w:hAnsi="Times" w:cs="Times New Roman"/>
                            <w:sz w:val="20"/>
                            <w:szCs w:val="20"/>
                            <w:lang w:val="en-AU"/>
                          </w:rPr>
                        </w:pPr>
                        <w:r w:rsidRPr="00A429FE">
                          <w:rPr>
                            <w:rFonts w:ascii="Times" w:eastAsia="Times New Roman" w:hAnsi="Times" w:cs="Times New Roman"/>
                            <w:sz w:val="20"/>
                            <w:szCs w:val="20"/>
                            <w:lang w:val="en-AU"/>
                          </w:rPr>
                          <w:pict>
                            <v:rect id="_x0000_i18130" style="width:0;height:1.5pt" o:hralign="center" o:hrstd="t" o:hr="t" fillcolor="#aaa" stroked="f"/>
                          </w:pict>
                        </w:r>
                      </w:p>
                      <w:p w:rsidR="00A429FE" w:rsidRPr="00A429FE" w:rsidRDefault="00A429FE" w:rsidP="00A429FE">
                        <w:pPr>
                          <w:spacing w:before="100" w:beforeAutospacing="1" w:after="100" w:afterAutospacing="1"/>
                          <w:rPr>
                            <w:rFonts w:ascii="Times" w:hAnsi="Times" w:cs="Times New Roman"/>
                            <w:sz w:val="20"/>
                            <w:szCs w:val="20"/>
                            <w:lang w:val="en-AU"/>
                          </w:rPr>
                        </w:pPr>
                        <w:bookmarkStart w:id="43" w:name="025"/>
                        <w:bookmarkEnd w:id="43"/>
                        <w:r w:rsidRPr="00A429FE">
                          <w:rPr>
                            <w:rFonts w:ascii="Times" w:hAnsi="Times" w:cs="Times New Roman"/>
                            <w:b/>
                            <w:bCs/>
                            <w:sz w:val="20"/>
                            <w:szCs w:val="20"/>
                            <w:lang w:val="en-AU"/>
                          </w:rPr>
                          <w:t>2.5 ASIC begins nationwide surveillance activities under national consumer credit regime</w:t>
                        </w:r>
                        <w:r w:rsidRPr="00A429FE">
                          <w:rPr>
                            <w:rFonts w:ascii="Times" w:hAnsi="Times" w:cs="Times New Roman"/>
                            <w:b/>
                            <w:bCs/>
                            <w:sz w:val="20"/>
                            <w:szCs w:val="20"/>
                            <w:lang w:val="en-AU"/>
                          </w:rPr>
                          <w:br/>
                        </w:r>
                        <w:r w:rsidRPr="00A429FE">
                          <w:rPr>
                            <w:rFonts w:ascii="Times" w:hAnsi="Times" w:cs="Times New Roman"/>
                            <w:sz w:val="20"/>
                            <w:szCs w:val="20"/>
                            <w:lang w:val="en-AU"/>
                          </w:rPr>
                          <w:br/>
                          <w:t xml:space="preserve">On 23 September 2010, the Australian Securities and Investments Commission (ASIC) begun its first nationwide surveillance activity to detect unregistered businesses and people under the </w:t>
                        </w:r>
                        <w:r w:rsidRPr="00A429FE">
                          <w:rPr>
                            <w:rFonts w:ascii="Times" w:hAnsi="Times" w:cs="Times New Roman"/>
                            <w:sz w:val="20"/>
                            <w:szCs w:val="20"/>
                            <w:lang w:val="en-AU"/>
                          </w:rPr>
                          <w:fldChar w:fldCharType="begin"/>
                        </w:r>
                        <w:r w:rsidRPr="00A429FE">
                          <w:rPr>
                            <w:rFonts w:ascii="Times" w:hAnsi="Times" w:cs="Times New Roman"/>
                            <w:sz w:val="20"/>
                            <w:szCs w:val="20"/>
                            <w:lang w:val="en-AU"/>
                          </w:rPr>
                          <w:instrText xml:space="preserve"> HYPERLINK "http://my.lawlex.com.au/index.asp?pact=coredoc&amp;nav=col&amp;cid=111363" \t "Default" </w:instrText>
                        </w:r>
                        <w:r w:rsidRPr="00A429FE">
                          <w:rPr>
                            <w:rFonts w:ascii="Times" w:hAnsi="Times" w:cs="Times New Roman"/>
                            <w:sz w:val="20"/>
                            <w:szCs w:val="20"/>
                            <w:lang w:val="en-AU"/>
                          </w:rPr>
                        </w:r>
                        <w:r w:rsidRPr="00A429FE">
                          <w:rPr>
                            <w:rFonts w:ascii="Times" w:hAnsi="Times" w:cs="Times New Roman"/>
                            <w:sz w:val="20"/>
                            <w:szCs w:val="20"/>
                            <w:lang w:val="en-AU"/>
                          </w:rPr>
                          <w:fldChar w:fldCharType="separate"/>
                        </w:r>
                        <w:r w:rsidRPr="00A429FE">
                          <w:rPr>
                            <w:rFonts w:ascii="Times" w:hAnsi="Times" w:cs="Times New Roman"/>
                            <w:color w:val="0000FF"/>
                            <w:sz w:val="20"/>
                            <w:szCs w:val="20"/>
                            <w:u w:val="single"/>
                            <w:lang w:val="en-AU"/>
                          </w:rPr>
                          <w:t>National Consumer Credit Protection (Transitional and Consequential Provisions) Act 2009</w:t>
                        </w:r>
                        <w:r w:rsidRPr="00A429FE">
                          <w:rPr>
                            <w:rFonts w:ascii="Times" w:hAnsi="Times" w:cs="Times New Roman"/>
                            <w:sz w:val="20"/>
                            <w:szCs w:val="20"/>
                            <w:lang w:val="en-AU"/>
                          </w:rPr>
                          <w:fldChar w:fldCharType="end"/>
                        </w:r>
                        <w:r w:rsidRPr="00A429FE">
                          <w:rPr>
                            <w:rFonts w:ascii="Times" w:hAnsi="Times" w:cs="Times New Roman"/>
                            <w:sz w:val="20"/>
                            <w:szCs w:val="20"/>
                            <w:lang w:val="en-AU"/>
                          </w:rPr>
                          <w:t xml:space="preserve"> (National Credit Transitional Act).</w:t>
                        </w:r>
                        <w:r w:rsidRPr="00A429FE">
                          <w:rPr>
                            <w:rFonts w:ascii="Times" w:hAnsi="Times" w:cs="Times New Roman"/>
                            <w:sz w:val="20"/>
                            <w:szCs w:val="20"/>
                            <w:lang w:val="en-AU"/>
                          </w:rPr>
                          <w:br/>
                        </w:r>
                        <w:r w:rsidRPr="00A429FE">
                          <w:rPr>
                            <w:rFonts w:ascii="Times" w:hAnsi="Times" w:cs="Times New Roman"/>
                            <w:sz w:val="20"/>
                            <w:szCs w:val="20"/>
                            <w:lang w:val="en-AU"/>
                          </w:rPr>
                          <w:br/>
                          <w:t>Between now and late 2010, ASIC will be in the field, across Australia, to detect businesses or people engaging in credit activities who are not registered with ASIC. As of 1 July this year, it has been an offence to engage in credit activities (e.g. acting as a lender, or as a credit broker) if not registered with ASIC.</w:t>
                        </w:r>
                        <w:r w:rsidRPr="00A429FE">
                          <w:rPr>
                            <w:rFonts w:ascii="Times" w:hAnsi="Times" w:cs="Times New Roman"/>
                            <w:sz w:val="20"/>
                            <w:szCs w:val="20"/>
                            <w:lang w:val="en-AU"/>
                          </w:rPr>
                          <w:br/>
                        </w:r>
                        <w:r w:rsidRPr="00A429FE">
                          <w:rPr>
                            <w:rFonts w:ascii="Times" w:hAnsi="Times" w:cs="Times New Roman"/>
                            <w:sz w:val="20"/>
                            <w:szCs w:val="20"/>
                            <w:lang w:val="en-AU"/>
                          </w:rPr>
                          <w:br/>
                          <w:t>More than 14,000 people or businesses registered with ASIC before 30 June 2010, as a precursor to applying for a credit licence. Licensing is now underway and will be complete by 30 June 2011 or before. As of 23 September 2010, 292 licences have been issued.</w:t>
                        </w:r>
                        <w:r w:rsidRPr="00A429FE">
                          <w:rPr>
                            <w:rFonts w:ascii="Times" w:hAnsi="Times" w:cs="Times New Roman"/>
                            <w:sz w:val="20"/>
                            <w:szCs w:val="20"/>
                            <w:lang w:val="en-AU"/>
                          </w:rPr>
                          <w:br/>
                        </w:r>
                        <w:r w:rsidRPr="00A429FE">
                          <w:rPr>
                            <w:rFonts w:ascii="Times" w:hAnsi="Times" w:cs="Times New Roman"/>
                            <w:sz w:val="20"/>
                            <w:szCs w:val="20"/>
                            <w:lang w:val="en-AU"/>
                          </w:rPr>
                          <w:br/>
                          <w:t>As set out in the National Credit Transitional Act, ASIC can prosecute non-compliance or seek a civil penalty from the courts. The maximum criminal penalties for operating without registration or a licence are $22,000 for individuals and $110,000 for corporations, or two years imprisonment, or both; or civil penalties of up to $220,000 for individuals and $1.1 million for corporations, partnerships or multiple trustees.</w:t>
                        </w:r>
                        <w:r w:rsidRPr="00A429FE">
                          <w:rPr>
                            <w:rFonts w:ascii="Times" w:hAnsi="Times" w:cs="Times New Roman"/>
                            <w:sz w:val="20"/>
                            <w:szCs w:val="20"/>
                            <w:lang w:val="en-AU"/>
                          </w:rPr>
                          <w:br/>
                        </w:r>
                        <w:r w:rsidRPr="00A429FE">
                          <w:rPr>
                            <w:rFonts w:ascii="Times" w:hAnsi="Times" w:cs="Times New Roman"/>
                            <w:sz w:val="20"/>
                            <w:szCs w:val="20"/>
                            <w:lang w:val="en-AU"/>
                          </w:rPr>
                          <w:br/>
                          <w:t xml:space="preserve">ASIC's primary focus of this surveillance activity is to ensure firms and people engaging in credit activities are registered and apply for a licence to meet the requirements of the National Credit Transitional Act. </w:t>
                        </w:r>
                        <w:r w:rsidRPr="00A429FE">
                          <w:rPr>
                            <w:rFonts w:ascii="Times" w:hAnsi="Times" w:cs="Times New Roman"/>
                            <w:sz w:val="20"/>
                            <w:szCs w:val="20"/>
                            <w:lang w:val="en-AU"/>
                          </w:rPr>
                          <w:br/>
                        </w:r>
                        <w:r w:rsidRPr="00A429FE">
                          <w:rPr>
                            <w:rFonts w:ascii="Times" w:hAnsi="Times" w:cs="Times New Roman"/>
                            <w:sz w:val="20"/>
                            <w:szCs w:val="20"/>
                            <w:lang w:val="en-AU"/>
                          </w:rPr>
                          <w:br/>
                          <w:t xml:space="preserve">Further information on credit registration and licensing is available on the </w:t>
                        </w:r>
                        <w:r w:rsidRPr="00A429FE">
                          <w:rPr>
                            <w:rFonts w:ascii="Times" w:hAnsi="Times" w:cs="Times New Roman"/>
                            <w:sz w:val="20"/>
                            <w:szCs w:val="20"/>
                            <w:lang w:val="en-AU"/>
                          </w:rPr>
                          <w:fldChar w:fldCharType="begin"/>
                        </w:r>
                        <w:r w:rsidRPr="00A429FE">
                          <w:rPr>
                            <w:rFonts w:ascii="Times" w:hAnsi="Times" w:cs="Times New Roman"/>
                            <w:sz w:val="20"/>
                            <w:szCs w:val="20"/>
                            <w:lang w:val="en-AU"/>
                          </w:rPr>
                          <w:instrText xml:space="preserve"> HYPERLINK "http://www.asic.gov.au/asic/asic.nsf/byheadline/Credit+licensing?openDocument" \t "_new" </w:instrText>
                        </w:r>
                        <w:r w:rsidRPr="00A429FE">
                          <w:rPr>
                            <w:rFonts w:ascii="Times" w:hAnsi="Times" w:cs="Times New Roman"/>
                            <w:sz w:val="20"/>
                            <w:szCs w:val="20"/>
                            <w:lang w:val="en-AU"/>
                          </w:rPr>
                        </w:r>
                        <w:r w:rsidRPr="00A429FE">
                          <w:rPr>
                            <w:rFonts w:ascii="Times" w:hAnsi="Times" w:cs="Times New Roman"/>
                            <w:sz w:val="20"/>
                            <w:szCs w:val="20"/>
                            <w:lang w:val="en-AU"/>
                          </w:rPr>
                          <w:fldChar w:fldCharType="separate"/>
                        </w:r>
                        <w:r w:rsidRPr="00A429FE">
                          <w:rPr>
                            <w:rFonts w:ascii="Times" w:hAnsi="Times" w:cs="Times New Roman"/>
                            <w:color w:val="0000FF"/>
                            <w:sz w:val="20"/>
                            <w:szCs w:val="20"/>
                            <w:u w:val="single"/>
                            <w:lang w:val="en-AU"/>
                          </w:rPr>
                          <w:t>ASIC</w:t>
                        </w:r>
                        <w:r w:rsidRPr="00A429FE">
                          <w:rPr>
                            <w:rFonts w:ascii="Times" w:hAnsi="Times" w:cs="Times New Roman"/>
                            <w:sz w:val="20"/>
                            <w:szCs w:val="20"/>
                            <w:lang w:val="en-AU"/>
                          </w:rPr>
                          <w:fldChar w:fldCharType="end"/>
                        </w:r>
                        <w:r w:rsidRPr="00A429FE">
                          <w:rPr>
                            <w:rFonts w:ascii="Times" w:hAnsi="Times" w:cs="Times New Roman"/>
                            <w:sz w:val="20"/>
                            <w:szCs w:val="20"/>
                            <w:lang w:val="en-AU"/>
                          </w:rPr>
                          <w:t xml:space="preserve"> website.</w:t>
                        </w:r>
                      </w:p>
                      <w:p w:rsidR="00A429FE" w:rsidRPr="00A429FE" w:rsidRDefault="00A429FE" w:rsidP="00A429F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7107" name="Picture 17107" descr="etailed Contents">
                                <a:hlinkClick xmlns:a="http://schemas.openxmlformats.org/drawingml/2006/main" r:id="rId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07" descr="etailed Contents">
                                        <a:hlinkClick r:id="rId96"/>
                                      </pic:cNvPr>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A429FE" w:rsidRPr="00A429FE" w:rsidRDefault="00A429FE" w:rsidP="00A429FE">
                        <w:pPr>
                          <w:rPr>
                            <w:rFonts w:ascii="Times" w:eastAsia="Times New Roman" w:hAnsi="Times" w:cs="Times New Roman"/>
                            <w:sz w:val="20"/>
                            <w:szCs w:val="20"/>
                            <w:lang w:val="en-AU"/>
                          </w:rPr>
                        </w:pPr>
                        <w:r w:rsidRPr="00A429FE">
                          <w:rPr>
                            <w:rFonts w:ascii="Times" w:eastAsia="Times New Roman" w:hAnsi="Times" w:cs="Times New Roman"/>
                            <w:sz w:val="20"/>
                            <w:szCs w:val="20"/>
                            <w:lang w:val="en-AU"/>
                          </w:rPr>
                          <w:pict>
                            <v:rect id="_x0000_i18132" style="width:0;height:1.5pt" o:hralign="center" o:hrstd="t" o:hr="t" fillcolor="#aaa" stroked="f"/>
                          </w:pict>
                        </w:r>
                      </w:p>
                      <w:p w:rsidR="00A429FE" w:rsidRPr="00A429FE" w:rsidRDefault="00A429FE" w:rsidP="00A429FE">
                        <w:pPr>
                          <w:spacing w:before="100" w:beforeAutospacing="1" w:after="100" w:afterAutospacing="1"/>
                          <w:rPr>
                            <w:rFonts w:ascii="Times" w:hAnsi="Times" w:cs="Times New Roman"/>
                            <w:sz w:val="20"/>
                            <w:szCs w:val="20"/>
                            <w:lang w:val="en-AU"/>
                          </w:rPr>
                        </w:pPr>
                        <w:bookmarkStart w:id="44" w:name="026"/>
                        <w:bookmarkEnd w:id="44"/>
                        <w:r w:rsidRPr="00A429FE">
                          <w:rPr>
                            <w:rFonts w:ascii="Times" w:hAnsi="Times" w:cs="Times New Roman"/>
                            <w:b/>
                            <w:bCs/>
                            <w:sz w:val="20"/>
                            <w:szCs w:val="20"/>
                            <w:lang w:val="en-AU"/>
                          </w:rPr>
                          <w:t>2.6 ASIC consults on compensation requirements for traditional trustee company services</w:t>
                        </w:r>
                        <w:r w:rsidRPr="00A429FE">
                          <w:rPr>
                            <w:rFonts w:ascii="Times" w:hAnsi="Times" w:cs="Times New Roman"/>
                            <w:b/>
                            <w:bCs/>
                            <w:sz w:val="20"/>
                            <w:szCs w:val="20"/>
                            <w:lang w:val="en-AU"/>
                          </w:rPr>
                          <w:br/>
                        </w:r>
                        <w:r w:rsidRPr="00A429FE">
                          <w:rPr>
                            <w:rFonts w:ascii="Times" w:hAnsi="Times" w:cs="Times New Roman"/>
                            <w:sz w:val="20"/>
                            <w:szCs w:val="20"/>
                            <w:lang w:val="en-AU"/>
                          </w:rPr>
                          <w:br/>
                          <w:t xml:space="preserve">On 23 September 2010, the Australian Securities and Investments Commission (ASIC) released a consultation paper inviting feedback on its proposal regarding the administration of compensation requirements for trustee companies providing traditional trustee company services (traditional services) to retail clients. </w:t>
                        </w:r>
                        <w:r w:rsidRPr="00A429FE">
                          <w:rPr>
                            <w:rFonts w:ascii="Times" w:hAnsi="Times" w:cs="Times New Roman"/>
                            <w:sz w:val="20"/>
                            <w:szCs w:val="20"/>
                            <w:lang w:val="en-AU"/>
                          </w:rPr>
                          <w:br/>
                        </w:r>
                        <w:r w:rsidRPr="00A429FE">
                          <w:rPr>
                            <w:rFonts w:ascii="Times" w:hAnsi="Times" w:cs="Times New Roman"/>
                            <w:sz w:val="20"/>
                            <w:szCs w:val="20"/>
                            <w:lang w:val="en-AU"/>
                          </w:rPr>
                          <w:br/>
                          <w:t xml:space="preserve">Under legislation enacted in late 2009, the provision of traditional services by trustee companies, such as preparing wills, is now regulated as a financial service under the </w:t>
                        </w:r>
                        <w:r w:rsidRPr="00A429FE">
                          <w:rPr>
                            <w:rFonts w:ascii="Times" w:hAnsi="Times" w:cs="Times New Roman"/>
                            <w:sz w:val="20"/>
                            <w:szCs w:val="20"/>
                            <w:lang w:val="en-AU"/>
                          </w:rPr>
                          <w:fldChar w:fldCharType="begin"/>
                        </w:r>
                        <w:r w:rsidRPr="00A429FE">
                          <w:rPr>
                            <w:rFonts w:ascii="Times" w:hAnsi="Times" w:cs="Times New Roman"/>
                            <w:sz w:val="20"/>
                            <w:szCs w:val="20"/>
                            <w:lang w:val="en-AU"/>
                          </w:rPr>
                          <w:instrText xml:space="preserve"> HYPERLINK "http://my.lawlex.com.au/index.asp?pact=coredoc&amp;nav=col&amp;cid=56482" \t "Default" </w:instrText>
                        </w:r>
                        <w:r w:rsidRPr="00A429FE">
                          <w:rPr>
                            <w:rFonts w:ascii="Times" w:hAnsi="Times" w:cs="Times New Roman"/>
                            <w:sz w:val="20"/>
                            <w:szCs w:val="20"/>
                            <w:lang w:val="en-AU"/>
                          </w:rPr>
                        </w:r>
                        <w:r w:rsidRPr="00A429FE">
                          <w:rPr>
                            <w:rFonts w:ascii="Times" w:hAnsi="Times" w:cs="Times New Roman"/>
                            <w:sz w:val="20"/>
                            <w:szCs w:val="20"/>
                            <w:lang w:val="en-AU"/>
                          </w:rPr>
                          <w:fldChar w:fldCharType="separate"/>
                        </w:r>
                        <w:r w:rsidRPr="00A429FE">
                          <w:rPr>
                            <w:rFonts w:ascii="Times" w:hAnsi="Times" w:cs="Times New Roman"/>
                            <w:color w:val="0000FF"/>
                            <w:sz w:val="20"/>
                            <w:szCs w:val="20"/>
                            <w:u w:val="single"/>
                            <w:lang w:val="en-AU"/>
                          </w:rPr>
                          <w:t>Corporations Act 2001</w:t>
                        </w:r>
                        <w:r w:rsidRPr="00A429FE">
                          <w:rPr>
                            <w:rFonts w:ascii="Times" w:hAnsi="Times" w:cs="Times New Roman"/>
                            <w:sz w:val="20"/>
                            <w:szCs w:val="20"/>
                            <w:lang w:val="en-AU"/>
                          </w:rPr>
                          <w:fldChar w:fldCharType="end"/>
                        </w:r>
                        <w:r w:rsidRPr="00A429FE">
                          <w:rPr>
                            <w:rFonts w:ascii="Times" w:hAnsi="Times" w:cs="Times New Roman"/>
                            <w:sz w:val="20"/>
                            <w:szCs w:val="20"/>
                            <w:lang w:val="en-AU"/>
                          </w:rPr>
                          <w:t xml:space="preserve"> (Corporations Act). Trustee companies providing traditional services are now supervised by ASIC and will be required, among other things, to meet the compensation requirements under the Corporations Act.</w:t>
                        </w:r>
                        <w:r w:rsidRPr="00A429FE">
                          <w:rPr>
                            <w:rFonts w:ascii="Times" w:hAnsi="Times" w:cs="Times New Roman"/>
                            <w:sz w:val="20"/>
                            <w:szCs w:val="20"/>
                            <w:lang w:val="en-AU"/>
                          </w:rPr>
                          <w:br/>
                        </w:r>
                        <w:r w:rsidRPr="00A429FE">
                          <w:rPr>
                            <w:rFonts w:ascii="Times" w:hAnsi="Times" w:cs="Times New Roman"/>
                            <w:sz w:val="20"/>
                            <w:szCs w:val="20"/>
                            <w:lang w:val="en-AU"/>
                          </w:rPr>
                          <w:br/>
                          <w:t xml:space="preserve">ASIC proposes to apply its existing policy on administering the compensation requirements contained in Regulatory Guide 126 'Licensing: Compensation and Insurance Arrangements for AFS Licensees' (RG 126) to trustee companies providing traditional services to retail clients. </w:t>
                        </w:r>
                        <w:r w:rsidRPr="00A429FE">
                          <w:rPr>
                            <w:rFonts w:ascii="Times" w:hAnsi="Times" w:cs="Times New Roman"/>
                            <w:sz w:val="20"/>
                            <w:szCs w:val="20"/>
                            <w:lang w:val="en-AU"/>
                          </w:rPr>
                          <w:br/>
                        </w:r>
                        <w:r w:rsidRPr="00A429FE">
                          <w:rPr>
                            <w:rFonts w:ascii="Times" w:hAnsi="Times" w:cs="Times New Roman"/>
                            <w:sz w:val="20"/>
                            <w:szCs w:val="20"/>
                            <w:lang w:val="en-AU"/>
                          </w:rPr>
                          <w:br/>
                          <w:t>ASIC invites comment on Consultation Paper 139 Compensation and insurance arrangements for trustee companies providing traditional services (CP 139). In particular, ASIC is interested in feedback on whether the method of calculating the amount of professional indemnity insurance cover contained in RG 126 is appropriate for trustee companies providing traditional services.</w:t>
                        </w:r>
                        <w:r w:rsidRPr="00A429FE">
                          <w:rPr>
                            <w:rFonts w:ascii="Times" w:hAnsi="Times" w:cs="Times New Roman"/>
                            <w:sz w:val="20"/>
                            <w:szCs w:val="20"/>
                            <w:lang w:val="en-AU"/>
                          </w:rPr>
                          <w:br/>
                        </w:r>
                        <w:r w:rsidRPr="00A429FE">
                          <w:rPr>
                            <w:rFonts w:ascii="Times" w:hAnsi="Times" w:cs="Times New Roman"/>
                            <w:sz w:val="20"/>
                            <w:szCs w:val="20"/>
                            <w:lang w:val="en-AU"/>
                          </w:rPr>
                          <w:br/>
                          <w:t xml:space="preserve">ASIC's existing policies and regulatory documents on financial services will generally apply to trustee companies that provide traditional services. </w:t>
                        </w:r>
                        <w:r w:rsidRPr="00A429FE">
                          <w:rPr>
                            <w:rFonts w:ascii="Times" w:hAnsi="Times" w:cs="Times New Roman"/>
                            <w:sz w:val="20"/>
                            <w:szCs w:val="20"/>
                            <w:lang w:val="en-AU"/>
                          </w:rPr>
                          <w:br/>
                          <w:t> </w:t>
                        </w:r>
                        <w:r w:rsidRPr="00A429FE">
                          <w:rPr>
                            <w:rFonts w:ascii="Times" w:hAnsi="Times" w:cs="Times New Roman"/>
                            <w:sz w:val="20"/>
                            <w:szCs w:val="20"/>
                            <w:lang w:val="en-AU"/>
                          </w:rPr>
                          <w:br/>
                          <w:t xml:space="preserve">RG 126 is available on the </w:t>
                        </w:r>
                        <w:r w:rsidRPr="00A429FE">
                          <w:rPr>
                            <w:rFonts w:ascii="Times" w:hAnsi="Times" w:cs="Times New Roman"/>
                            <w:sz w:val="20"/>
                            <w:szCs w:val="20"/>
                            <w:lang w:val="en-AU"/>
                          </w:rPr>
                          <w:fldChar w:fldCharType="begin"/>
                        </w:r>
                        <w:r w:rsidRPr="00A429FE">
                          <w:rPr>
                            <w:rFonts w:ascii="Times" w:hAnsi="Times" w:cs="Times New Roman"/>
                            <w:sz w:val="20"/>
                            <w:szCs w:val="20"/>
                            <w:lang w:val="en-AU"/>
                          </w:rPr>
                          <w:instrText xml:space="preserve"> HYPERLINK "http://www.asic.gov.au/asic/asic.nsf/byheadline/Regulatory+guides?openDocument" \l "rg126" \t "_new" </w:instrText>
                        </w:r>
                        <w:r w:rsidRPr="00A429FE">
                          <w:rPr>
                            <w:rFonts w:ascii="Times" w:hAnsi="Times" w:cs="Times New Roman"/>
                            <w:sz w:val="20"/>
                            <w:szCs w:val="20"/>
                            <w:lang w:val="en-AU"/>
                          </w:rPr>
                        </w:r>
                        <w:r w:rsidRPr="00A429FE">
                          <w:rPr>
                            <w:rFonts w:ascii="Times" w:hAnsi="Times" w:cs="Times New Roman"/>
                            <w:sz w:val="20"/>
                            <w:szCs w:val="20"/>
                            <w:lang w:val="en-AU"/>
                          </w:rPr>
                          <w:fldChar w:fldCharType="separate"/>
                        </w:r>
                        <w:r w:rsidRPr="00A429FE">
                          <w:rPr>
                            <w:rFonts w:ascii="Times" w:hAnsi="Times" w:cs="Times New Roman"/>
                            <w:color w:val="0000FF"/>
                            <w:sz w:val="20"/>
                            <w:szCs w:val="20"/>
                            <w:u w:val="single"/>
                            <w:lang w:val="en-AU"/>
                          </w:rPr>
                          <w:t>ASIC</w:t>
                        </w:r>
                        <w:r w:rsidRPr="00A429FE">
                          <w:rPr>
                            <w:rFonts w:ascii="Times" w:hAnsi="Times" w:cs="Times New Roman"/>
                            <w:sz w:val="20"/>
                            <w:szCs w:val="20"/>
                            <w:lang w:val="en-AU"/>
                          </w:rPr>
                          <w:fldChar w:fldCharType="end"/>
                        </w:r>
                        <w:r w:rsidRPr="00A429FE">
                          <w:rPr>
                            <w:rFonts w:ascii="Times" w:hAnsi="Times" w:cs="Times New Roman"/>
                            <w:sz w:val="20"/>
                            <w:szCs w:val="20"/>
                            <w:lang w:val="en-AU"/>
                          </w:rPr>
                          <w:t xml:space="preserve"> website.</w:t>
                        </w:r>
                        <w:r w:rsidRPr="00A429FE">
                          <w:rPr>
                            <w:rFonts w:ascii="Times" w:hAnsi="Times" w:cs="Times New Roman"/>
                            <w:sz w:val="20"/>
                            <w:szCs w:val="20"/>
                            <w:lang w:val="en-AU"/>
                          </w:rPr>
                          <w:br/>
                        </w:r>
                        <w:r w:rsidRPr="00A429FE">
                          <w:rPr>
                            <w:rFonts w:ascii="Times" w:hAnsi="Times" w:cs="Times New Roman"/>
                            <w:sz w:val="20"/>
                            <w:szCs w:val="20"/>
                            <w:lang w:val="en-AU"/>
                          </w:rPr>
                          <w:br/>
                          <w:t xml:space="preserve">The consultation paper is available on the </w:t>
                        </w:r>
                        <w:r w:rsidRPr="00A429FE">
                          <w:rPr>
                            <w:rFonts w:ascii="Times" w:hAnsi="Times" w:cs="Times New Roman"/>
                            <w:sz w:val="20"/>
                            <w:szCs w:val="20"/>
                            <w:lang w:val="en-AU"/>
                          </w:rPr>
                          <w:fldChar w:fldCharType="begin"/>
                        </w:r>
                        <w:r w:rsidRPr="00A429FE">
                          <w:rPr>
                            <w:rFonts w:ascii="Times" w:hAnsi="Times" w:cs="Times New Roman"/>
                            <w:sz w:val="20"/>
                            <w:szCs w:val="20"/>
                            <w:lang w:val="en-AU"/>
                          </w:rPr>
                          <w:instrText xml:space="preserve"> HYPERLINK "http://www.asic.gov.au/asic/pdflib.nsf/LookupByFileName/cp139.pdf/$file/cp139.pdf" \t "_new" </w:instrText>
                        </w:r>
                        <w:r w:rsidRPr="00A429FE">
                          <w:rPr>
                            <w:rFonts w:ascii="Times" w:hAnsi="Times" w:cs="Times New Roman"/>
                            <w:sz w:val="20"/>
                            <w:szCs w:val="20"/>
                            <w:lang w:val="en-AU"/>
                          </w:rPr>
                        </w:r>
                        <w:r w:rsidRPr="00A429FE">
                          <w:rPr>
                            <w:rFonts w:ascii="Times" w:hAnsi="Times" w:cs="Times New Roman"/>
                            <w:sz w:val="20"/>
                            <w:szCs w:val="20"/>
                            <w:lang w:val="en-AU"/>
                          </w:rPr>
                          <w:fldChar w:fldCharType="separate"/>
                        </w:r>
                        <w:r w:rsidRPr="00A429FE">
                          <w:rPr>
                            <w:rFonts w:ascii="Times" w:hAnsi="Times" w:cs="Times New Roman"/>
                            <w:color w:val="0000FF"/>
                            <w:sz w:val="20"/>
                            <w:szCs w:val="20"/>
                            <w:u w:val="single"/>
                            <w:lang w:val="en-AU"/>
                          </w:rPr>
                          <w:t>ASIC</w:t>
                        </w:r>
                        <w:r w:rsidRPr="00A429FE">
                          <w:rPr>
                            <w:rFonts w:ascii="Times" w:hAnsi="Times" w:cs="Times New Roman"/>
                            <w:sz w:val="20"/>
                            <w:szCs w:val="20"/>
                            <w:lang w:val="en-AU"/>
                          </w:rPr>
                          <w:fldChar w:fldCharType="end"/>
                        </w:r>
                        <w:r w:rsidRPr="00A429FE">
                          <w:rPr>
                            <w:rFonts w:ascii="Times" w:hAnsi="Times" w:cs="Times New Roman"/>
                            <w:sz w:val="20"/>
                            <w:szCs w:val="20"/>
                            <w:lang w:val="en-AU"/>
                          </w:rPr>
                          <w:t xml:space="preserve"> website.</w:t>
                        </w:r>
                      </w:p>
                      <w:p w:rsidR="00A429FE" w:rsidRPr="00A429FE" w:rsidRDefault="00A429FE" w:rsidP="00A429F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7109" name="Picture 17109" descr="etailed Contents">
                                <a:hlinkClick xmlns:a="http://schemas.openxmlformats.org/drawingml/2006/main" r:id="rId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09" descr="etailed Contents">
                                        <a:hlinkClick r:id="rId96"/>
                                      </pic:cNvPr>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A429FE" w:rsidRPr="00A429FE" w:rsidRDefault="00A429FE" w:rsidP="00A429FE">
                  <w:pPr>
                    <w:rPr>
                      <w:rFonts w:ascii="Times" w:eastAsia="Times New Roman" w:hAnsi="Times" w:cs="Times New Roman"/>
                      <w:sz w:val="20"/>
                      <w:szCs w:val="20"/>
                      <w:lang w:val="en-AU"/>
                    </w:rPr>
                  </w:pPr>
                </w:p>
              </w:tc>
            </w:tr>
          </w:tbl>
          <w:p w:rsidR="00A429FE" w:rsidRPr="00A429FE" w:rsidRDefault="00A429FE" w:rsidP="00A429FE">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592"/>
            </w:tblGrid>
            <w:tr w:rsidR="00A429FE" w:rsidRPr="00A429FE">
              <w:trPr>
                <w:trHeight w:val="560"/>
                <w:tblCellSpacing w:w="0" w:type="dxa"/>
              </w:trPr>
              <w:tc>
                <w:tcPr>
                  <w:tcW w:w="0" w:type="auto"/>
                  <w:shd w:val="clear" w:color="auto" w:fill="E4E5E5"/>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6457"/>
                    <w:gridCol w:w="600"/>
                    <w:gridCol w:w="535"/>
                  </w:tblGrid>
                  <w:tr w:rsidR="00A429FE" w:rsidRPr="00A429FE">
                    <w:trPr>
                      <w:tblCellSpacing w:w="0" w:type="dxa"/>
                    </w:trPr>
                    <w:tc>
                      <w:tcPr>
                        <w:tcW w:w="0" w:type="auto"/>
                        <w:vAlign w:val="center"/>
                        <w:hideMark/>
                      </w:tcPr>
                      <w:p w:rsidR="00A429FE" w:rsidRPr="00A429FE" w:rsidRDefault="00A429FE" w:rsidP="00A429FE">
                        <w:pPr>
                          <w:rPr>
                            <w:rFonts w:ascii="Times" w:eastAsia="Times New Roman" w:hAnsi="Times" w:cs="Times New Roman"/>
                            <w:sz w:val="20"/>
                            <w:szCs w:val="20"/>
                            <w:lang w:val="en-AU"/>
                          </w:rPr>
                        </w:pPr>
                        <w:bookmarkStart w:id="45" w:name="3"/>
                        <w:bookmarkEnd w:id="45"/>
                        <w:r w:rsidRPr="00A429FE">
                          <w:rPr>
                            <w:rFonts w:ascii="Times" w:eastAsia="Times New Roman" w:hAnsi="Times" w:cs="Times New Roman"/>
                            <w:b/>
                            <w:bCs/>
                            <w:sz w:val="20"/>
                            <w:szCs w:val="20"/>
                            <w:lang w:val="en-AU"/>
                          </w:rPr>
                          <w:t>3. Recent ASX Developments</w:t>
                        </w:r>
                      </w:p>
                    </w:tc>
                    <w:tc>
                      <w:tcPr>
                        <w:tcW w:w="600" w:type="dxa"/>
                        <w:vAlign w:val="center"/>
                        <w:hideMark/>
                      </w:tcPr>
                      <w:p w:rsidR="00A429FE" w:rsidRPr="00A429FE" w:rsidRDefault="00A429FE" w:rsidP="00A429FE">
                        <w:pPr>
                          <w:rPr>
                            <w:rFonts w:ascii="Times" w:eastAsia="Times New Roman" w:hAnsi="Times" w:cs="Times New Roman"/>
                            <w:sz w:val="20"/>
                            <w:szCs w:val="20"/>
                            <w:lang w:val="en-AU"/>
                          </w:rPr>
                        </w:pPr>
                      </w:p>
                    </w:tc>
                    <w:tc>
                      <w:tcPr>
                        <w:tcW w:w="240" w:type="dxa"/>
                        <w:vAlign w:val="center"/>
                        <w:hideMark/>
                      </w:tcPr>
                      <w:p w:rsidR="00A429FE" w:rsidRPr="00A429FE" w:rsidRDefault="00A429FE" w:rsidP="00A429FE">
                        <w:pPr>
                          <w:rPr>
                            <w:rFonts w:ascii="Times" w:eastAsia="Times New Roman" w:hAnsi="Times" w:cs="Times New Roman"/>
                            <w:sz w:val="20"/>
                            <w:szCs w:val="20"/>
                            <w:lang w:val="en-AU"/>
                          </w:rPr>
                        </w:pPr>
                        <w:r>
                          <w:rPr>
                            <w:rFonts w:ascii="Times" w:eastAsia="Times New Roman" w:hAnsi="Times" w:cs="Times New Roman"/>
                            <w:noProof/>
                            <w:color w:val="0000FF"/>
                            <w:sz w:val="20"/>
                            <w:szCs w:val="20"/>
                          </w:rPr>
                          <w:drawing>
                            <wp:inline distT="0" distB="0" distL="0" distR="0">
                              <wp:extent cx="136525" cy="153670"/>
                              <wp:effectExtent l="0" t="0" r="0" b="0"/>
                              <wp:docPr id="17110" name="Picture 17110" descr="ext Section">
                                <a:hlinkClick xmlns:a="http://schemas.openxmlformats.org/drawingml/2006/main" r:id="rId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10" descr="ext Section">
                                        <a:hlinkClick r:id="rId97"/>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A429FE" w:rsidRPr="00A429FE" w:rsidRDefault="00A429FE" w:rsidP="00A429FE">
                  <w:pPr>
                    <w:rPr>
                      <w:rFonts w:ascii="Times" w:eastAsia="Times New Roman" w:hAnsi="Times" w:cs="Times New Roman"/>
                      <w:sz w:val="20"/>
                      <w:szCs w:val="20"/>
                      <w:lang w:val="en-AU"/>
                    </w:rPr>
                  </w:pPr>
                </w:p>
              </w:tc>
            </w:tr>
            <w:tr w:rsidR="00A429FE" w:rsidRPr="00A429FE">
              <w:trPr>
                <w:tblCellSpacing w:w="0" w:type="dxa"/>
              </w:trPr>
              <w:tc>
                <w:tcPr>
                  <w:tcW w:w="0" w:type="auto"/>
                  <w:vAlign w:val="center"/>
                  <w:hideMark/>
                </w:tcPr>
                <w:p w:rsidR="00A429FE" w:rsidRPr="00A429FE" w:rsidRDefault="00A429FE" w:rsidP="00A429FE">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6956425" cy="17145"/>
                        <wp:effectExtent l="0" t="0" r="0" b="0"/>
                        <wp:docPr id="17111" name="Picture 17111"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11"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6425" cy="17145"/>
                                </a:xfrm>
                                <a:prstGeom prst="rect">
                                  <a:avLst/>
                                </a:prstGeom>
                                <a:noFill/>
                                <a:ln>
                                  <a:noFill/>
                                </a:ln>
                              </pic:spPr>
                            </pic:pic>
                          </a:graphicData>
                        </a:graphic>
                      </wp:inline>
                    </w:drawing>
                  </w:r>
                </w:p>
              </w:tc>
            </w:tr>
            <w:tr w:rsidR="00A429FE" w:rsidRPr="00A429FE">
              <w:trPr>
                <w:tblCellSpacing w:w="0" w:type="dxa"/>
              </w:trPr>
              <w:tc>
                <w:tcPr>
                  <w:tcW w:w="0" w:type="auto"/>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7592"/>
                  </w:tblGrid>
                  <w:tr w:rsidR="00A429FE" w:rsidRPr="00A429FE">
                    <w:trPr>
                      <w:tblCellSpacing w:w="0" w:type="dxa"/>
                    </w:trPr>
                    <w:tc>
                      <w:tcPr>
                        <w:tcW w:w="0" w:type="auto"/>
                        <w:hideMark/>
                      </w:tcPr>
                      <w:p w:rsidR="00A429FE" w:rsidRPr="00A429FE" w:rsidRDefault="00A429FE" w:rsidP="00A429FE">
                        <w:pPr>
                          <w:spacing w:before="100" w:beforeAutospacing="1" w:after="100" w:afterAutospacing="1"/>
                          <w:rPr>
                            <w:rFonts w:ascii="Times" w:hAnsi="Times" w:cs="Times New Roman"/>
                            <w:sz w:val="20"/>
                            <w:szCs w:val="20"/>
                            <w:lang w:val="en-AU"/>
                          </w:rPr>
                        </w:pPr>
                        <w:bookmarkStart w:id="46" w:name="031"/>
                        <w:bookmarkEnd w:id="46"/>
                        <w:r w:rsidRPr="00A429FE">
                          <w:rPr>
                            <w:rFonts w:ascii="Times" w:hAnsi="Times" w:cs="Times New Roman"/>
                            <w:b/>
                            <w:bCs/>
                            <w:sz w:val="20"/>
                            <w:szCs w:val="20"/>
                            <w:lang w:val="en-AU"/>
                          </w:rPr>
                          <w:t>3.1 Trade cancellation policy consultation paper</w:t>
                        </w:r>
                        <w:r w:rsidRPr="00A429FE">
                          <w:rPr>
                            <w:rFonts w:ascii="Times" w:hAnsi="Times" w:cs="Times New Roman"/>
                            <w:sz w:val="20"/>
                            <w:szCs w:val="20"/>
                            <w:lang w:val="en-AU"/>
                          </w:rPr>
                          <w:br/>
                          <w:t> </w:t>
                        </w:r>
                        <w:r w:rsidRPr="00A429FE">
                          <w:rPr>
                            <w:rFonts w:ascii="Times" w:hAnsi="Times" w:cs="Times New Roman"/>
                            <w:sz w:val="20"/>
                            <w:szCs w:val="20"/>
                            <w:lang w:val="en-AU"/>
                          </w:rPr>
                          <w:br/>
                          <w:t>On 6 October 2010, the Australian Securities Exchange (ASX) released a consultation paper outlining proposed changes to ASX and ASX 24 cancellation policies.  In developing its cancellation policies ASX has taken into account recent overseas events, including the 6 May US "flash crash" and consequential changes to US exchange trade cancellation policies.  The approach adopted by ASX is broadly consistent with trends towards a transparent and certain cancellation policy to manage the risks of market mis-pricing borne by an exchange operator.  ASX invites feedback on its proposed changes.</w:t>
                        </w:r>
                        <w:r w:rsidRPr="00A429FE">
                          <w:rPr>
                            <w:rFonts w:ascii="Times" w:hAnsi="Times" w:cs="Times New Roman"/>
                            <w:sz w:val="20"/>
                            <w:szCs w:val="20"/>
                            <w:lang w:val="en-AU"/>
                          </w:rPr>
                          <w:br/>
                          <w:t> </w:t>
                        </w:r>
                        <w:r w:rsidRPr="00A429FE">
                          <w:rPr>
                            <w:rFonts w:ascii="Times" w:hAnsi="Times" w:cs="Times New Roman"/>
                            <w:sz w:val="20"/>
                            <w:szCs w:val="20"/>
                            <w:lang w:val="en-AU"/>
                          </w:rPr>
                          <w:br/>
                          <w:t xml:space="preserve">The consultation paper is available on the </w:t>
                        </w:r>
                        <w:r w:rsidRPr="00A429FE">
                          <w:rPr>
                            <w:rFonts w:ascii="Times" w:hAnsi="Times" w:cs="Times New Roman"/>
                            <w:sz w:val="20"/>
                            <w:szCs w:val="20"/>
                            <w:lang w:val="en-AU"/>
                          </w:rPr>
                          <w:fldChar w:fldCharType="begin"/>
                        </w:r>
                        <w:r w:rsidRPr="00A429FE">
                          <w:rPr>
                            <w:rFonts w:ascii="Times" w:hAnsi="Times" w:cs="Times New Roman"/>
                            <w:sz w:val="20"/>
                            <w:szCs w:val="20"/>
                            <w:lang w:val="en-AU"/>
                          </w:rPr>
                          <w:instrText xml:space="preserve"> HYPERLINK "http://www.asx.com.au/about/pdf/20101006_trade_cancellation_policy.pdf" \t "_new" </w:instrText>
                        </w:r>
                        <w:r w:rsidRPr="00A429FE">
                          <w:rPr>
                            <w:rFonts w:ascii="Times" w:hAnsi="Times" w:cs="Times New Roman"/>
                            <w:sz w:val="20"/>
                            <w:szCs w:val="20"/>
                            <w:lang w:val="en-AU"/>
                          </w:rPr>
                        </w:r>
                        <w:r w:rsidRPr="00A429FE">
                          <w:rPr>
                            <w:rFonts w:ascii="Times" w:hAnsi="Times" w:cs="Times New Roman"/>
                            <w:sz w:val="20"/>
                            <w:szCs w:val="20"/>
                            <w:lang w:val="en-AU"/>
                          </w:rPr>
                          <w:fldChar w:fldCharType="separate"/>
                        </w:r>
                        <w:r w:rsidRPr="00A429FE">
                          <w:rPr>
                            <w:rFonts w:ascii="Times" w:hAnsi="Times" w:cs="Times New Roman"/>
                            <w:color w:val="0000FF"/>
                            <w:sz w:val="20"/>
                            <w:szCs w:val="20"/>
                            <w:u w:val="single"/>
                            <w:lang w:val="en-AU"/>
                          </w:rPr>
                          <w:t>ASX</w:t>
                        </w:r>
                        <w:r w:rsidRPr="00A429FE">
                          <w:rPr>
                            <w:rFonts w:ascii="Times" w:hAnsi="Times" w:cs="Times New Roman"/>
                            <w:sz w:val="20"/>
                            <w:szCs w:val="20"/>
                            <w:lang w:val="en-AU"/>
                          </w:rPr>
                          <w:fldChar w:fldCharType="end"/>
                        </w:r>
                        <w:r w:rsidRPr="00A429FE">
                          <w:rPr>
                            <w:rFonts w:ascii="Times" w:hAnsi="Times" w:cs="Times New Roman"/>
                            <w:sz w:val="20"/>
                            <w:szCs w:val="20"/>
                            <w:lang w:val="en-AU"/>
                          </w:rPr>
                          <w:t xml:space="preserve"> website.</w:t>
                        </w:r>
                      </w:p>
                      <w:p w:rsidR="00A429FE" w:rsidRPr="00A429FE" w:rsidRDefault="00A429FE" w:rsidP="00A429F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7112" name="Picture 17112" descr="etailed Contents">
                                <a:hlinkClick xmlns:a="http://schemas.openxmlformats.org/drawingml/2006/main" r:id="rId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12" descr="etailed Contents">
                                        <a:hlinkClick r:id="rId98"/>
                                      </pic:cNvPr>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A429FE" w:rsidRPr="00A429FE" w:rsidRDefault="00A429FE" w:rsidP="00A429FE">
                        <w:pPr>
                          <w:rPr>
                            <w:rFonts w:ascii="Times" w:eastAsia="Times New Roman" w:hAnsi="Times" w:cs="Times New Roman"/>
                            <w:sz w:val="20"/>
                            <w:szCs w:val="20"/>
                            <w:lang w:val="en-AU"/>
                          </w:rPr>
                        </w:pPr>
                        <w:r w:rsidRPr="00A429FE">
                          <w:rPr>
                            <w:rFonts w:ascii="Times" w:eastAsia="Times New Roman" w:hAnsi="Times" w:cs="Times New Roman"/>
                            <w:sz w:val="20"/>
                            <w:szCs w:val="20"/>
                            <w:lang w:val="en-AU"/>
                          </w:rPr>
                          <w:pict>
                            <v:rect id="_x0000_i18137" style="width:0;height:1.5pt" o:hralign="center" o:hrstd="t" o:hr="t" fillcolor="#aaa" stroked="f"/>
                          </w:pict>
                        </w:r>
                      </w:p>
                      <w:p w:rsidR="00A429FE" w:rsidRPr="00A429FE" w:rsidRDefault="00A429FE" w:rsidP="00A429FE">
                        <w:pPr>
                          <w:spacing w:before="100" w:beforeAutospacing="1" w:after="100" w:afterAutospacing="1"/>
                          <w:rPr>
                            <w:rFonts w:ascii="Times" w:hAnsi="Times" w:cs="Times New Roman"/>
                            <w:sz w:val="20"/>
                            <w:szCs w:val="20"/>
                            <w:lang w:val="en-AU"/>
                          </w:rPr>
                        </w:pPr>
                        <w:bookmarkStart w:id="47" w:name="032"/>
                        <w:bookmarkEnd w:id="47"/>
                        <w:r w:rsidRPr="00A429FE">
                          <w:rPr>
                            <w:rFonts w:ascii="Times" w:hAnsi="Times" w:cs="Times New Roman"/>
                            <w:b/>
                            <w:bCs/>
                            <w:sz w:val="20"/>
                            <w:szCs w:val="20"/>
                            <w:lang w:val="en-AU"/>
                          </w:rPr>
                          <w:t>3.2 Reports</w:t>
                        </w:r>
                        <w:r w:rsidRPr="00A429FE">
                          <w:rPr>
                            <w:rFonts w:ascii="Times" w:hAnsi="Times" w:cs="Times New Roman"/>
                            <w:b/>
                            <w:bCs/>
                            <w:sz w:val="20"/>
                            <w:szCs w:val="20"/>
                            <w:lang w:val="en-AU"/>
                          </w:rPr>
                          <w:br/>
                        </w:r>
                        <w:r w:rsidRPr="00A429FE">
                          <w:rPr>
                            <w:rFonts w:ascii="Times" w:hAnsi="Times" w:cs="Times New Roman"/>
                            <w:sz w:val="20"/>
                            <w:szCs w:val="20"/>
                            <w:lang w:val="en-AU"/>
                          </w:rPr>
                          <w:t> </w:t>
                        </w:r>
                        <w:r w:rsidRPr="00A429FE">
                          <w:rPr>
                            <w:rFonts w:ascii="Times" w:hAnsi="Times" w:cs="Times New Roman"/>
                            <w:sz w:val="20"/>
                            <w:szCs w:val="20"/>
                            <w:lang w:val="en-AU"/>
                          </w:rPr>
                          <w:br/>
                          <w:t>On 6 October 2010, the Australian Securities Exchange (ASX) released the ASX 'ASX Group Monthly Activity Report', the 'ASX 24 Monthly Volume and Open Interest Report' and the 'ASX Compliance Monthly Activity Report for September 2010.</w:t>
                        </w:r>
                        <w:r w:rsidRPr="00A429FE">
                          <w:rPr>
                            <w:rFonts w:ascii="Times" w:hAnsi="Times" w:cs="Times New Roman"/>
                            <w:sz w:val="20"/>
                            <w:szCs w:val="20"/>
                            <w:lang w:val="en-AU"/>
                          </w:rPr>
                          <w:br/>
                        </w:r>
                        <w:r w:rsidRPr="00A429FE">
                          <w:rPr>
                            <w:rFonts w:ascii="Times" w:hAnsi="Times" w:cs="Times New Roman"/>
                            <w:sz w:val="20"/>
                            <w:szCs w:val="20"/>
                            <w:lang w:val="en-AU"/>
                          </w:rPr>
                          <w:br/>
                          <w:t xml:space="preserve">The ASX Group Monthly Activity Report is available on the </w:t>
                        </w:r>
                        <w:r w:rsidRPr="00A429FE">
                          <w:rPr>
                            <w:rFonts w:ascii="Times" w:hAnsi="Times" w:cs="Times New Roman"/>
                            <w:sz w:val="20"/>
                            <w:szCs w:val="20"/>
                            <w:lang w:val="en-AU"/>
                          </w:rPr>
                          <w:fldChar w:fldCharType="begin"/>
                        </w:r>
                        <w:r w:rsidRPr="00A429FE">
                          <w:rPr>
                            <w:rFonts w:ascii="Times" w:hAnsi="Times" w:cs="Times New Roman"/>
                            <w:sz w:val="20"/>
                            <w:szCs w:val="20"/>
                            <w:lang w:val="en-AU"/>
                          </w:rPr>
                          <w:instrText xml:space="preserve"> HYPERLINK "http://www.asx.com.au/about/pdf/20101006_asx_group_monthly_activity_report_september.pdf" \t "_new" </w:instrText>
                        </w:r>
                        <w:r w:rsidRPr="00A429FE">
                          <w:rPr>
                            <w:rFonts w:ascii="Times" w:hAnsi="Times" w:cs="Times New Roman"/>
                            <w:sz w:val="20"/>
                            <w:szCs w:val="20"/>
                            <w:lang w:val="en-AU"/>
                          </w:rPr>
                        </w:r>
                        <w:r w:rsidRPr="00A429FE">
                          <w:rPr>
                            <w:rFonts w:ascii="Times" w:hAnsi="Times" w:cs="Times New Roman"/>
                            <w:sz w:val="20"/>
                            <w:szCs w:val="20"/>
                            <w:lang w:val="en-AU"/>
                          </w:rPr>
                          <w:fldChar w:fldCharType="separate"/>
                        </w:r>
                        <w:r w:rsidRPr="00A429FE">
                          <w:rPr>
                            <w:rFonts w:ascii="Times" w:hAnsi="Times" w:cs="Times New Roman"/>
                            <w:color w:val="0000FF"/>
                            <w:sz w:val="20"/>
                            <w:szCs w:val="20"/>
                            <w:u w:val="single"/>
                            <w:lang w:val="en-AU"/>
                          </w:rPr>
                          <w:t>ASX</w:t>
                        </w:r>
                        <w:r w:rsidRPr="00A429FE">
                          <w:rPr>
                            <w:rFonts w:ascii="Times" w:hAnsi="Times" w:cs="Times New Roman"/>
                            <w:sz w:val="20"/>
                            <w:szCs w:val="20"/>
                            <w:lang w:val="en-AU"/>
                          </w:rPr>
                          <w:fldChar w:fldCharType="end"/>
                        </w:r>
                        <w:r w:rsidRPr="00A429FE">
                          <w:rPr>
                            <w:rFonts w:ascii="Times" w:hAnsi="Times" w:cs="Times New Roman"/>
                            <w:sz w:val="20"/>
                            <w:szCs w:val="20"/>
                            <w:lang w:val="en-AU"/>
                          </w:rPr>
                          <w:t xml:space="preserve"> website.</w:t>
                        </w:r>
                        <w:r w:rsidRPr="00A429FE">
                          <w:rPr>
                            <w:rFonts w:ascii="Times" w:hAnsi="Times" w:cs="Times New Roman"/>
                            <w:sz w:val="20"/>
                            <w:szCs w:val="20"/>
                            <w:lang w:val="en-AU"/>
                          </w:rPr>
                          <w:br/>
                          <w:t> </w:t>
                        </w:r>
                        <w:r w:rsidRPr="00A429FE">
                          <w:rPr>
                            <w:rFonts w:ascii="Times" w:hAnsi="Times" w:cs="Times New Roman"/>
                            <w:sz w:val="20"/>
                            <w:szCs w:val="20"/>
                            <w:lang w:val="en-AU"/>
                          </w:rPr>
                          <w:br/>
                          <w:t xml:space="preserve">The ASX 24 Monthly Volume and Open Interest Report is available on the </w:t>
                        </w:r>
                        <w:r w:rsidRPr="00A429FE">
                          <w:rPr>
                            <w:rFonts w:ascii="Times" w:hAnsi="Times" w:cs="Times New Roman"/>
                            <w:sz w:val="20"/>
                            <w:szCs w:val="20"/>
                            <w:lang w:val="en-AU"/>
                          </w:rPr>
                          <w:fldChar w:fldCharType="begin"/>
                        </w:r>
                        <w:r w:rsidRPr="00A429FE">
                          <w:rPr>
                            <w:rFonts w:ascii="Times" w:hAnsi="Times" w:cs="Times New Roman"/>
                            <w:sz w:val="20"/>
                            <w:szCs w:val="20"/>
                            <w:lang w:val="en-AU"/>
                          </w:rPr>
                          <w:instrText xml:space="preserve"> HYPERLINK "http://www.sfe.com.au/content/notices/2010/notice2010_163.pdf" \t "_new" </w:instrText>
                        </w:r>
                        <w:r w:rsidRPr="00A429FE">
                          <w:rPr>
                            <w:rFonts w:ascii="Times" w:hAnsi="Times" w:cs="Times New Roman"/>
                            <w:sz w:val="20"/>
                            <w:szCs w:val="20"/>
                            <w:lang w:val="en-AU"/>
                          </w:rPr>
                        </w:r>
                        <w:r w:rsidRPr="00A429FE">
                          <w:rPr>
                            <w:rFonts w:ascii="Times" w:hAnsi="Times" w:cs="Times New Roman"/>
                            <w:sz w:val="20"/>
                            <w:szCs w:val="20"/>
                            <w:lang w:val="en-AU"/>
                          </w:rPr>
                          <w:fldChar w:fldCharType="separate"/>
                        </w:r>
                        <w:r w:rsidRPr="00A429FE">
                          <w:rPr>
                            <w:rFonts w:ascii="Times" w:hAnsi="Times" w:cs="Times New Roman"/>
                            <w:color w:val="0000FF"/>
                            <w:sz w:val="20"/>
                            <w:szCs w:val="20"/>
                            <w:u w:val="single"/>
                            <w:lang w:val="en-AU"/>
                          </w:rPr>
                          <w:t>ASX</w:t>
                        </w:r>
                        <w:r w:rsidRPr="00A429FE">
                          <w:rPr>
                            <w:rFonts w:ascii="Times" w:hAnsi="Times" w:cs="Times New Roman"/>
                            <w:sz w:val="20"/>
                            <w:szCs w:val="20"/>
                            <w:lang w:val="en-AU"/>
                          </w:rPr>
                          <w:fldChar w:fldCharType="end"/>
                        </w:r>
                        <w:r w:rsidRPr="00A429FE">
                          <w:rPr>
                            <w:rFonts w:ascii="Times" w:hAnsi="Times" w:cs="Times New Roman"/>
                            <w:sz w:val="20"/>
                            <w:szCs w:val="20"/>
                            <w:lang w:val="en-AU"/>
                          </w:rPr>
                          <w:t xml:space="preserve"> website.</w:t>
                        </w:r>
                        <w:r w:rsidRPr="00A429FE">
                          <w:rPr>
                            <w:rFonts w:ascii="Times" w:hAnsi="Times" w:cs="Times New Roman"/>
                            <w:sz w:val="20"/>
                            <w:szCs w:val="20"/>
                            <w:lang w:val="en-AU"/>
                          </w:rPr>
                          <w:br/>
                          <w:t> </w:t>
                        </w:r>
                        <w:r w:rsidRPr="00A429FE">
                          <w:rPr>
                            <w:rFonts w:ascii="Times" w:hAnsi="Times" w:cs="Times New Roman"/>
                            <w:sz w:val="20"/>
                            <w:szCs w:val="20"/>
                            <w:lang w:val="en-AU"/>
                          </w:rPr>
                          <w:br/>
                          <w:t xml:space="preserve">The ASX Compliance Monthly Activity Report is available on the </w:t>
                        </w:r>
                        <w:r w:rsidRPr="00A429FE">
                          <w:rPr>
                            <w:rFonts w:ascii="Times" w:hAnsi="Times" w:cs="Times New Roman"/>
                            <w:sz w:val="20"/>
                            <w:szCs w:val="20"/>
                            <w:lang w:val="en-AU"/>
                          </w:rPr>
                          <w:fldChar w:fldCharType="begin"/>
                        </w:r>
                        <w:r w:rsidRPr="00A429FE">
                          <w:rPr>
                            <w:rFonts w:ascii="Times" w:hAnsi="Times" w:cs="Times New Roman"/>
                            <w:sz w:val="20"/>
                            <w:szCs w:val="20"/>
                            <w:lang w:val="en-AU"/>
                          </w:rPr>
                          <w:instrText xml:space="preserve"> HYPERLINK "http://www.asx.com.au/about/pdf/20101006_asx_compliance_monthly_activity_report_september.pdf" \t "_new" </w:instrText>
                        </w:r>
                        <w:r w:rsidRPr="00A429FE">
                          <w:rPr>
                            <w:rFonts w:ascii="Times" w:hAnsi="Times" w:cs="Times New Roman"/>
                            <w:sz w:val="20"/>
                            <w:szCs w:val="20"/>
                            <w:lang w:val="en-AU"/>
                          </w:rPr>
                        </w:r>
                        <w:r w:rsidRPr="00A429FE">
                          <w:rPr>
                            <w:rFonts w:ascii="Times" w:hAnsi="Times" w:cs="Times New Roman"/>
                            <w:sz w:val="20"/>
                            <w:szCs w:val="20"/>
                            <w:lang w:val="en-AU"/>
                          </w:rPr>
                          <w:fldChar w:fldCharType="separate"/>
                        </w:r>
                        <w:r w:rsidRPr="00A429FE">
                          <w:rPr>
                            <w:rFonts w:ascii="Times" w:hAnsi="Times" w:cs="Times New Roman"/>
                            <w:color w:val="0000FF"/>
                            <w:sz w:val="20"/>
                            <w:szCs w:val="20"/>
                            <w:u w:val="single"/>
                            <w:lang w:val="en-AU"/>
                          </w:rPr>
                          <w:t>ASX</w:t>
                        </w:r>
                        <w:r w:rsidRPr="00A429FE">
                          <w:rPr>
                            <w:rFonts w:ascii="Times" w:hAnsi="Times" w:cs="Times New Roman"/>
                            <w:sz w:val="20"/>
                            <w:szCs w:val="20"/>
                            <w:lang w:val="en-AU"/>
                          </w:rPr>
                          <w:fldChar w:fldCharType="end"/>
                        </w:r>
                        <w:r w:rsidRPr="00A429FE">
                          <w:rPr>
                            <w:rFonts w:ascii="Times" w:hAnsi="Times" w:cs="Times New Roman"/>
                            <w:sz w:val="20"/>
                            <w:szCs w:val="20"/>
                            <w:lang w:val="en-AU"/>
                          </w:rPr>
                          <w:t xml:space="preserve"> website.</w:t>
                        </w:r>
                      </w:p>
                      <w:p w:rsidR="00A429FE" w:rsidRPr="00A429FE" w:rsidRDefault="00A429FE" w:rsidP="00A429F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7114" name="Picture 17114" descr="etailed Contents">
                                <a:hlinkClick xmlns:a="http://schemas.openxmlformats.org/drawingml/2006/main" r:id="rId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14" descr="etailed Contents">
                                        <a:hlinkClick r:id="rId98"/>
                                      </pic:cNvPr>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A429FE" w:rsidRPr="00A429FE" w:rsidRDefault="00A429FE" w:rsidP="00A429FE">
                        <w:pPr>
                          <w:rPr>
                            <w:rFonts w:ascii="Times" w:eastAsia="Times New Roman" w:hAnsi="Times" w:cs="Times New Roman"/>
                            <w:sz w:val="20"/>
                            <w:szCs w:val="20"/>
                            <w:lang w:val="en-AU"/>
                          </w:rPr>
                        </w:pPr>
                        <w:r w:rsidRPr="00A429FE">
                          <w:rPr>
                            <w:rFonts w:ascii="Times" w:eastAsia="Times New Roman" w:hAnsi="Times" w:cs="Times New Roman"/>
                            <w:sz w:val="20"/>
                            <w:szCs w:val="20"/>
                            <w:lang w:val="en-AU"/>
                          </w:rPr>
                          <w:pict>
                            <v:rect id="_x0000_i18139" style="width:0;height:1.5pt" o:hralign="center" o:hrstd="t" o:hr="t" fillcolor="#aaa" stroked="f"/>
                          </w:pict>
                        </w:r>
                      </w:p>
                      <w:p w:rsidR="00A429FE" w:rsidRPr="00A429FE" w:rsidRDefault="00A429FE" w:rsidP="00A429FE">
                        <w:pPr>
                          <w:spacing w:before="100" w:beforeAutospacing="1" w:after="100" w:afterAutospacing="1"/>
                          <w:rPr>
                            <w:rFonts w:ascii="Times" w:hAnsi="Times" w:cs="Times New Roman"/>
                            <w:sz w:val="20"/>
                            <w:szCs w:val="20"/>
                            <w:lang w:val="en-AU"/>
                          </w:rPr>
                        </w:pPr>
                        <w:bookmarkStart w:id="48" w:name="033"/>
                        <w:bookmarkEnd w:id="48"/>
                        <w:r w:rsidRPr="00A429FE">
                          <w:rPr>
                            <w:rFonts w:ascii="Times" w:hAnsi="Times" w:cs="Times New Roman"/>
                            <w:b/>
                            <w:bCs/>
                            <w:sz w:val="20"/>
                            <w:szCs w:val="20"/>
                            <w:lang w:val="en-AU"/>
                          </w:rPr>
                          <w:t>3.3 Launch of equity volatility index</w:t>
                        </w:r>
                        <w:r w:rsidRPr="00A429FE">
                          <w:rPr>
                            <w:rFonts w:ascii="Times" w:hAnsi="Times" w:cs="Times New Roman"/>
                            <w:b/>
                            <w:bCs/>
                            <w:sz w:val="20"/>
                            <w:szCs w:val="20"/>
                            <w:lang w:val="en-AU"/>
                          </w:rPr>
                          <w:br/>
                        </w:r>
                        <w:r w:rsidRPr="00A429FE">
                          <w:rPr>
                            <w:rFonts w:ascii="Times" w:hAnsi="Times" w:cs="Times New Roman"/>
                            <w:sz w:val="20"/>
                            <w:szCs w:val="20"/>
                            <w:lang w:val="en-AU"/>
                          </w:rPr>
                          <w:br/>
                          <w:t>On 21 September 2010, the Australian Securities Exchange (ASX) and Standard &amp; Poor's (S&amp;P) announced the launch of an Australian equity volatility benchmark - the S&amp;P/ASX 200 VIX.</w:t>
                        </w:r>
                        <w:r w:rsidRPr="00A429FE">
                          <w:rPr>
                            <w:rFonts w:ascii="Times" w:hAnsi="Times" w:cs="Times New Roman"/>
                            <w:sz w:val="20"/>
                            <w:szCs w:val="20"/>
                            <w:lang w:val="en-AU"/>
                          </w:rPr>
                          <w:br/>
                          <w:t> </w:t>
                        </w:r>
                        <w:r w:rsidRPr="00A429FE">
                          <w:rPr>
                            <w:rFonts w:ascii="Times" w:hAnsi="Times" w:cs="Times New Roman"/>
                            <w:sz w:val="20"/>
                            <w:szCs w:val="20"/>
                            <w:lang w:val="en-AU"/>
                          </w:rPr>
                          <w:br/>
                          <w:t>The S&amp;P/ASX 200 VIX is an end-of-day index that reflects investor sentiment about the expected volatility in the Australian benchmark equity index, the S&amp;P/ASX 200.  The calculation uses proprietary methodology of the Chicago Board Options Exchange (CBOE).  The S&amp;P/ASX 200 VIX reflects expected equity market volatility over the next 30 days by using settlement prices for S&amp;P/ASX 200 put and call options to calculate a weighted average of the implied volatility incorporated into the options.</w:t>
                        </w:r>
                        <w:r w:rsidRPr="00A429FE">
                          <w:rPr>
                            <w:rFonts w:ascii="Times" w:hAnsi="Times" w:cs="Times New Roman"/>
                            <w:sz w:val="20"/>
                            <w:szCs w:val="20"/>
                            <w:lang w:val="en-AU"/>
                          </w:rPr>
                          <w:br/>
                          <w:t> </w:t>
                        </w:r>
                        <w:r w:rsidRPr="00A429FE">
                          <w:rPr>
                            <w:rFonts w:ascii="Times" w:hAnsi="Times" w:cs="Times New Roman"/>
                            <w:sz w:val="20"/>
                            <w:szCs w:val="20"/>
                            <w:lang w:val="en-AU"/>
                          </w:rPr>
                          <w:br/>
                          <w:t xml:space="preserve">The S&amp;P/ASX 200 VIX is initially available as an end-of-day index from ASX, with back data available on the </w:t>
                        </w:r>
                        <w:r w:rsidRPr="00A429FE">
                          <w:rPr>
                            <w:rFonts w:ascii="Times" w:hAnsi="Times" w:cs="Times New Roman"/>
                            <w:sz w:val="20"/>
                            <w:szCs w:val="20"/>
                            <w:lang w:val="en-AU"/>
                          </w:rPr>
                          <w:fldChar w:fldCharType="begin"/>
                        </w:r>
                        <w:r w:rsidRPr="00A429FE">
                          <w:rPr>
                            <w:rFonts w:ascii="Times" w:hAnsi="Times" w:cs="Times New Roman"/>
                            <w:sz w:val="20"/>
                            <w:szCs w:val="20"/>
                            <w:lang w:val="en-AU"/>
                          </w:rPr>
                          <w:instrText xml:space="preserve"> HYPERLINK "http://www.asx.com.au/volatilityindex" \t "_new" </w:instrText>
                        </w:r>
                        <w:r w:rsidRPr="00A429FE">
                          <w:rPr>
                            <w:rFonts w:ascii="Times" w:hAnsi="Times" w:cs="Times New Roman"/>
                            <w:sz w:val="20"/>
                            <w:szCs w:val="20"/>
                            <w:lang w:val="en-AU"/>
                          </w:rPr>
                        </w:r>
                        <w:r w:rsidRPr="00A429FE">
                          <w:rPr>
                            <w:rFonts w:ascii="Times" w:hAnsi="Times" w:cs="Times New Roman"/>
                            <w:sz w:val="20"/>
                            <w:szCs w:val="20"/>
                            <w:lang w:val="en-AU"/>
                          </w:rPr>
                          <w:fldChar w:fldCharType="separate"/>
                        </w:r>
                        <w:r w:rsidRPr="00A429FE">
                          <w:rPr>
                            <w:rFonts w:ascii="Times" w:hAnsi="Times" w:cs="Times New Roman"/>
                            <w:color w:val="0000FF"/>
                            <w:sz w:val="20"/>
                            <w:szCs w:val="20"/>
                            <w:u w:val="single"/>
                            <w:lang w:val="en-AU"/>
                          </w:rPr>
                          <w:t>ASX</w:t>
                        </w:r>
                        <w:r w:rsidRPr="00A429FE">
                          <w:rPr>
                            <w:rFonts w:ascii="Times" w:hAnsi="Times" w:cs="Times New Roman"/>
                            <w:sz w:val="20"/>
                            <w:szCs w:val="20"/>
                            <w:lang w:val="en-AU"/>
                          </w:rPr>
                          <w:fldChar w:fldCharType="end"/>
                        </w:r>
                        <w:r w:rsidRPr="00A429FE">
                          <w:rPr>
                            <w:rFonts w:ascii="Times" w:hAnsi="Times" w:cs="Times New Roman"/>
                            <w:sz w:val="20"/>
                            <w:szCs w:val="20"/>
                            <w:lang w:val="en-AU"/>
                          </w:rPr>
                          <w:t xml:space="preserve"> website.</w:t>
                        </w:r>
                        <w:r w:rsidRPr="00A429FE">
                          <w:rPr>
                            <w:rFonts w:ascii="Times" w:hAnsi="Times" w:cs="Times New Roman"/>
                            <w:sz w:val="20"/>
                            <w:szCs w:val="20"/>
                            <w:lang w:val="en-AU"/>
                          </w:rPr>
                          <w:br/>
                          <w:t> </w:t>
                        </w:r>
                        <w:r w:rsidRPr="00A429FE">
                          <w:rPr>
                            <w:rFonts w:ascii="Times" w:hAnsi="Times" w:cs="Times New Roman"/>
                            <w:sz w:val="20"/>
                            <w:szCs w:val="20"/>
                            <w:lang w:val="en-AU"/>
                          </w:rPr>
                          <w:br/>
                          <w:t xml:space="preserve">The press release is available on the </w:t>
                        </w:r>
                        <w:r w:rsidRPr="00A429FE">
                          <w:rPr>
                            <w:rFonts w:ascii="Times" w:hAnsi="Times" w:cs="Times New Roman"/>
                            <w:sz w:val="20"/>
                            <w:szCs w:val="20"/>
                            <w:lang w:val="en-AU"/>
                          </w:rPr>
                          <w:fldChar w:fldCharType="begin"/>
                        </w:r>
                        <w:r w:rsidRPr="00A429FE">
                          <w:rPr>
                            <w:rFonts w:ascii="Times" w:hAnsi="Times" w:cs="Times New Roman"/>
                            <w:sz w:val="20"/>
                            <w:szCs w:val="20"/>
                            <w:lang w:val="en-AU"/>
                          </w:rPr>
                          <w:instrText xml:space="preserve"> HYPERLINK "http://www.asx.com.au/about/pdf/20100921_ASX_VIX_press_release.pdf" \t "_new" </w:instrText>
                        </w:r>
                        <w:r w:rsidRPr="00A429FE">
                          <w:rPr>
                            <w:rFonts w:ascii="Times" w:hAnsi="Times" w:cs="Times New Roman"/>
                            <w:sz w:val="20"/>
                            <w:szCs w:val="20"/>
                            <w:lang w:val="en-AU"/>
                          </w:rPr>
                        </w:r>
                        <w:r w:rsidRPr="00A429FE">
                          <w:rPr>
                            <w:rFonts w:ascii="Times" w:hAnsi="Times" w:cs="Times New Roman"/>
                            <w:sz w:val="20"/>
                            <w:szCs w:val="20"/>
                            <w:lang w:val="en-AU"/>
                          </w:rPr>
                          <w:fldChar w:fldCharType="separate"/>
                        </w:r>
                        <w:r w:rsidRPr="00A429FE">
                          <w:rPr>
                            <w:rFonts w:ascii="Times" w:hAnsi="Times" w:cs="Times New Roman"/>
                            <w:color w:val="0000FF"/>
                            <w:sz w:val="20"/>
                            <w:szCs w:val="20"/>
                            <w:u w:val="single"/>
                            <w:lang w:val="en-AU"/>
                          </w:rPr>
                          <w:t>ASX</w:t>
                        </w:r>
                        <w:r w:rsidRPr="00A429FE">
                          <w:rPr>
                            <w:rFonts w:ascii="Times" w:hAnsi="Times" w:cs="Times New Roman"/>
                            <w:sz w:val="20"/>
                            <w:szCs w:val="20"/>
                            <w:lang w:val="en-AU"/>
                          </w:rPr>
                          <w:fldChar w:fldCharType="end"/>
                        </w:r>
                        <w:r w:rsidRPr="00A429FE">
                          <w:rPr>
                            <w:rFonts w:ascii="Times" w:hAnsi="Times" w:cs="Times New Roman"/>
                            <w:sz w:val="20"/>
                            <w:szCs w:val="20"/>
                            <w:lang w:val="en-AU"/>
                          </w:rPr>
                          <w:t xml:space="preserve"> website.</w:t>
                        </w:r>
                      </w:p>
                      <w:p w:rsidR="00A429FE" w:rsidRPr="00A429FE" w:rsidRDefault="00A429FE" w:rsidP="00A429F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7116" name="Picture 17116" descr="etailed Contents">
                                <a:hlinkClick xmlns:a="http://schemas.openxmlformats.org/drawingml/2006/main" r:id="rId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16" descr="etailed Contents">
                                        <a:hlinkClick r:id="rId98"/>
                                      </pic:cNvPr>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A429FE" w:rsidRPr="00A429FE" w:rsidRDefault="00A429FE" w:rsidP="00A429FE">
                        <w:pPr>
                          <w:rPr>
                            <w:rFonts w:ascii="Times" w:eastAsia="Times New Roman" w:hAnsi="Times" w:cs="Times New Roman"/>
                            <w:sz w:val="20"/>
                            <w:szCs w:val="20"/>
                            <w:lang w:val="en-AU"/>
                          </w:rPr>
                        </w:pPr>
                        <w:r w:rsidRPr="00A429FE">
                          <w:rPr>
                            <w:rFonts w:ascii="Times" w:eastAsia="Times New Roman" w:hAnsi="Times" w:cs="Times New Roman"/>
                            <w:sz w:val="20"/>
                            <w:szCs w:val="20"/>
                            <w:lang w:val="en-AU"/>
                          </w:rPr>
                          <w:pict>
                            <v:rect id="_x0000_i18141" style="width:0;height:1.5pt" o:hralign="center" o:hrstd="t" o:hr="t" fillcolor="#aaa" stroked="f"/>
                          </w:pict>
                        </w:r>
                      </w:p>
                      <w:p w:rsidR="00A429FE" w:rsidRPr="00A429FE" w:rsidRDefault="00A429FE" w:rsidP="00A429FE">
                        <w:pPr>
                          <w:spacing w:before="100" w:beforeAutospacing="1" w:after="100" w:afterAutospacing="1"/>
                          <w:rPr>
                            <w:rFonts w:ascii="Times" w:hAnsi="Times" w:cs="Times New Roman"/>
                            <w:sz w:val="20"/>
                            <w:szCs w:val="20"/>
                            <w:lang w:val="en-AU"/>
                          </w:rPr>
                        </w:pPr>
                        <w:bookmarkStart w:id="49" w:name="034"/>
                        <w:bookmarkEnd w:id="49"/>
                        <w:r w:rsidRPr="00A429FE">
                          <w:rPr>
                            <w:rFonts w:ascii="Times" w:hAnsi="Times" w:cs="Times New Roman"/>
                            <w:b/>
                            <w:bCs/>
                            <w:sz w:val="20"/>
                            <w:szCs w:val="20"/>
                            <w:lang w:val="en-AU"/>
                          </w:rPr>
                          <w:t>3.4 ASX and SGX proposed merger</w:t>
                        </w:r>
                        <w:r w:rsidRPr="00A429FE">
                          <w:rPr>
                            <w:rFonts w:ascii="Times" w:hAnsi="Times" w:cs="Times New Roman"/>
                            <w:b/>
                            <w:bCs/>
                            <w:sz w:val="20"/>
                            <w:szCs w:val="20"/>
                            <w:lang w:val="en-AU"/>
                          </w:rPr>
                          <w:br/>
                        </w:r>
                        <w:r w:rsidRPr="00A429FE">
                          <w:rPr>
                            <w:rFonts w:ascii="Times" w:hAnsi="Times" w:cs="Times New Roman"/>
                            <w:sz w:val="20"/>
                            <w:szCs w:val="20"/>
                            <w:lang w:val="en-AU"/>
                          </w:rPr>
                          <w:t> </w:t>
                        </w:r>
                        <w:r w:rsidRPr="00A429FE">
                          <w:rPr>
                            <w:rFonts w:ascii="Times" w:hAnsi="Times" w:cs="Times New Roman"/>
                            <w:sz w:val="20"/>
                            <w:szCs w:val="20"/>
                            <w:lang w:val="en-AU"/>
                          </w:rPr>
                          <w:br/>
                          <w:t>On 25 October 2010, ASX Ltd (ASX) and the Singapore Exchange (SGX) announced a proposed merger to be undertaken by way of a scheme of arrangement. Under the proposal, SGX will acquire all the issued ordinary shares of ASX at a price of A$48 per ASX share. This values ASX at A$8.4 billion. ASX and SGX will remain separate legal and locally operating entities and will maintain their existing brands. If implemented, the merger would create the world's fifth largest listed exchange group.</w:t>
                        </w:r>
                        <w:r w:rsidRPr="00A429FE">
                          <w:rPr>
                            <w:rFonts w:ascii="Times" w:hAnsi="Times" w:cs="Times New Roman"/>
                            <w:sz w:val="20"/>
                            <w:szCs w:val="20"/>
                            <w:lang w:val="en-AU"/>
                          </w:rPr>
                          <w:br/>
                          <w:t> </w:t>
                        </w:r>
                        <w:r w:rsidRPr="00A429FE">
                          <w:rPr>
                            <w:rFonts w:ascii="Times" w:hAnsi="Times" w:cs="Times New Roman"/>
                            <w:sz w:val="20"/>
                            <w:szCs w:val="20"/>
                            <w:lang w:val="en-AU"/>
                          </w:rPr>
                          <w:br/>
                          <w:t xml:space="preserve">Further information is available on the </w:t>
                        </w:r>
                        <w:r w:rsidRPr="00A429FE">
                          <w:rPr>
                            <w:rFonts w:ascii="Times" w:hAnsi="Times" w:cs="Times New Roman"/>
                            <w:sz w:val="20"/>
                            <w:szCs w:val="20"/>
                            <w:lang w:val="en-AU"/>
                          </w:rPr>
                          <w:fldChar w:fldCharType="begin"/>
                        </w:r>
                        <w:r w:rsidRPr="00A429FE">
                          <w:rPr>
                            <w:rFonts w:ascii="Times" w:hAnsi="Times" w:cs="Times New Roman"/>
                            <w:sz w:val="20"/>
                            <w:szCs w:val="20"/>
                            <w:lang w:val="en-AU"/>
                          </w:rPr>
                          <w:instrText xml:space="preserve"> HYPERLINK "http://www.asx.com.au/" \t "_new" </w:instrText>
                        </w:r>
                        <w:r w:rsidRPr="00A429FE">
                          <w:rPr>
                            <w:rFonts w:ascii="Times" w:hAnsi="Times" w:cs="Times New Roman"/>
                            <w:sz w:val="20"/>
                            <w:szCs w:val="20"/>
                            <w:lang w:val="en-AU"/>
                          </w:rPr>
                        </w:r>
                        <w:r w:rsidRPr="00A429FE">
                          <w:rPr>
                            <w:rFonts w:ascii="Times" w:hAnsi="Times" w:cs="Times New Roman"/>
                            <w:sz w:val="20"/>
                            <w:szCs w:val="20"/>
                            <w:lang w:val="en-AU"/>
                          </w:rPr>
                          <w:fldChar w:fldCharType="separate"/>
                        </w:r>
                        <w:r w:rsidRPr="00A429FE">
                          <w:rPr>
                            <w:rFonts w:ascii="Times" w:hAnsi="Times" w:cs="Times New Roman"/>
                            <w:color w:val="0000FF"/>
                            <w:sz w:val="20"/>
                            <w:szCs w:val="20"/>
                            <w:u w:val="single"/>
                            <w:lang w:val="en-AU"/>
                          </w:rPr>
                          <w:t>ASX</w:t>
                        </w:r>
                        <w:r w:rsidRPr="00A429FE">
                          <w:rPr>
                            <w:rFonts w:ascii="Times" w:hAnsi="Times" w:cs="Times New Roman"/>
                            <w:sz w:val="20"/>
                            <w:szCs w:val="20"/>
                            <w:lang w:val="en-AU"/>
                          </w:rPr>
                          <w:fldChar w:fldCharType="end"/>
                        </w:r>
                        <w:r w:rsidRPr="00A429FE">
                          <w:rPr>
                            <w:rFonts w:ascii="Times" w:hAnsi="Times" w:cs="Times New Roman"/>
                            <w:sz w:val="20"/>
                            <w:szCs w:val="20"/>
                            <w:lang w:val="en-AU"/>
                          </w:rPr>
                          <w:t xml:space="preserve"> website.</w:t>
                        </w:r>
                      </w:p>
                      <w:p w:rsidR="00A429FE" w:rsidRPr="00A429FE" w:rsidRDefault="00A429FE" w:rsidP="00A429F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7118" name="Picture 17118" descr="etailed Contents">
                                <a:hlinkClick xmlns:a="http://schemas.openxmlformats.org/drawingml/2006/main" r:id="rId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18" descr="etailed Contents">
                                        <a:hlinkClick r:id="rId98"/>
                                      </pic:cNvPr>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A429FE" w:rsidRPr="00A429FE" w:rsidRDefault="00A429FE" w:rsidP="00A429FE">
                  <w:pPr>
                    <w:rPr>
                      <w:rFonts w:ascii="Times" w:eastAsia="Times New Roman" w:hAnsi="Times" w:cs="Times New Roman"/>
                      <w:sz w:val="20"/>
                      <w:szCs w:val="20"/>
                      <w:lang w:val="en-AU"/>
                    </w:rPr>
                  </w:pPr>
                </w:p>
              </w:tc>
            </w:tr>
          </w:tbl>
          <w:p w:rsidR="00A429FE" w:rsidRPr="00A429FE" w:rsidRDefault="00A429FE" w:rsidP="00A429FE">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592"/>
            </w:tblGrid>
            <w:tr w:rsidR="00A429FE" w:rsidRPr="00A429FE">
              <w:trPr>
                <w:trHeight w:val="560"/>
                <w:tblCellSpacing w:w="0" w:type="dxa"/>
              </w:trPr>
              <w:tc>
                <w:tcPr>
                  <w:tcW w:w="0" w:type="auto"/>
                  <w:shd w:val="clear" w:color="auto" w:fill="E4E5E5"/>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6457"/>
                    <w:gridCol w:w="600"/>
                    <w:gridCol w:w="535"/>
                  </w:tblGrid>
                  <w:tr w:rsidR="00A429FE" w:rsidRPr="00A429FE">
                    <w:trPr>
                      <w:tblCellSpacing w:w="0" w:type="dxa"/>
                    </w:trPr>
                    <w:tc>
                      <w:tcPr>
                        <w:tcW w:w="0" w:type="auto"/>
                        <w:vAlign w:val="center"/>
                        <w:hideMark/>
                      </w:tcPr>
                      <w:p w:rsidR="00A429FE" w:rsidRPr="00A429FE" w:rsidRDefault="00A429FE" w:rsidP="00A429FE">
                        <w:pPr>
                          <w:rPr>
                            <w:rFonts w:ascii="Times" w:eastAsia="Times New Roman" w:hAnsi="Times" w:cs="Times New Roman"/>
                            <w:sz w:val="20"/>
                            <w:szCs w:val="20"/>
                            <w:lang w:val="en-AU"/>
                          </w:rPr>
                        </w:pPr>
                        <w:bookmarkStart w:id="50" w:name="4"/>
                        <w:bookmarkEnd w:id="50"/>
                        <w:r w:rsidRPr="00A429FE">
                          <w:rPr>
                            <w:rFonts w:ascii="Times" w:eastAsia="Times New Roman" w:hAnsi="Times" w:cs="Times New Roman"/>
                            <w:b/>
                            <w:bCs/>
                            <w:sz w:val="20"/>
                            <w:szCs w:val="20"/>
                            <w:lang w:val="en-AU"/>
                          </w:rPr>
                          <w:t>4. Recent Takeovers Panel Developments</w:t>
                        </w:r>
                      </w:p>
                    </w:tc>
                    <w:tc>
                      <w:tcPr>
                        <w:tcW w:w="600" w:type="dxa"/>
                        <w:vAlign w:val="center"/>
                        <w:hideMark/>
                      </w:tcPr>
                      <w:p w:rsidR="00A429FE" w:rsidRPr="00A429FE" w:rsidRDefault="00A429FE" w:rsidP="00A429FE">
                        <w:pPr>
                          <w:rPr>
                            <w:rFonts w:ascii="Times" w:eastAsia="Times New Roman" w:hAnsi="Times" w:cs="Times New Roman"/>
                            <w:sz w:val="20"/>
                            <w:szCs w:val="20"/>
                            <w:lang w:val="en-AU"/>
                          </w:rPr>
                        </w:pPr>
                      </w:p>
                    </w:tc>
                    <w:tc>
                      <w:tcPr>
                        <w:tcW w:w="240" w:type="dxa"/>
                        <w:vAlign w:val="center"/>
                        <w:hideMark/>
                      </w:tcPr>
                      <w:p w:rsidR="00A429FE" w:rsidRPr="00A429FE" w:rsidRDefault="00A429FE" w:rsidP="00A429FE">
                        <w:pPr>
                          <w:rPr>
                            <w:rFonts w:ascii="Times" w:eastAsia="Times New Roman" w:hAnsi="Times" w:cs="Times New Roman"/>
                            <w:sz w:val="20"/>
                            <w:szCs w:val="20"/>
                            <w:lang w:val="en-AU"/>
                          </w:rPr>
                        </w:pPr>
                        <w:r>
                          <w:rPr>
                            <w:rFonts w:ascii="Times" w:eastAsia="Times New Roman" w:hAnsi="Times" w:cs="Times New Roman"/>
                            <w:noProof/>
                            <w:color w:val="0000FF"/>
                            <w:sz w:val="20"/>
                            <w:szCs w:val="20"/>
                          </w:rPr>
                          <w:drawing>
                            <wp:inline distT="0" distB="0" distL="0" distR="0">
                              <wp:extent cx="136525" cy="153670"/>
                              <wp:effectExtent l="0" t="0" r="0" b="0"/>
                              <wp:docPr id="17119" name="Picture 17119" descr="ext Section">
                                <a:hlinkClick xmlns:a="http://schemas.openxmlformats.org/drawingml/2006/main" r:id="rId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19" descr="ext Section">
                                        <a:hlinkClick r:id="rId99"/>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A429FE" w:rsidRPr="00A429FE" w:rsidRDefault="00A429FE" w:rsidP="00A429FE">
                  <w:pPr>
                    <w:rPr>
                      <w:rFonts w:ascii="Times" w:eastAsia="Times New Roman" w:hAnsi="Times" w:cs="Times New Roman"/>
                      <w:sz w:val="20"/>
                      <w:szCs w:val="20"/>
                      <w:lang w:val="en-AU"/>
                    </w:rPr>
                  </w:pPr>
                </w:p>
              </w:tc>
            </w:tr>
            <w:tr w:rsidR="00A429FE" w:rsidRPr="00A429FE">
              <w:trPr>
                <w:tblCellSpacing w:w="0" w:type="dxa"/>
              </w:trPr>
              <w:tc>
                <w:tcPr>
                  <w:tcW w:w="0" w:type="auto"/>
                  <w:vAlign w:val="center"/>
                  <w:hideMark/>
                </w:tcPr>
                <w:p w:rsidR="00A429FE" w:rsidRPr="00A429FE" w:rsidRDefault="00A429FE" w:rsidP="00A429FE">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6956425" cy="17145"/>
                        <wp:effectExtent l="0" t="0" r="0" b="0"/>
                        <wp:docPr id="17120" name="Picture 17120"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20"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6425" cy="17145"/>
                                </a:xfrm>
                                <a:prstGeom prst="rect">
                                  <a:avLst/>
                                </a:prstGeom>
                                <a:noFill/>
                                <a:ln>
                                  <a:noFill/>
                                </a:ln>
                              </pic:spPr>
                            </pic:pic>
                          </a:graphicData>
                        </a:graphic>
                      </wp:inline>
                    </w:drawing>
                  </w:r>
                </w:p>
              </w:tc>
            </w:tr>
            <w:tr w:rsidR="00A429FE" w:rsidRPr="00A429FE">
              <w:trPr>
                <w:tblCellSpacing w:w="0" w:type="dxa"/>
              </w:trPr>
              <w:tc>
                <w:tcPr>
                  <w:tcW w:w="0" w:type="auto"/>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7592"/>
                  </w:tblGrid>
                  <w:tr w:rsidR="00A429FE" w:rsidRPr="00A429FE">
                    <w:trPr>
                      <w:tblCellSpacing w:w="0" w:type="dxa"/>
                    </w:trPr>
                    <w:tc>
                      <w:tcPr>
                        <w:tcW w:w="0" w:type="auto"/>
                        <w:hideMark/>
                      </w:tcPr>
                      <w:p w:rsidR="00A429FE" w:rsidRPr="00A429FE" w:rsidRDefault="00A429FE" w:rsidP="00A429FE">
                        <w:pPr>
                          <w:spacing w:before="100" w:beforeAutospacing="1" w:after="100" w:afterAutospacing="1"/>
                          <w:rPr>
                            <w:rFonts w:ascii="Times" w:hAnsi="Times" w:cs="Times New Roman"/>
                            <w:sz w:val="20"/>
                            <w:szCs w:val="20"/>
                            <w:lang w:val="en-AU"/>
                          </w:rPr>
                        </w:pPr>
                        <w:bookmarkStart w:id="51" w:name="041"/>
                        <w:bookmarkEnd w:id="51"/>
                        <w:r w:rsidRPr="00A429FE">
                          <w:rPr>
                            <w:rFonts w:ascii="Times" w:hAnsi="Times" w:cs="Times New Roman"/>
                            <w:b/>
                            <w:bCs/>
                            <w:sz w:val="20"/>
                            <w:szCs w:val="20"/>
                            <w:lang w:val="en-AU"/>
                          </w:rPr>
                          <w:t>4.1 Declaration of unacceptable circumstances and orders: NGM Resource Ltd</w:t>
                        </w:r>
                        <w:r w:rsidRPr="00A429FE">
                          <w:rPr>
                            <w:rFonts w:ascii="Times" w:hAnsi="Times" w:cs="Times New Roman"/>
                            <w:sz w:val="20"/>
                            <w:szCs w:val="20"/>
                            <w:lang w:val="en-AU"/>
                          </w:rPr>
                          <w:br/>
                          <w:t> </w:t>
                        </w:r>
                        <w:r w:rsidRPr="00A429FE">
                          <w:rPr>
                            <w:rFonts w:ascii="Times" w:hAnsi="Times" w:cs="Times New Roman"/>
                            <w:sz w:val="20"/>
                            <w:szCs w:val="20"/>
                            <w:lang w:val="en-AU"/>
                          </w:rPr>
                          <w:br/>
                          <w:t>On 8 October 2010, the Takeovers Panel made a declaration of unacceptable circumstances and final orders in relation to an application dated 29 September 2010 by NGM Resources Limited in relation to its affairs.</w:t>
                        </w:r>
                        <w:r w:rsidRPr="00A429FE">
                          <w:rPr>
                            <w:rFonts w:ascii="Times" w:hAnsi="Times" w:cs="Times New Roman"/>
                            <w:sz w:val="20"/>
                            <w:szCs w:val="20"/>
                            <w:lang w:val="en-AU"/>
                          </w:rPr>
                          <w:br/>
                          <w:t> </w:t>
                        </w:r>
                        <w:r w:rsidRPr="00A429FE">
                          <w:rPr>
                            <w:rFonts w:ascii="Times" w:hAnsi="Times" w:cs="Times New Roman"/>
                            <w:sz w:val="20"/>
                            <w:szCs w:val="20"/>
                            <w:lang w:val="en-AU"/>
                          </w:rPr>
                          <w:br/>
                          <w:t>NGM is the subject of an off-market scrip takeover bid by Paladin Energy Limited. Paladin's bid is subject to defeating conditions, including condition 10.12(l) ("No force majeure event") and condition 10.12(m) ("No material adverse change to NGM").</w:t>
                        </w:r>
                        <w:r w:rsidRPr="00A429FE">
                          <w:rPr>
                            <w:rFonts w:ascii="Times" w:hAnsi="Times" w:cs="Times New Roman"/>
                            <w:sz w:val="20"/>
                            <w:szCs w:val="20"/>
                            <w:lang w:val="en-AU"/>
                          </w:rPr>
                          <w:br/>
                          <w:t> </w:t>
                        </w:r>
                        <w:r w:rsidRPr="00A429FE">
                          <w:rPr>
                            <w:rFonts w:ascii="Times" w:hAnsi="Times" w:cs="Times New Roman"/>
                            <w:sz w:val="20"/>
                            <w:szCs w:val="20"/>
                            <w:lang w:val="en-AU"/>
                          </w:rPr>
                          <w:br/>
                          <w:t>On 24 September 2010, Paladin announced that its offer for NGM will lapse at the end of the offer period (8 October 2010), relying on conditions 10.12(l) and 10.12(m). It said:</w:t>
                        </w:r>
                      </w:p>
                      <w:p w:rsidR="00A429FE" w:rsidRPr="00A429FE" w:rsidRDefault="00A429FE" w:rsidP="00A429FE">
                        <w:pPr>
                          <w:spacing w:before="100" w:beforeAutospacing="1" w:after="100" w:afterAutospacing="1"/>
                          <w:rPr>
                            <w:rFonts w:ascii="Times" w:hAnsi="Times" w:cs="Times New Roman"/>
                            <w:sz w:val="20"/>
                            <w:szCs w:val="20"/>
                            <w:lang w:val="en-AU"/>
                          </w:rPr>
                        </w:pPr>
                        <w:r w:rsidRPr="00A429FE">
                          <w:rPr>
                            <w:rFonts w:ascii="Times" w:hAnsi="Times" w:cs="Times New Roman"/>
                            <w:sz w:val="20"/>
                            <w:szCs w:val="20"/>
                            <w:lang w:val="en-AU"/>
                          </w:rPr>
                          <w:t>"On 16 September 2010, forces associated with al-Qaida in the Magreb (North Africa) (AQIM) entered the town of Arlit in Niger's uranium mining region and abducted seven people, employed by the French uranium company Areva and its construction contractor, Vinci Areva subsequently evacuated expatriate personnel from its operations in the north of the country and, in response to a request by the Government of Niger, France has dispatched anti-terrorism forces and reconnaissance aircraft to Niger. According to The Associated Press, in order "to kidnap seven foreigners from inside their homes, al-Qaida-linked gunmen in northern Niger forced their way past the security cordon of one of the world's most heavily guarded mining towns." Such action "shows a new level of brazenness."</w:t>
                        </w:r>
                        <w:r w:rsidRPr="00A429FE">
                          <w:rPr>
                            <w:rFonts w:ascii="Times" w:hAnsi="Times" w:cs="Times New Roman"/>
                            <w:sz w:val="20"/>
                            <w:szCs w:val="20"/>
                            <w:lang w:val="en-AU"/>
                          </w:rPr>
                          <w:br/>
                          <w:t> </w:t>
                        </w:r>
                        <w:r w:rsidRPr="00A429FE">
                          <w:rPr>
                            <w:rFonts w:ascii="Times" w:hAnsi="Times" w:cs="Times New Roman"/>
                            <w:sz w:val="20"/>
                            <w:szCs w:val="20"/>
                            <w:lang w:val="en-AU"/>
                          </w:rPr>
                          <w:br/>
                          <w:t>In the Panel's view, Paladin is not entitled to rely on condition 10.12(l) because, when properly construed, it requires the relevant event to have a "materially adverse effect" on NGM (which, on the material available, has not been established). Further, the 16 September 2010 event (relied on by Paladin to support its position) does not satisfy the other requirements of the condition.</w:t>
                        </w:r>
                        <w:r w:rsidRPr="00A429FE">
                          <w:rPr>
                            <w:rFonts w:ascii="Times" w:hAnsi="Times" w:cs="Times New Roman"/>
                            <w:sz w:val="20"/>
                            <w:szCs w:val="20"/>
                            <w:lang w:val="en-AU"/>
                          </w:rPr>
                          <w:br/>
                          <w:t> </w:t>
                        </w:r>
                        <w:r w:rsidRPr="00A429FE">
                          <w:rPr>
                            <w:rFonts w:ascii="Times" w:hAnsi="Times" w:cs="Times New Roman"/>
                            <w:sz w:val="20"/>
                            <w:szCs w:val="20"/>
                            <w:lang w:val="en-AU"/>
                          </w:rPr>
                          <w:br/>
                          <w:t>On the material available, Paladin is not entitled to rely on condition 10.12(m) because a material adverse effect on NGM has not been established.</w:t>
                        </w:r>
                        <w:r w:rsidRPr="00A429FE">
                          <w:rPr>
                            <w:rFonts w:ascii="Times" w:hAnsi="Times" w:cs="Times New Roman"/>
                            <w:sz w:val="20"/>
                            <w:szCs w:val="20"/>
                            <w:lang w:val="en-AU"/>
                          </w:rPr>
                          <w:br/>
                          <w:t> </w:t>
                        </w:r>
                        <w:r w:rsidRPr="00A429FE">
                          <w:rPr>
                            <w:rFonts w:ascii="Times" w:hAnsi="Times" w:cs="Times New Roman"/>
                            <w:sz w:val="20"/>
                            <w:szCs w:val="20"/>
                            <w:lang w:val="en-AU"/>
                          </w:rPr>
                          <w:br/>
                          <w:t>The Panel has made orders that:</w:t>
                        </w:r>
                      </w:p>
                      <w:p w:rsidR="00A429FE" w:rsidRPr="00A429FE" w:rsidRDefault="00A429FE" w:rsidP="00A429FE">
                        <w:pPr>
                          <w:tabs>
                            <w:tab w:val="num" w:pos="720"/>
                          </w:tabs>
                          <w:spacing w:before="100" w:beforeAutospacing="1" w:after="100" w:afterAutospacing="1"/>
                          <w:ind w:left="720" w:hanging="360"/>
                          <w:rPr>
                            <w:rFonts w:ascii="Times" w:eastAsia="Times New Roman" w:hAnsi="Times" w:cs="Times New Roman"/>
                            <w:sz w:val="20"/>
                            <w:szCs w:val="20"/>
                            <w:lang w:val="en-AU"/>
                          </w:rPr>
                        </w:pPr>
                        <w:r w:rsidRPr="00A429FE">
                          <w:rPr>
                            <w:rFonts w:ascii="Times" w:eastAsia="Times New Roman" w:hAnsi="Times" w:cs="Times New Roman"/>
                            <w:sz w:val="20"/>
                            <w:szCs w:val="20"/>
                            <w:lang w:val="en-AU"/>
                          </w:rPr>
                          <w:t xml:space="preserve">Paladin extend the offer period for its bid in accordance with the </w:t>
                        </w:r>
                        <w:r w:rsidRPr="00A429FE">
                          <w:rPr>
                            <w:rFonts w:ascii="Times" w:eastAsia="Times New Roman" w:hAnsi="Times" w:cs="Times New Roman"/>
                            <w:sz w:val="20"/>
                            <w:szCs w:val="20"/>
                            <w:lang w:val="en-AU"/>
                          </w:rPr>
                          <w:fldChar w:fldCharType="begin"/>
                        </w:r>
                        <w:r w:rsidRPr="00A429FE">
                          <w:rPr>
                            <w:rFonts w:ascii="Times" w:eastAsia="Times New Roman" w:hAnsi="Times" w:cs="Times New Roman"/>
                            <w:sz w:val="20"/>
                            <w:szCs w:val="20"/>
                            <w:lang w:val="en-AU"/>
                          </w:rPr>
                          <w:instrText xml:space="preserve"> HYPERLINK "http://my.lawlex.com.au/index.asp?pact=coredoc&amp;nav=col&amp;cid=56482" \t "Default" </w:instrText>
                        </w:r>
                        <w:r w:rsidRPr="00A429FE">
                          <w:rPr>
                            <w:rFonts w:ascii="Times" w:eastAsia="Times New Roman" w:hAnsi="Times" w:cs="Times New Roman"/>
                            <w:sz w:val="20"/>
                            <w:szCs w:val="20"/>
                            <w:lang w:val="en-AU"/>
                          </w:rPr>
                        </w:r>
                        <w:r w:rsidRPr="00A429FE">
                          <w:rPr>
                            <w:rFonts w:ascii="Times" w:eastAsia="Times New Roman" w:hAnsi="Times" w:cs="Times New Roman"/>
                            <w:sz w:val="20"/>
                            <w:szCs w:val="20"/>
                            <w:lang w:val="en-AU"/>
                          </w:rPr>
                          <w:fldChar w:fldCharType="separate"/>
                        </w:r>
                        <w:r w:rsidRPr="00A429FE">
                          <w:rPr>
                            <w:rFonts w:ascii="Times" w:eastAsia="Times New Roman" w:hAnsi="Times" w:cs="Times New Roman"/>
                            <w:color w:val="0000FF"/>
                            <w:sz w:val="20"/>
                            <w:szCs w:val="20"/>
                            <w:u w:val="single"/>
                            <w:lang w:val="en-AU"/>
                          </w:rPr>
                          <w:t>Corporations Act</w:t>
                        </w:r>
                        <w:r w:rsidRPr="00A429FE">
                          <w:rPr>
                            <w:rFonts w:ascii="Times" w:eastAsia="Times New Roman" w:hAnsi="Times" w:cs="Times New Roman"/>
                            <w:sz w:val="20"/>
                            <w:szCs w:val="20"/>
                            <w:lang w:val="en-AU"/>
                          </w:rPr>
                          <w:fldChar w:fldCharType="end"/>
                        </w:r>
                        <w:r w:rsidRPr="00A429FE">
                          <w:rPr>
                            <w:rFonts w:ascii="Times" w:eastAsia="Times New Roman" w:hAnsi="Times" w:cs="Times New Roman"/>
                            <w:sz w:val="20"/>
                            <w:szCs w:val="20"/>
                            <w:lang w:val="en-AU"/>
                          </w:rPr>
                          <w:t xml:space="preserve"> until 5.00pm (Perth time) on 22 October 2010 (or a later date permitted under the Corporations Act); </w:t>
                        </w:r>
                      </w:p>
                      <w:p w:rsidR="00A429FE" w:rsidRPr="00A429FE" w:rsidRDefault="00A429FE" w:rsidP="00A429FE">
                        <w:pPr>
                          <w:tabs>
                            <w:tab w:val="num" w:pos="720"/>
                          </w:tabs>
                          <w:spacing w:before="100" w:beforeAutospacing="1" w:after="100" w:afterAutospacing="1"/>
                          <w:ind w:left="720" w:hanging="360"/>
                          <w:rPr>
                            <w:rFonts w:ascii="Times" w:eastAsia="Times New Roman" w:hAnsi="Times" w:cs="Times New Roman"/>
                            <w:sz w:val="20"/>
                            <w:szCs w:val="20"/>
                            <w:lang w:val="en-AU"/>
                          </w:rPr>
                        </w:pPr>
                        <w:r w:rsidRPr="00A429FE">
                          <w:rPr>
                            <w:rFonts w:ascii="Times" w:eastAsia="Times New Roman" w:hAnsi="Times" w:cs="Times New Roman"/>
                            <w:sz w:val="20"/>
                            <w:szCs w:val="20"/>
                            <w:lang w:val="en-AU"/>
                          </w:rPr>
                          <w:t xml:space="preserve">Paladin immediately withdraw the notice given to NGM and ASX under section 630 dated 1 October 2010 in relation to the status of the bid conditions; </w:t>
                        </w:r>
                      </w:p>
                      <w:p w:rsidR="00A429FE" w:rsidRPr="00A429FE" w:rsidRDefault="00A429FE" w:rsidP="00A429FE">
                        <w:pPr>
                          <w:tabs>
                            <w:tab w:val="num" w:pos="720"/>
                          </w:tabs>
                          <w:spacing w:before="100" w:beforeAutospacing="1" w:after="100" w:afterAutospacing="1"/>
                          <w:ind w:left="720" w:hanging="360"/>
                          <w:rPr>
                            <w:rFonts w:ascii="Times" w:eastAsia="Times New Roman" w:hAnsi="Times" w:cs="Times New Roman"/>
                            <w:sz w:val="20"/>
                            <w:szCs w:val="20"/>
                            <w:lang w:val="en-AU"/>
                          </w:rPr>
                        </w:pPr>
                        <w:r w:rsidRPr="00A429FE">
                          <w:rPr>
                            <w:rFonts w:ascii="Times" w:eastAsia="Times New Roman" w:hAnsi="Times" w:cs="Times New Roman"/>
                            <w:sz w:val="20"/>
                            <w:szCs w:val="20"/>
                            <w:lang w:val="en-AU"/>
                          </w:rPr>
                          <w:t xml:space="preserve">Paladin lodge a new notice with NGM and ASX in accordance with section 630 in due course; </w:t>
                        </w:r>
                      </w:p>
                      <w:p w:rsidR="00A429FE" w:rsidRPr="00A429FE" w:rsidRDefault="00A429FE" w:rsidP="00A429FE">
                        <w:pPr>
                          <w:tabs>
                            <w:tab w:val="num" w:pos="720"/>
                          </w:tabs>
                          <w:spacing w:before="100" w:beforeAutospacing="1" w:after="100" w:afterAutospacing="1"/>
                          <w:ind w:left="720" w:hanging="360"/>
                          <w:rPr>
                            <w:rFonts w:ascii="Times" w:eastAsia="Times New Roman" w:hAnsi="Times" w:cs="Times New Roman"/>
                            <w:sz w:val="20"/>
                            <w:szCs w:val="20"/>
                            <w:lang w:val="en-AU"/>
                          </w:rPr>
                        </w:pPr>
                        <w:r w:rsidRPr="00A429FE">
                          <w:rPr>
                            <w:rFonts w:ascii="Times" w:eastAsia="Times New Roman" w:hAnsi="Times" w:cs="Times New Roman"/>
                            <w:sz w:val="20"/>
                            <w:szCs w:val="20"/>
                            <w:lang w:val="en-AU"/>
                          </w:rPr>
                          <w:t xml:space="preserve">Paladin make an ASX announcement as soon as practicable explaining the effect and substance of the orders and; </w:t>
                        </w:r>
                      </w:p>
                      <w:p w:rsidR="00A429FE" w:rsidRPr="00A429FE" w:rsidRDefault="00A429FE" w:rsidP="00A429FE">
                        <w:pPr>
                          <w:tabs>
                            <w:tab w:val="num" w:pos="720"/>
                          </w:tabs>
                          <w:spacing w:before="100" w:beforeAutospacing="1" w:after="100" w:afterAutospacing="1"/>
                          <w:ind w:left="720" w:hanging="360"/>
                          <w:rPr>
                            <w:rFonts w:ascii="Times" w:eastAsia="Times New Roman" w:hAnsi="Times" w:cs="Times New Roman"/>
                            <w:sz w:val="20"/>
                            <w:szCs w:val="20"/>
                            <w:lang w:val="en-AU"/>
                          </w:rPr>
                        </w:pPr>
                        <w:r w:rsidRPr="00A429FE">
                          <w:rPr>
                            <w:rFonts w:ascii="Times" w:eastAsia="Times New Roman" w:hAnsi="Times" w:cs="Times New Roman"/>
                            <w:sz w:val="20"/>
                            <w:szCs w:val="20"/>
                            <w:lang w:val="en-AU"/>
                          </w:rPr>
                          <w:t xml:space="preserve">as soon as practicable, Paladin confirm in writing to the Panel that it has complied with the orders.  </w:t>
                        </w:r>
                      </w:p>
                      <w:p w:rsidR="00A429FE" w:rsidRPr="00A429FE" w:rsidRDefault="00A429FE" w:rsidP="00A429FE">
                        <w:pPr>
                          <w:spacing w:before="100" w:beforeAutospacing="1" w:after="100" w:afterAutospacing="1"/>
                          <w:rPr>
                            <w:rFonts w:ascii="Times" w:hAnsi="Times" w:cs="Times New Roman"/>
                            <w:sz w:val="20"/>
                            <w:szCs w:val="20"/>
                            <w:lang w:val="en-AU"/>
                          </w:rPr>
                        </w:pPr>
                        <w:r w:rsidRPr="00A429FE">
                          <w:rPr>
                            <w:rFonts w:ascii="Times" w:hAnsi="Times" w:cs="Times New Roman"/>
                            <w:sz w:val="20"/>
                            <w:szCs w:val="20"/>
                            <w:lang w:val="en-AU"/>
                          </w:rPr>
                          <w:t xml:space="preserve">Further information is available on the </w:t>
                        </w:r>
                        <w:r w:rsidRPr="00A429FE">
                          <w:rPr>
                            <w:rFonts w:ascii="Times" w:hAnsi="Times" w:cs="Times New Roman"/>
                            <w:sz w:val="20"/>
                            <w:szCs w:val="20"/>
                            <w:lang w:val="en-AU"/>
                          </w:rPr>
                          <w:fldChar w:fldCharType="begin"/>
                        </w:r>
                        <w:r w:rsidRPr="00A429FE">
                          <w:rPr>
                            <w:rFonts w:ascii="Times" w:hAnsi="Times" w:cs="Times New Roman"/>
                            <w:sz w:val="20"/>
                            <w:szCs w:val="20"/>
                            <w:lang w:val="en-AU"/>
                          </w:rPr>
                          <w:instrText xml:space="preserve"> HYPERLINK "http://www.takeovers.gov.au/" \t "_new" </w:instrText>
                        </w:r>
                        <w:r w:rsidRPr="00A429FE">
                          <w:rPr>
                            <w:rFonts w:ascii="Times" w:hAnsi="Times" w:cs="Times New Roman"/>
                            <w:sz w:val="20"/>
                            <w:szCs w:val="20"/>
                            <w:lang w:val="en-AU"/>
                          </w:rPr>
                        </w:r>
                        <w:r w:rsidRPr="00A429FE">
                          <w:rPr>
                            <w:rFonts w:ascii="Times" w:hAnsi="Times" w:cs="Times New Roman"/>
                            <w:sz w:val="20"/>
                            <w:szCs w:val="20"/>
                            <w:lang w:val="en-AU"/>
                          </w:rPr>
                          <w:fldChar w:fldCharType="separate"/>
                        </w:r>
                        <w:r w:rsidRPr="00A429FE">
                          <w:rPr>
                            <w:rFonts w:ascii="Times" w:hAnsi="Times" w:cs="Times New Roman"/>
                            <w:color w:val="0000FF"/>
                            <w:sz w:val="20"/>
                            <w:szCs w:val="20"/>
                            <w:u w:val="single"/>
                            <w:lang w:val="en-AU"/>
                          </w:rPr>
                          <w:t>Panel</w:t>
                        </w:r>
                        <w:r w:rsidRPr="00A429FE">
                          <w:rPr>
                            <w:rFonts w:ascii="Times" w:hAnsi="Times" w:cs="Times New Roman"/>
                            <w:sz w:val="20"/>
                            <w:szCs w:val="20"/>
                            <w:lang w:val="en-AU"/>
                          </w:rPr>
                          <w:fldChar w:fldCharType="end"/>
                        </w:r>
                        <w:r w:rsidRPr="00A429FE">
                          <w:rPr>
                            <w:rFonts w:ascii="Times" w:hAnsi="Times" w:cs="Times New Roman"/>
                            <w:sz w:val="20"/>
                            <w:szCs w:val="20"/>
                            <w:lang w:val="en-AU"/>
                          </w:rPr>
                          <w:t xml:space="preserve"> website. </w:t>
                        </w:r>
                      </w:p>
                      <w:p w:rsidR="00A429FE" w:rsidRPr="00A429FE" w:rsidRDefault="00A429FE" w:rsidP="00A429F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7121" name="Picture 17121" descr="etailed Contents">
                                <a:hlinkClick xmlns:a="http://schemas.openxmlformats.org/drawingml/2006/main" r:id="rId1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21" descr="etailed Contents">
                                        <a:hlinkClick r:id="rId100"/>
                                      </pic:cNvPr>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A429FE" w:rsidRPr="00A429FE" w:rsidRDefault="00A429FE" w:rsidP="00A429FE">
                        <w:pPr>
                          <w:rPr>
                            <w:rFonts w:ascii="Times" w:eastAsia="Times New Roman" w:hAnsi="Times" w:cs="Times New Roman"/>
                            <w:sz w:val="20"/>
                            <w:szCs w:val="20"/>
                            <w:lang w:val="en-AU"/>
                          </w:rPr>
                        </w:pPr>
                        <w:r w:rsidRPr="00A429FE">
                          <w:rPr>
                            <w:rFonts w:ascii="Times" w:eastAsia="Times New Roman" w:hAnsi="Times" w:cs="Times New Roman"/>
                            <w:sz w:val="20"/>
                            <w:szCs w:val="20"/>
                            <w:lang w:val="en-AU"/>
                          </w:rPr>
                          <w:pict>
                            <v:rect id="_x0000_i18146" style="width:0;height:1.5pt" o:hralign="center" o:hrstd="t" o:hr="t" fillcolor="#aaa" stroked="f"/>
                          </w:pict>
                        </w:r>
                      </w:p>
                      <w:p w:rsidR="00A429FE" w:rsidRPr="00A429FE" w:rsidRDefault="00A429FE" w:rsidP="00A429FE">
                        <w:pPr>
                          <w:spacing w:before="100" w:beforeAutospacing="1" w:after="100" w:afterAutospacing="1"/>
                          <w:rPr>
                            <w:rFonts w:ascii="Times" w:hAnsi="Times" w:cs="Times New Roman"/>
                            <w:sz w:val="20"/>
                            <w:szCs w:val="20"/>
                            <w:lang w:val="en-AU"/>
                          </w:rPr>
                        </w:pPr>
                        <w:bookmarkStart w:id="52" w:name="042"/>
                        <w:bookmarkEnd w:id="52"/>
                        <w:r w:rsidRPr="00A429FE">
                          <w:rPr>
                            <w:rFonts w:ascii="Times" w:hAnsi="Times" w:cs="Times New Roman"/>
                            <w:b/>
                            <w:bCs/>
                            <w:sz w:val="20"/>
                            <w:szCs w:val="20"/>
                            <w:lang w:val="en-AU"/>
                          </w:rPr>
                          <w:t>4.2 Takeovers Panel revises Guidance Note 1 and releases Guidance Note 22</w:t>
                        </w:r>
                        <w:r w:rsidRPr="00A429FE">
                          <w:rPr>
                            <w:rFonts w:ascii="Times" w:hAnsi="Times" w:cs="Times New Roman"/>
                            <w:sz w:val="20"/>
                            <w:szCs w:val="20"/>
                            <w:lang w:val="en-AU"/>
                          </w:rPr>
                          <w:br/>
                          <w:t> </w:t>
                        </w:r>
                        <w:r w:rsidRPr="00A429FE">
                          <w:rPr>
                            <w:rFonts w:ascii="Times" w:hAnsi="Times" w:cs="Times New Roman"/>
                            <w:sz w:val="20"/>
                            <w:szCs w:val="20"/>
                            <w:lang w:val="en-AU"/>
                          </w:rPr>
                          <w:br/>
                          <w:t>On 21 September 2010, the Takeovers Panel announced that it has published two Guidance Notes:</w:t>
                        </w:r>
                      </w:p>
                      <w:p w:rsidR="00A429FE" w:rsidRPr="00A429FE" w:rsidRDefault="00A429FE" w:rsidP="00A429FE">
                        <w:pPr>
                          <w:tabs>
                            <w:tab w:val="num" w:pos="720"/>
                          </w:tabs>
                          <w:spacing w:before="100" w:beforeAutospacing="1" w:after="100" w:afterAutospacing="1"/>
                          <w:ind w:left="720" w:hanging="360"/>
                          <w:rPr>
                            <w:rFonts w:ascii="Times" w:eastAsia="Times New Roman" w:hAnsi="Times" w:cs="Times New Roman"/>
                            <w:sz w:val="20"/>
                            <w:szCs w:val="20"/>
                            <w:lang w:val="en-AU"/>
                          </w:rPr>
                        </w:pPr>
                        <w:r w:rsidRPr="00A429FE">
                          <w:rPr>
                            <w:rFonts w:ascii="Times" w:eastAsia="Times New Roman" w:hAnsi="Times" w:cs="Times New Roman"/>
                            <w:sz w:val="20"/>
                            <w:szCs w:val="20"/>
                            <w:lang w:val="en-AU"/>
                          </w:rPr>
                          <w:t xml:space="preserve">a rewritten version of Guidance Note 1 on Unacceptable Circumstances; and </w:t>
                        </w:r>
                      </w:p>
                      <w:p w:rsidR="00A429FE" w:rsidRPr="00A429FE" w:rsidRDefault="00A429FE" w:rsidP="00A429FE">
                        <w:pPr>
                          <w:tabs>
                            <w:tab w:val="num" w:pos="720"/>
                          </w:tabs>
                          <w:spacing w:before="100" w:beforeAutospacing="1" w:after="100" w:afterAutospacing="1"/>
                          <w:ind w:left="720" w:hanging="360"/>
                          <w:rPr>
                            <w:rFonts w:ascii="Times" w:eastAsia="Times New Roman" w:hAnsi="Times" w:cs="Times New Roman"/>
                            <w:sz w:val="20"/>
                            <w:szCs w:val="20"/>
                            <w:lang w:val="en-AU"/>
                          </w:rPr>
                        </w:pPr>
                        <w:r w:rsidRPr="00A429FE">
                          <w:rPr>
                            <w:rFonts w:ascii="Times" w:eastAsia="Times New Roman" w:hAnsi="Times" w:cs="Times New Roman"/>
                            <w:sz w:val="20"/>
                            <w:szCs w:val="20"/>
                            <w:lang w:val="en-AU"/>
                          </w:rPr>
                          <w:t xml:space="preserve">a new Guidance Note 22 on Recommendations and Undervalue Statements.  </w:t>
                        </w:r>
                      </w:p>
                      <w:p w:rsidR="00A429FE" w:rsidRPr="00A429FE" w:rsidRDefault="00A429FE" w:rsidP="00A429FE">
                        <w:pPr>
                          <w:spacing w:before="100" w:beforeAutospacing="1" w:after="100" w:afterAutospacing="1"/>
                          <w:rPr>
                            <w:rFonts w:ascii="Times" w:hAnsi="Times" w:cs="Times New Roman"/>
                            <w:sz w:val="20"/>
                            <w:szCs w:val="20"/>
                            <w:lang w:val="en-AU"/>
                          </w:rPr>
                        </w:pPr>
                        <w:r w:rsidRPr="00A429FE">
                          <w:rPr>
                            <w:rFonts w:ascii="Times" w:hAnsi="Times" w:cs="Times New Roman"/>
                            <w:sz w:val="20"/>
                            <w:szCs w:val="20"/>
                            <w:lang w:val="en-AU"/>
                          </w:rPr>
                          <w:t>The Panel issued a consultation draft of the Guidance Notes on 20 April 2010. It received 4 submissions and has taken them into account and made further changes.</w:t>
                        </w:r>
                        <w:r w:rsidRPr="00A429FE">
                          <w:rPr>
                            <w:rFonts w:ascii="Times" w:hAnsi="Times" w:cs="Times New Roman"/>
                            <w:sz w:val="20"/>
                            <w:szCs w:val="20"/>
                            <w:lang w:val="en-AU"/>
                          </w:rPr>
                          <w:br/>
                          <w:t> </w:t>
                        </w:r>
                        <w:r w:rsidRPr="00A429FE">
                          <w:rPr>
                            <w:rFonts w:ascii="Times" w:hAnsi="Times" w:cs="Times New Roman"/>
                            <w:sz w:val="20"/>
                            <w:szCs w:val="20"/>
                            <w:lang w:val="en-AU"/>
                          </w:rPr>
                          <w:br/>
                        </w:r>
                        <w:r w:rsidRPr="00A429FE">
                          <w:rPr>
                            <w:rFonts w:ascii="Times" w:hAnsi="Times" w:cs="Times New Roman"/>
                            <w:b/>
                            <w:bCs/>
                            <w:sz w:val="20"/>
                            <w:szCs w:val="20"/>
                            <w:lang w:val="en-AU"/>
                          </w:rPr>
                          <w:t>(a) Guidance Note 1 - Unacceptable circumstances</w:t>
                        </w:r>
                        <w:r w:rsidRPr="00A429FE">
                          <w:rPr>
                            <w:rFonts w:ascii="Times" w:hAnsi="Times" w:cs="Times New Roman"/>
                            <w:sz w:val="20"/>
                            <w:szCs w:val="20"/>
                            <w:lang w:val="en-AU"/>
                          </w:rPr>
                          <w:br/>
                          <w:t> </w:t>
                        </w:r>
                        <w:r w:rsidRPr="00A429FE">
                          <w:rPr>
                            <w:rFonts w:ascii="Times" w:hAnsi="Times" w:cs="Times New Roman"/>
                            <w:sz w:val="20"/>
                            <w:szCs w:val="20"/>
                            <w:lang w:val="en-AU"/>
                          </w:rPr>
                          <w:br/>
                          <w:t xml:space="preserve">Guidance Note 1 discusses when the Panel may make a declaration of unacceptable circumstances under section 657A (References are to the </w:t>
                        </w:r>
                        <w:r w:rsidRPr="00A429FE">
                          <w:rPr>
                            <w:rFonts w:ascii="Times" w:hAnsi="Times" w:cs="Times New Roman"/>
                            <w:sz w:val="20"/>
                            <w:szCs w:val="20"/>
                            <w:lang w:val="en-AU"/>
                          </w:rPr>
                          <w:fldChar w:fldCharType="begin"/>
                        </w:r>
                        <w:r w:rsidRPr="00A429FE">
                          <w:rPr>
                            <w:rFonts w:ascii="Times" w:hAnsi="Times" w:cs="Times New Roman"/>
                            <w:sz w:val="20"/>
                            <w:szCs w:val="20"/>
                            <w:lang w:val="en-AU"/>
                          </w:rPr>
                          <w:instrText xml:space="preserve"> HYPERLINK "http://my.lawlex.com.au/index.asp?pact=coredoc&amp;nav=col&amp;cid=56482" \t "Default" </w:instrText>
                        </w:r>
                        <w:r w:rsidRPr="00A429FE">
                          <w:rPr>
                            <w:rFonts w:ascii="Times" w:hAnsi="Times" w:cs="Times New Roman"/>
                            <w:sz w:val="20"/>
                            <w:szCs w:val="20"/>
                            <w:lang w:val="en-AU"/>
                          </w:rPr>
                        </w:r>
                        <w:r w:rsidRPr="00A429FE">
                          <w:rPr>
                            <w:rFonts w:ascii="Times" w:hAnsi="Times" w:cs="Times New Roman"/>
                            <w:sz w:val="20"/>
                            <w:szCs w:val="20"/>
                            <w:lang w:val="en-AU"/>
                          </w:rPr>
                          <w:fldChar w:fldCharType="separate"/>
                        </w:r>
                        <w:r w:rsidRPr="00A429FE">
                          <w:rPr>
                            <w:rFonts w:ascii="Times" w:hAnsi="Times" w:cs="Times New Roman"/>
                            <w:color w:val="0000FF"/>
                            <w:sz w:val="20"/>
                            <w:szCs w:val="20"/>
                            <w:u w:val="single"/>
                            <w:lang w:val="en-AU"/>
                          </w:rPr>
                          <w:t>Corporations Act 2001 (Cth)</w:t>
                        </w:r>
                        <w:r w:rsidRPr="00A429FE">
                          <w:rPr>
                            <w:rFonts w:ascii="Times" w:hAnsi="Times" w:cs="Times New Roman"/>
                            <w:sz w:val="20"/>
                            <w:szCs w:val="20"/>
                            <w:lang w:val="en-AU"/>
                          </w:rPr>
                          <w:fldChar w:fldCharType="end"/>
                        </w:r>
                        <w:r w:rsidRPr="00A429FE">
                          <w:rPr>
                            <w:rFonts w:ascii="Times" w:hAnsi="Times" w:cs="Times New Roman"/>
                            <w:sz w:val="20"/>
                            <w:szCs w:val="20"/>
                            <w:lang w:val="en-AU"/>
                          </w:rPr>
                          <w:t xml:space="preserve"> unless otherwise indicated). It has been rewritten as part of the Panel's planned process of simplification and includes:</w:t>
                        </w:r>
                      </w:p>
                      <w:p w:rsidR="00A429FE" w:rsidRPr="00A429FE" w:rsidRDefault="00A429FE" w:rsidP="00A429FE">
                        <w:pPr>
                          <w:tabs>
                            <w:tab w:val="num" w:pos="720"/>
                          </w:tabs>
                          <w:spacing w:before="100" w:beforeAutospacing="1" w:after="100" w:afterAutospacing="1"/>
                          <w:ind w:left="720" w:hanging="360"/>
                          <w:rPr>
                            <w:rFonts w:ascii="Times" w:eastAsia="Times New Roman" w:hAnsi="Times" w:cs="Times New Roman"/>
                            <w:sz w:val="20"/>
                            <w:szCs w:val="20"/>
                            <w:lang w:val="en-AU"/>
                          </w:rPr>
                        </w:pPr>
                        <w:r w:rsidRPr="00A429FE">
                          <w:rPr>
                            <w:rFonts w:ascii="Times" w:eastAsia="Times New Roman" w:hAnsi="Times" w:cs="Times New Roman"/>
                            <w:sz w:val="20"/>
                            <w:szCs w:val="20"/>
                            <w:lang w:val="en-AU"/>
                          </w:rPr>
                          <w:t xml:space="preserve">a review of the currency and consistency of the guidance note; </w:t>
                        </w:r>
                      </w:p>
                      <w:p w:rsidR="00A429FE" w:rsidRPr="00A429FE" w:rsidRDefault="00A429FE" w:rsidP="00A429FE">
                        <w:pPr>
                          <w:tabs>
                            <w:tab w:val="num" w:pos="720"/>
                          </w:tabs>
                          <w:spacing w:before="100" w:beforeAutospacing="1" w:after="100" w:afterAutospacing="1"/>
                          <w:ind w:left="720" w:hanging="360"/>
                          <w:rPr>
                            <w:rFonts w:ascii="Times" w:eastAsia="Times New Roman" w:hAnsi="Times" w:cs="Times New Roman"/>
                            <w:sz w:val="20"/>
                            <w:szCs w:val="20"/>
                            <w:lang w:val="en-AU"/>
                          </w:rPr>
                        </w:pPr>
                        <w:r w:rsidRPr="00A429FE">
                          <w:rPr>
                            <w:rFonts w:ascii="Times" w:eastAsia="Times New Roman" w:hAnsi="Times" w:cs="Times New Roman"/>
                            <w:sz w:val="20"/>
                            <w:szCs w:val="20"/>
                            <w:lang w:val="en-AU"/>
                          </w:rPr>
                          <w:t xml:space="preserve">an expanded history to show the derivation of section 657A and to make it clear that the power to declare unacceptable circumstances is broad; and </w:t>
                        </w:r>
                      </w:p>
                      <w:p w:rsidR="00A429FE" w:rsidRPr="00A429FE" w:rsidRDefault="00A429FE" w:rsidP="00A429FE">
                        <w:pPr>
                          <w:tabs>
                            <w:tab w:val="num" w:pos="720"/>
                          </w:tabs>
                          <w:spacing w:before="100" w:beforeAutospacing="1" w:after="100" w:afterAutospacing="1"/>
                          <w:ind w:left="720" w:hanging="360"/>
                          <w:rPr>
                            <w:rFonts w:ascii="Times" w:eastAsia="Times New Roman" w:hAnsi="Times" w:cs="Times New Roman"/>
                            <w:sz w:val="20"/>
                            <w:szCs w:val="20"/>
                            <w:lang w:val="en-AU"/>
                          </w:rPr>
                        </w:pPr>
                        <w:r w:rsidRPr="00A429FE">
                          <w:rPr>
                            <w:rFonts w:ascii="Times" w:eastAsia="Times New Roman" w:hAnsi="Times" w:cs="Times New Roman"/>
                            <w:sz w:val="20"/>
                            <w:szCs w:val="20"/>
                            <w:lang w:val="en-AU"/>
                          </w:rPr>
                          <w:t xml:space="preserve">a new example dealing with reverse takeovers (Paragraph 32(b), example 8). The new example says the Panel will look at circumstances where a change of control, or a material effect on control by an issue of shares as consideration for a bid, either disenfranchises shareholders or does not meet the policy of chapter 6 (even if strictly it satisfies item 4 of section 611). This follows the recent decisions of </w:t>
                        </w:r>
                        <w:r w:rsidRPr="00A429FE">
                          <w:rPr>
                            <w:rFonts w:ascii="Times" w:eastAsia="Times New Roman" w:hAnsi="Times" w:cs="Times New Roman"/>
                            <w:i/>
                            <w:iCs/>
                            <w:sz w:val="20"/>
                            <w:szCs w:val="20"/>
                            <w:lang w:val="en-AU"/>
                          </w:rPr>
                          <w:t>Gloucester Coal</w:t>
                        </w:r>
                        <w:r w:rsidRPr="00A429FE">
                          <w:rPr>
                            <w:rFonts w:ascii="Times" w:eastAsia="Times New Roman" w:hAnsi="Times" w:cs="Times New Roman"/>
                            <w:sz w:val="20"/>
                            <w:szCs w:val="20"/>
                            <w:lang w:val="en-AU"/>
                          </w:rPr>
                          <w:t xml:space="preserve"> 01 and 01R ([2009] ATP 6 and [2009] ATP 9). </w:t>
                        </w:r>
                      </w:p>
                      <w:p w:rsidR="00A429FE" w:rsidRPr="00A429FE" w:rsidRDefault="00A429FE" w:rsidP="00A429FE">
                        <w:pPr>
                          <w:spacing w:before="100" w:beforeAutospacing="1" w:after="100" w:afterAutospacing="1"/>
                          <w:rPr>
                            <w:rFonts w:ascii="Times" w:hAnsi="Times" w:cs="Times New Roman"/>
                            <w:sz w:val="20"/>
                            <w:szCs w:val="20"/>
                            <w:lang w:val="en-AU"/>
                          </w:rPr>
                        </w:pPr>
                        <w:r w:rsidRPr="00A429FE">
                          <w:rPr>
                            <w:rFonts w:ascii="Times" w:hAnsi="Times" w:cs="Times New Roman"/>
                            <w:b/>
                            <w:bCs/>
                            <w:sz w:val="20"/>
                            <w:szCs w:val="20"/>
                            <w:lang w:val="en-AU"/>
                          </w:rPr>
                          <w:t>(b) Guidance Note 22 - Recommendations and undervalue statements</w:t>
                        </w:r>
                        <w:r w:rsidRPr="00A429FE">
                          <w:rPr>
                            <w:rFonts w:ascii="Times" w:hAnsi="Times" w:cs="Times New Roman"/>
                            <w:sz w:val="20"/>
                            <w:szCs w:val="20"/>
                            <w:lang w:val="en-AU"/>
                          </w:rPr>
                          <w:br/>
                          <w:t> </w:t>
                        </w:r>
                        <w:r w:rsidRPr="00A429FE">
                          <w:rPr>
                            <w:rFonts w:ascii="Times" w:hAnsi="Times" w:cs="Times New Roman"/>
                            <w:sz w:val="20"/>
                            <w:szCs w:val="20"/>
                            <w:lang w:val="en-AU"/>
                          </w:rPr>
                          <w:br/>
                          <w:t>Guidance Note 22 discusses when the Panel may make a declaration of unacceptable circumstances because, for example, a director recommends that shareholders reject a bid relying on an undervalue statement, and the reasons for the recommendation (addressing also the undervalue statement) are not clearly disclosed, or it is not clearly stated that the reasons will be disclosed later (and in this case they must be disclosed no later than the time the target's statement is issued).</w:t>
                        </w:r>
                        <w:r w:rsidRPr="00A429FE">
                          <w:rPr>
                            <w:rFonts w:ascii="Times" w:hAnsi="Times" w:cs="Times New Roman"/>
                            <w:sz w:val="20"/>
                            <w:szCs w:val="20"/>
                            <w:lang w:val="en-AU"/>
                          </w:rPr>
                          <w:br/>
                          <w:t> </w:t>
                        </w:r>
                        <w:r w:rsidRPr="00A429FE">
                          <w:rPr>
                            <w:rFonts w:ascii="Times" w:hAnsi="Times" w:cs="Times New Roman"/>
                            <w:sz w:val="20"/>
                            <w:szCs w:val="20"/>
                            <w:lang w:val="en-AU"/>
                          </w:rPr>
                          <w:br/>
                          <w:t xml:space="preserve">The Guidance Note follows the recent decisions of </w:t>
                        </w:r>
                        <w:r w:rsidRPr="00A429FE">
                          <w:rPr>
                            <w:rFonts w:ascii="Times" w:hAnsi="Times" w:cs="Times New Roman"/>
                            <w:i/>
                            <w:iCs/>
                            <w:sz w:val="20"/>
                            <w:szCs w:val="20"/>
                            <w:lang w:val="en-AU"/>
                          </w:rPr>
                          <w:t>Origin Energy Ltd</w:t>
                        </w:r>
                        <w:r w:rsidRPr="00A429FE">
                          <w:rPr>
                            <w:rFonts w:ascii="Times" w:hAnsi="Times" w:cs="Times New Roman"/>
                            <w:sz w:val="20"/>
                            <w:szCs w:val="20"/>
                            <w:lang w:val="en-AU"/>
                          </w:rPr>
                          <w:t xml:space="preserve"> ([2008] ATP 23 and </w:t>
                        </w:r>
                        <w:r w:rsidRPr="00A429FE">
                          <w:rPr>
                            <w:rFonts w:ascii="Times" w:hAnsi="Times" w:cs="Times New Roman"/>
                            <w:i/>
                            <w:iCs/>
                            <w:sz w:val="20"/>
                            <w:szCs w:val="20"/>
                            <w:lang w:val="en-AU"/>
                          </w:rPr>
                          <w:t>Tully Sugar Ltd</w:t>
                        </w:r>
                        <w:r w:rsidRPr="00A429FE">
                          <w:rPr>
                            <w:rFonts w:ascii="Times" w:hAnsi="Times" w:cs="Times New Roman"/>
                            <w:sz w:val="20"/>
                            <w:szCs w:val="20"/>
                            <w:lang w:val="en-AU"/>
                          </w:rPr>
                          <w:t xml:space="preserve"> 01 and 01R ([2009] ATP 26 and [2010] ATP 1). </w:t>
                        </w:r>
                        <w:r w:rsidRPr="00A429FE">
                          <w:rPr>
                            <w:rFonts w:ascii="Times" w:hAnsi="Times" w:cs="Times New Roman"/>
                            <w:sz w:val="20"/>
                            <w:szCs w:val="20"/>
                            <w:lang w:val="en-AU"/>
                          </w:rPr>
                          <w:br/>
                          <w:t> </w:t>
                        </w:r>
                        <w:r w:rsidRPr="00A429FE">
                          <w:rPr>
                            <w:rFonts w:ascii="Times" w:hAnsi="Times" w:cs="Times New Roman"/>
                            <w:sz w:val="20"/>
                            <w:szCs w:val="20"/>
                            <w:lang w:val="en-AU"/>
                          </w:rPr>
                          <w:br/>
                          <w:t xml:space="preserve">Further information is available on the </w:t>
                        </w:r>
                        <w:r w:rsidRPr="00A429FE">
                          <w:rPr>
                            <w:rFonts w:ascii="Times" w:hAnsi="Times" w:cs="Times New Roman"/>
                            <w:sz w:val="20"/>
                            <w:szCs w:val="20"/>
                            <w:lang w:val="en-AU"/>
                          </w:rPr>
                          <w:fldChar w:fldCharType="begin"/>
                        </w:r>
                        <w:r w:rsidRPr="00A429FE">
                          <w:rPr>
                            <w:rFonts w:ascii="Times" w:hAnsi="Times" w:cs="Times New Roman"/>
                            <w:sz w:val="20"/>
                            <w:szCs w:val="20"/>
                            <w:lang w:val="en-AU"/>
                          </w:rPr>
                          <w:instrText xml:space="preserve"> HYPERLINK "http://www.takeovers.gov.au/" \t "_new" </w:instrText>
                        </w:r>
                        <w:r w:rsidRPr="00A429FE">
                          <w:rPr>
                            <w:rFonts w:ascii="Times" w:hAnsi="Times" w:cs="Times New Roman"/>
                            <w:sz w:val="20"/>
                            <w:szCs w:val="20"/>
                            <w:lang w:val="en-AU"/>
                          </w:rPr>
                        </w:r>
                        <w:r w:rsidRPr="00A429FE">
                          <w:rPr>
                            <w:rFonts w:ascii="Times" w:hAnsi="Times" w:cs="Times New Roman"/>
                            <w:sz w:val="20"/>
                            <w:szCs w:val="20"/>
                            <w:lang w:val="en-AU"/>
                          </w:rPr>
                          <w:fldChar w:fldCharType="separate"/>
                        </w:r>
                        <w:r w:rsidRPr="00A429FE">
                          <w:rPr>
                            <w:rFonts w:ascii="Times" w:hAnsi="Times" w:cs="Times New Roman"/>
                            <w:color w:val="0000FF"/>
                            <w:sz w:val="20"/>
                            <w:szCs w:val="20"/>
                            <w:u w:val="single"/>
                            <w:lang w:val="en-AU"/>
                          </w:rPr>
                          <w:t>Panel</w:t>
                        </w:r>
                        <w:r w:rsidRPr="00A429FE">
                          <w:rPr>
                            <w:rFonts w:ascii="Times" w:hAnsi="Times" w:cs="Times New Roman"/>
                            <w:sz w:val="20"/>
                            <w:szCs w:val="20"/>
                            <w:lang w:val="en-AU"/>
                          </w:rPr>
                          <w:fldChar w:fldCharType="end"/>
                        </w:r>
                        <w:r w:rsidRPr="00A429FE">
                          <w:rPr>
                            <w:rFonts w:ascii="Times" w:hAnsi="Times" w:cs="Times New Roman"/>
                            <w:sz w:val="20"/>
                            <w:szCs w:val="20"/>
                            <w:lang w:val="en-AU"/>
                          </w:rPr>
                          <w:t xml:space="preserve"> website. </w:t>
                        </w:r>
                      </w:p>
                      <w:p w:rsidR="00A429FE" w:rsidRPr="00A429FE" w:rsidRDefault="00A429FE" w:rsidP="00A429F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7123" name="Picture 17123" descr="etailed Contents">
                                <a:hlinkClick xmlns:a="http://schemas.openxmlformats.org/drawingml/2006/main" r:id="rId1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23" descr="etailed Contents">
                                        <a:hlinkClick r:id="rId100"/>
                                      </pic:cNvPr>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A429FE" w:rsidRPr="00A429FE" w:rsidRDefault="00A429FE" w:rsidP="00A429FE">
                  <w:pPr>
                    <w:rPr>
                      <w:rFonts w:ascii="Times" w:eastAsia="Times New Roman" w:hAnsi="Times" w:cs="Times New Roman"/>
                      <w:sz w:val="20"/>
                      <w:szCs w:val="20"/>
                      <w:lang w:val="en-AU"/>
                    </w:rPr>
                  </w:pPr>
                </w:p>
              </w:tc>
            </w:tr>
          </w:tbl>
          <w:p w:rsidR="00A429FE" w:rsidRPr="00A429FE" w:rsidRDefault="00A429FE" w:rsidP="00A429FE">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592"/>
            </w:tblGrid>
            <w:tr w:rsidR="00A429FE" w:rsidRPr="00A429FE">
              <w:trPr>
                <w:trHeight w:val="560"/>
                <w:tblCellSpacing w:w="0" w:type="dxa"/>
              </w:trPr>
              <w:tc>
                <w:tcPr>
                  <w:tcW w:w="0" w:type="auto"/>
                  <w:shd w:val="clear" w:color="auto" w:fill="E4E5E5"/>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6457"/>
                    <w:gridCol w:w="600"/>
                    <w:gridCol w:w="535"/>
                  </w:tblGrid>
                  <w:tr w:rsidR="00A429FE" w:rsidRPr="00A429FE">
                    <w:trPr>
                      <w:tblCellSpacing w:w="0" w:type="dxa"/>
                    </w:trPr>
                    <w:tc>
                      <w:tcPr>
                        <w:tcW w:w="0" w:type="auto"/>
                        <w:vAlign w:val="center"/>
                        <w:hideMark/>
                      </w:tcPr>
                      <w:p w:rsidR="00A429FE" w:rsidRPr="00A429FE" w:rsidRDefault="00A429FE" w:rsidP="00A429FE">
                        <w:pPr>
                          <w:rPr>
                            <w:rFonts w:ascii="Times" w:eastAsia="Times New Roman" w:hAnsi="Times" w:cs="Times New Roman"/>
                            <w:sz w:val="20"/>
                            <w:szCs w:val="20"/>
                            <w:lang w:val="en-AU"/>
                          </w:rPr>
                        </w:pPr>
                        <w:bookmarkStart w:id="53" w:name="5"/>
                        <w:bookmarkEnd w:id="53"/>
                        <w:r w:rsidRPr="00A429FE">
                          <w:rPr>
                            <w:rFonts w:ascii="Times" w:eastAsia="Times New Roman" w:hAnsi="Times" w:cs="Times New Roman"/>
                            <w:b/>
                            <w:bCs/>
                            <w:sz w:val="20"/>
                            <w:szCs w:val="20"/>
                            <w:lang w:val="en-AU"/>
                          </w:rPr>
                          <w:t>5. Recent Corporate Law Decisions</w:t>
                        </w:r>
                      </w:p>
                    </w:tc>
                    <w:tc>
                      <w:tcPr>
                        <w:tcW w:w="600" w:type="dxa"/>
                        <w:vAlign w:val="center"/>
                        <w:hideMark/>
                      </w:tcPr>
                      <w:p w:rsidR="00A429FE" w:rsidRPr="00A429FE" w:rsidRDefault="00A429FE" w:rsidP="00A429FE">
                        <w:pPr>
                          <w:rPr>
                            <w:rFonts w:ascii="Times" w:eastAsia="Times New Roman" w:hAnsi="Times" w:cs="Times New Roman"/>
                            <w:sz w:val="20"/>
                            <w:szCs w:val="20"/>
                            <w:lang w:val="en-AU"/>
                          </w:rPr>
                        </w:pPr>
                      </w:p>
                    </w:tc>
                    <w:tc>
                      <w:tcPr>
                        <w:tcW w:w="240" w:type="dxa"/>
                        <w:vAlign w:val="center"/>
                        <w:hideMark/>
                      </w:tcPr>
                      <w:p w:rsidR="00A429FE" w:rsidRPr="00A429FE" w:rsidRDefault="00A429FE" w:rsidP="00A429FE">
                        <w:pPr>
                          <w:rPr>
                            <w:rFonts w:ascii="Times" w:eastAsia="Times New Roman" w:hAnsi="Times" w:cs="Times New Roman"/>
                            <w:sz w:val="20"/>
                            <w:szCs w:val="20"/>
                            <w:lang w:val="en-AU"/>
                          </w:rPr>
                        </w:pPr>
                        <w:r>
                          <w:rPr>
                            <w:rFonts w:ascii="Times" w:eastAsia="Times New Roman" w:hAnsi="Times" w:cs="Times New Roman"/>
                            <w:noProof/>
                            <w:color w:val="0000FF"/>
                            <w:sz w:val="20"/>
                            <w:szCs w:val="20"/>
                          </w:rPr>
                          <w:drawing>
                            <wp:inline distT="0" distB="0" distL="0" distR="0">
                              <wp:extent cx="136525" cy="153670"/>
                              <wp:effectExtent l="0" t="0" r="0" b="0"/>
                              <wp:docPr id="17124" name="Picture 17124" descr="ext Section">
                                <a:hlinkClick xmlns:a="http://schemas.openxmlformats.org/drawingml/2006/main" r:id="rId1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24" descr="ext Section">
                                        <a:hlinkClick r:id="rId101"/>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A429FE" w:rsidRPr="00A429FE" w:rsidRDefault="00A429FE" w:rsidP="00A429FE">
                  <w:pPr>
                    <w:rPr>
                      <w:rFonts w:ascii="Times" w:eastAsia="Times New Roman" w:hAnsi="Times" w:cs="Times New Roman"/>
                      <w:sz w:val="20"/>
                      <w:szCs w:val="20"/>
                      <w:lang w:val="en-AU"/>
                    </w:rPr>
                  </w:pPr>
                </w:p>
              </w:tc>
            </w:tr>
            <w:tr w:rsidR="00A429FE" w:rsidRPr="00A429FE">
              <w:trPr>
                <w:tblCellSpacing w:w="0" w:type="dxa"/>
              </w:trPr>
              <w:tc>
                <w:tcPr>
                  <w:tcW w:w="0" w:type="auto"/>
                  <w:vAlign w:val="center"/>
                  <w:hideMark/>
                </w:tcPr>
                <w:p w:rsidR="00A429FE" w:rsidRPr="00A429FE" w:rsidRDefault="00A429FE" w:rsidP="00A429FE">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6956425" cy="17145"/>
                        <wp:effectExtent l="0" t="0" r="0" b="0"/>
                        <wp:docPr id="17125" name="Picture 17125"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25"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6425" cy="17145"/>
                                </a:xfrm>
                                <a:prstGeom prst="rect">
                                  <a:avLst/>
                                </a:prstGeom>
                                <a:noFill/>
                                <a:ln>
                                  <a:noFill/>
                                </a:ln>
                              </pic:spPr>
                            </pic:pic>
                          </a:graphicData>
                        </a:graphic>
                      </wp:inline>
                    </w:drawing>
                  </w:r>
                </w:p>
              </w:tc>
            </w:tr>
            <w:tr w:rsidR="00A429FE" w:rsidRPr="00A429FE">
              <w:trPr>
                <w:tblCellSpacing w:w="0" w:type="dxa"/>
              </w:trPr>
              <w:tc>
                <w:tcPr>
                  <w:tcW w:w="0" w:type="auto"/>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7592"/>
                  </w:tblGrid>
                  <w:tr w:rsidR="00A429FE" w:rsidRPr="00A429FE">
                    <w:trPr>
                      <w:tblCellSpacing w:w="0" w:type="dxa"/>
                    </w:trPr>
                    <w:tc>
                      <w:tcPr>
                        <w:tcW w:w="0" w:type="auto"/>
                        <w:hideMark/>
                      </w:tcPr>
                      <w:p w:rsidR="00A429FE" w:rsidRPr="00A429FE" w:rsidRDefault="00A429FE" w:rsidP="00A429FE">
                        <w:pPr>
                          <w:spacing w:before="100" w:beforeAutospacing="1" w:after="100" w:afterAutospacing="1"/>
                          <w:rPr>
                            <w:rFonts w:ascii="Times" w:hAnsi="Times" w:cs="Times New Roman"/>
                            <w:sz w:val="20"/>
                            <w:szCs w:val="20"/>
                            <w:lang w:val="en-AU"/>
                          </w:rPr>
                        </w:pPr>
                        <w:bookmarkStart w:id="54" w:name="051"/>
                        <w:bookmarkEnd w:id="54"/>
                        <w:r w:rsidRPr="00A429FE">
                          <w:rPr>
                            <w:rFonts w:ascii="Times" w:hAnsi="Times" w:cs="Times New Roman"/>
                            <w:b/>
                            <w:bCs/>
                            <w:sz w:val="20"/>
                            <w:szCs w:val="20"/>
                            <w:lang w:val="en-AU"/>
                          </w:rPr>
                          <w:t>5.1 Determining a special purpose liquidator's entitlement to remuneration claimed</w:t>
                        </w:r>
                        <w:r w:rsidRPr="00A429FE">
                          <w:rPr>
                            <w:rFonts w:ascii="Times" w:hAnsi="Times" w:cs="Times New Roman"/>
                            <w:sz w:val="20"/>
                            <w:szCs w:val="20"/>
                            <w:lang w:val="en-AU"/>
                          </w:rPr>
                          <w:br/>
                          <w:t> </w:t>
                        </w:r>
                        <w:r w:rsidRPr="00A429FE">
                          <w:rPr>
                            <w:rFonts w:ascii="Times" w:hAnsi="Times" w:cs="Times New Roman"/>
                            <w:sz w:val="20"/>
                            <w:szCs w:val="20"/>
                            <w:lang w:val="en-AU"/>
                          </w:rPr>
                          <w:br/>
                          <w:t>(By Jiayue Li, DLA Phillips Fox)</w:t>
                        </w:r>
                        <w:r w:rsidRPr="00A429FE">
                          <w:rPr>
                            <w:rFonts w:ascii="Times" w:hAnsi="Times" w:cs="Times New Roman"/>
                            <w:sz w:val="20"/>
                            <w:szCs w:val="20"/>
                            <w:lang w:val="en-AU"/>
                          </w:rPr>
                          <w:br/>
                          <w:t> </w:t>
                        </w:r>
                        <w:r w:rsidRPr="00A429FE">
                          <w:rPr>
                            <w:rFonts w:ascii="Times" w:hAnsi="Times" w:cs="Times New Roman"/>
                            <w:sz w:val="20"/>
                            <w:szCs w:val="20"/>
                            <w:lang w:val="en-AU"/>
                          </w:rPr>
                          <w:br/>
                          <w:t>Onefone Australia Pty Ltd v One.Tel Ltd [2010] NSWSC 1120, New South Wales Supreme Court, Barrett J, 1 October 2010</w:t>
                        </w:r>
                        <w:r w:rsidRPr="00A429FE">
                          <w:rPr>
                            <w:rFonts w:ascii="Times" w:hAnsi="Times" w:cs="Times New Roman"/>
                            <w:sz w:val="20"/>
                            <w:szCs w:val="20"/>
                            <w:lang w:val="en-AU"/>
                          </w:rPr>
                          <w:br/>
                          <w:t> </w:t>
                        </w:r>
                        <w:r w:rsidRPr="00A429FE">
                          <w:rPr>
                            <w:rFonts w:ascii="Times" w:hAnsi="Times" w:cs="Times New Roman"/>
                            <w:sz w:val="20"/>
                            <w:szCs w:val="20"/>
                            <w:lang w:val="en-AU"/>
                          </w:rPr>
                          <w:br/>
                          <w:t>The full text of this judgment is available at:</w:t>
                        </w:r>
                      </w:p>
                      <w:p w:rsidR="00A429FE" w:rsidRPr="00A429FE" w:rsidRDefault="00A429FE" w:rsidP="00A429FE">
                        <w:pPr>
                          <w:spacing w:before="100" w:beforeAutospacing="1" w:after="100" w:afterAutospacing="1"/>
                          <w:rPr>
                            <w:rFonts w:ascii="Times" w:hAnsi="Times" w:cs="Times New Roman"/>
                            <w:sz w:val="20"/>
                            <w:szCs w:val="20"/>
                            <w:lang w:val="en-AU"/>
                          </w:rPr>
                        </w:pPr>
                        <w:r w:rsidRPr="00A429FE">
                          <w:rPr>
                            <w:rFonts w:ascii="Times" w:hAnsi="Times" w:cs="Times New Roman"/>
                            <w:sz w:val="20"/>
                            <w:szCs w:val="20"/>
                            <w:lang w:val="en-AU"/>
                          </w:rPr>
                          <w:fldChar w:fldCharType="begin"/>
                        </w:r>
                        <w:r w:rsidRPr="00A429FE">
                          <w:rPr>
                            <w:rFonts w:ascii="Times" w:hAnsi="Times" w:cs="Times New Roman"/>
                            <w:sz w:val="20"/>
                            <w:szCs w:val="20"/>
                            <w:lang w:val="en-AU"/>
                          </w:rPr>
                          <w:instrText xml:space="preserve"> HYPERLINK "http://www.austlii.edu.au/au/cases/nsw/NSWSC/2010/1120.html" \t "_new" </w:instrText>
                        </w:r>
                        <w:r w:rsidRPr="00A429FE">
                          <w:rPr>
                            <w:rFonts w:ascii="Times" w:hAnsi="Times" w:cs="Times New Roman"/>
                            <w:sz w:val="20"/>
                            <w:szCs w:val="20"/>
                            <w:lang w:val="en-AU"/>
                          </w:rPr>
                        </w:r>
                        <w:r w:rsidRPr="00A429FE">
                          <w:rPr>
                            <w:rFonts w:ascii="Times" w:hAnsi="Times" w:cs="Times New Roman"/>
                            <w:sz w:val="20"/>
                            <w:szCs w:val="20"/>
                            <w:lang w:val="en-AU"/>
                          </w:rPr>
                          <w:fldChar w:fldCharType="separate"/>
                        </w:r>
                        <w:r w:rsidRPr="00A429FE">
                          <w:rPr>
                            <w:rFonts w:ascii="Times" w:hAnsi="Times" w:cs="Times New Roman"/>
                            <w:color w:val="0000FF"/>
                            <w:sz w:val="20"/>
                            <w:szCs w:val="20"/>
                            <w:u w:val="single"/>
                            <w:lang w:val="en-AU"/>
                          </w:rPr>
                          <w:t>http://www.austlii.edu.au/au/cases/nsw/NSWSC/2010/1120.html</w:t>
                        </w:r>
                        <w:r w:rsidRPr="00A429FE">
                          <w:rPr>
                            <w:rFonts w:ascii="Times" w:hAnsi="Times" w:cs="Times New Roman"/>
                            <w:sz w:val="20"/>
                            <w:szCs w:val="20"/>
                            <w:lang w:val="en-AU"/>
                          </w:rPr>
                          <w:fldChar w:fldCharType="end"/>
                        </w:r>
                        <w:r w:rsidRPr="00A429FE">
                          <w:rPr>
                            <w:rFonts w:ascii="Times" w:hAnsi="Times" w:cs="Times New Roman"/>
                            <w:sz w:val="20"/>
                            <w:szCs w:val="20"/>
                            <w:lang w:val="en-AU"/>
                          </w:rPr>
                          <w:br/>
                          <w:t> </w:t>
                        </w:r>
                        <w:r w:rsidRPr="00A429FE">
                          <w:rPr>
                            <w:rFonts w:ascii="Times" w:hAnsi="Times" w:cs="Times New Roman"/>
                            <w:sz w:val="20"/>
                            <w:szCs w:val="20"/>
                            <w:lang w:val="en-AU"/>
                          </w:rPr>
                          <w:br/>
                        </w:r>
                        <w:r w:rsidRPr="00A429FE">
                          <w:rPr>
                            <w:rFonts w:ascii="Times" w:hAnsi="Times" w:cs="Times New Roman"/>
                            <w:b/>
                            <w:bCs/>
                            <w:sz w:val="20"/>
                            <w:szCs w:val="20"/>
                            <w:lang w:val="en-AU"/>
                          </w:rPr>
                          <w:t>(a) Summary</w:t>
                        </w:r>
                        <w:r w:rsidRPr="00A429FE">
                          <w:rPr>
                            <w:rFonts w:ascii="Times" w:hAnsi="Times" w:cs="Times New Roman"/>
                            <w:sz w:val="20"/>
                            <w:szCs w:val="20"/>
                            <w:lang w:val="en-AU"/>
                          </w:rPr>
                          <w:br/>
                          <w:t> </w:t>
                        </w:r>
                        <w:r w:rsidRPr="00A429FE">
                          <w:rPr>
                            <w:rFonts w:ascii="Times" w:hAnsi="Times" w:cs="Times New Roman"/>
                            <w:sz w:val="20"/>
                            <w:szCs w:val="20"/>
                            <w:lang w:val="en-AU"/>
                          </w:rPr>
                          <w:br/>
                          <w:t xml:space="preserve">The proceeding related to an application by the special purpose liquidator of One.Tel Limited under section 511 of the </w:t>
                        </w:r>
                        <w:r w:rsidRPr="00A429FE">
                          <w:rPr>
                            <w:rFonts w:ascii="Times" w:hAnsi="Times" w:cs="Times New Roman"/>
                            <w:sz w:val="20"/>
                            <w:szCs w:val="20"/>
                            <w:lang w:val="en-AU"/>
                          </w:rPr>
                          <w:fldChar w:fldCharType="begin"/>
                        </w:r>
                        <w:r w:rsidRPr="00A429FE">
                          <w:rPr>
                            <w:rFonts w:ascii="Times" w:hAnsi="Times" w:cs="Times New Roman"/>
                            <w:sz w:val="20"/>
                            <w:szCs w:val="20"/>
                            <w:lang w:val="en-AU"/>
                          </w:rPr>
                          <w:instrText xml:space="preserve"> HYPERLINK "http://my.lawlex.com.au/index.asp?pact=coredoc&amp;nav=col&amp;cid=56482" \t "Default" </w:instrText>
                        </w:r>
                        <w:r w:rsidRPr="00A429FE">
                          <w:rPr>
                            <w:rFonts w:ascii="Times" w:hAnsi="Times" w:cs="Times New Roman"/>
                            <w:sz w:val="20"/>
                            <w:szCs w:val="20"/>
                            <w:lang w:val="en-AU"/>
                          </w:rPr>
                        </w:r>
                        <w:r w:rsidRPr="00A429FE">
                          <w:rPr>
                            <w:rFonts w:ascii="Times" w:hAnsi="Times" w:cs="Times New Roman"/>
                            <w:sz w:val="20"/>
                            <w:szCs w:val="20"/>
                            <w:lang w:val="en-AU"/>
                          </w:rPr>
                          <w:fldChar w:fldCharType="separate"/>
                        </w:r>
                        <w:r w:rsidRPr="00A429FE">
                          <w:rPr>
                            <w:rFonts w:ascii="Times" w:hAnsi="Times" w:cs="Times New Roman"/>
                            <w:color w:val="0000FF"/>
                            <w:sz w:val="20"/>
                            <w:szCs w:val="20"/>
                            <w:u w:val="single"/>
                            <w:lang w:val="en-AU"/>
                          </w:rPr>
                          <w:t>Corporations Act 2001 (Cth)</w:t>
                        </w:r>
                        <w:r w:rsidRPr="00A429FE">
                          <w:rPr>
                            <w:rFonts w:ascii="Times" w:hAnsi="Times" w:cs="Times New Roman"/>
                            <w:sz w:val="20"/>
                            <w:szCs w:val="20"/>
                            <w:lang w:val="en-AU"/>
                          </w:rPr>
                          <w:fldChar w:fldCharType="end"/>
                        </w:r>
                        <w:r w:rsidRPr="00A429FE">
                          <w:rPr>
                            <w:rFonts w:ascii="Times" w:hAnsi="Times" w:cs="Times New Roman"/>
                            <w:sz w:val="20"/>
                            <w:szCs w:val="20"/>
                            <w:lang w:val="en-AU"/>
                          </w:rPr>
                          <w:t xml:space="preserve"> ('Act') seeking directions from the court with respect to their entitlement to remuneration from the company for the winding up. </w:t>
                        </w:r>
                        <w:r w:rsidRPr="00A429FE">
                          <w:rPr>
                            <w:rFonts w:ascii="Times" w:hAnsi="Times" w:cs="Times New Roman"/>
                            <w:sz w:val="20"/>
                            <w:szCs w:val="20"/>
                            <w:lang w:val="en-AU"/>
                          </w:rPr>
                          <w:br/>
                          <w:t> </w:t>
                        </w:r>
                        <w:r w:rsidRPr="00A429FE">
                          <w:rPr>
                            <w:rFonts w:ascii="Times" w:hAnsi="Times" w:cs="Times New Roman"/>
                            <w:sz w:val="20"/>
                            <w:szCs w:val="20"/>
                            <w:lang w:val="en-AU"/>
                          </w:rPr>
                          <w:br/>
                          <w:t xml:space="preserve">In an earlier proceeding which was also heard by Barrett J, </w:t>
                        </w:r>
                        <w:r w:rsidRPr="00A429FE">
                          <w:rPr>
                            <w:rFonts w:ascii="Times" w:hAnsi="Times" w:cs="Times New Roman"/>
                            <w:i/>
                            <w:iCs/>
                            <w:sz w:val="20"/>
                            <w:szCs w:val="20"/>
                            <w:lang w:val="en-AU"/>
                          </w:rPr>
                          <w:t>Onefone Australia Pty Limited v One.Tel Limited</w:t>
                        </w:r>
                        <w:r w:rsidRPr="00A429FE">
                          <w:rPr>
                            <w:rFonts w:ascii="Times" w:hAnsi="Times" w:cs="Times New Roman"/>
                            <w:sz w:val="20"/>
                            <w:szCs w:val="20"/>
                            <w:lang w:val="en-AU"/>
                          </w:rPr>
                          <w:t xml:space="preserve"> [2010] NSWSC 401 ('earlier proceeding'), the court ordered the special purpose liquidator to provide further information for the purposes of a hearing to determine the special purpose liquidator's remuneration application. </w:t>
                        </w:r>
                        <w:r w:rsidRPr="00A429FE">
                          <w:rPr>
                            <w:rFonts w:ascii="Times" w:hAnsi="Times" w:cs="Times New Roman"/>
                            <w:sz w:val="20"/>
                            <w:szCs w:val="20"/>
                            <w:lang w:val="en-AU"/>
                          </w:rPr>
                          <w:br/>
                          <w:t> </w:t>
                        </w:r>
                        <w:r w:rsidRPr="00A429FE">
                          <w:rPr>
                            <w:rFonts w:ascii="Times" w:hAnsi="Times" w:cs="Times New Roman"/>
                            <w:sz w:val="20"/>
                            <w:szCs w:val="20"/>
                            <w:lang w:val="en-AU"/>
                          </w:rPr>
                          <w:br/>
                          <w:t>In the current proceeding, after considering the further materials presented by the special purpose liquidator, Barrett J ordered the special purpose liquidator to reformulate the claim and materials as the materials were insufficient to enable the court to form a view as to whether the remuneration claim was fair and reasonable. The matter of quantifying and assessing the special purpose liquidator's remuneration claim would be referred to the registrar, who would report back to the court such that an order under section 511 of the Act could be made.</w:t>
                        </w:r>
                        <w:r w:rsidRPr="00A429FE">
                          <w:rPr>
                            <w:rFonts w:ascii="Times" w:hAnsi="Times" w:cs="Times New Roman"/>
                            <w:sz w:val="20"/>
                            <w:szCs w:val="20"/>
                            <w:lang w:val="en-AU"/>
                          </w:rPr>
                          <w:br/>
                          <w:t> </w:t>
                        </w:r>
                        <w:r w:rsidRPr="00A429FE">
                          <w:rPr>
                            <w:rFonts w:ascii="Times" w:hAnsi="Times" w:cs="Times New Roman"/>
                            <w:sz w:val="20"/>
                            <w:szCs w:val="20"/>
                            <w:lang w:val="en-AU"/>
                          </w:rPr>
                          <w:br/>
                        </w:r>
                        <w:r w:rsidRPr="00A429FE">
                          <w:rPr>
                            <w:rFonts w:ascii="Times" w:hAnsi="Times" w:cs="Times New Roman"/>
                            <w:b/>
                            <w:bCs/>
                            <w:sz w:val="20"/>
                            <w:szCs w:val="20"/>
                            <w:lang w:val="en-AU"/>
                          </w:rPr>
                          <w:t>(b) Facts</w:t>
                        </w:r>
                        <w:r w:rsidRPr="00A429FE">
                          <w:rPr>
                            <w:rFonts w:ascii="Times" w:hAnsi="Times" w:cs="Times New Roman"/>
                            <w:sz w:val="20"/>
                            <w:szCs w:val="20"/>
                            <w:lang w:val="en-AU"/>
                          </w:rPr>
                          <w:br/>
                          <w:t> </w:t>
                        </w:r>
                        <w:r w:rsidRPr="00A429FE">
                          <w:rPr>
                            <w:rFonts w:ascii="Times" w:hAnsi="Times" w:cs="Times New Roman"/>
                            <w:sz w:val="20"/>
                            <w:szCs w:val="20"/>
                            <w:lang w:val="en-AU"/>
                          </w:rPr>
                          <w:br/>
                          <w:t>The factual background to these proceedings was largely set out in the judgment of the earlier proceeding.  Barrett J stated that the present judgment must be read in conjunction with the reasons provided in respect of the earlier proceeding.</w:t>
                        </w:r>
                        <w:r w:rsidRPr="00A429FE">
                          <w:rPr>
                            <w:rFonts w:ascii="Times" w:hAnsi="Times" w:cs="Times New Roman"/>
                            <w:sz w:val="20"/>
                            <w:szCs w:val="20"/>
                            <w:lang w:val="en-AU"/>
                          </w:rPr>
                          <w:br/>
                          <w:t> </w:t>
                        </w:r>
                        <w:r w:rsidRPr="00A429FE">
                          <w:rPr>
                            <w:rFonts w:ascii="Times" w:hAnsi="Times" w:cs="Times New Roman"/>
                            <w:sz w:val="20"/>
                            <w:szCs w:val="20"/>
                            <w:lang w:val="en-AU"/>
                          </w:rPr>
                          <w:br/>
                          <w:t xml:space="preserve">On 8 December 2009, a meeting of the committee of inspection ('COI') was held to consider a resolution relating to the special purpose liquidator's remuneration claim.  At that meeting, no resolution was passed. </w:t>
                        </w:r>
                        <w:r w:rsidRPr="00A429FE">
                          <w:rPr>
                            <w:rFonts w:ascii="Times" w:hAnsi="Times" w:cs="Times New Roman"/>
                            <w:sz w:val="20"/>
                            <w:szCs w:val="20"/>
                            <w:lang w:val="en-AU"/>
                          </w:rPr>
                          <w:br/>
                          <w:t> </w:t>
                        </w:r>
                        <w:r w:rsidRPr="00A429FE">
                          <w:rPr>
                            <w:rFonts w:ascii="Times" w:hAnsi="Times" w:cs="Times New Roman"/>
                            <w:sz w:val="20"/>
                            <w:szCs w:val="20"/>
                            <w:lang w:val="en-AU"/>
                          </w:rPr>
                          <w:br/>
                          <w:t>Subsequently, the special purpose liquidator proposed to members of the COI alternatives in relation to the remuneration claim.  The special purpose liquidator claimed that on 14 December 2009 a majority of the COI members voted via email in favour of one of the alternatives proposed and effectively resolved that the special purpose liquidator be paid the sum of $215,436.10 for the period during 1 July 2009 to 31 October 2009 ('the 14 December Resolution').</w:t>
                        </w:r>
                        <w:r w:rsidRPr="00A429FE">
                          <w:rPr>
                            <w:rFonts w:ascii="Times" w:hAnsi="Times" w:cs="Times New Roman"/>
                            <w:sz w:val="20"/>
                            <w:szCs w:val="20"/>
                            <w:lang w:val="en-AU"/>
                          </w:rPr>
                          <w:br/>
                          <w:t> </w:t>
                        </w:r>
                        <w:r w:rsidRPr="00A429FE">
                          <w:rPr>
                            <w:rFonts w:ascii="Times" w:hAnsi="Times" w:cs="Times New Roman"/>
                            <w:sz w:val="20"/>
                            <w:szCs w:val="20"/>
                            <w:lang w:val="en-AU"/>
                          </w:rPr>
                          <w:br/>
                          <w:t>In the earlier proceeding, Barrett J held that the 14 December Resolution was invalid as the purported resolution of the COI members did not comply with the requirements of the Act.  Barrett J ordered the special purpose liquidator to provide further information for the purposes of a hearing of the special purpose liquidator's remuneration application.</w:t>
                        </w:r>
                        <w:r w:rsidRPr="00A429FE">
                          <w:rPr>
                            <w:rFonts w:ascii="Times" w:hAnsi="Times" w:cs="Times New Roman"/>
                            <w:sz w:val="20"/>
                            <w:szCs w:val="20"/>
                            <w:lang w:val="en-AU"/>
                          </w:rPr>
                          <w:br/>
                          <w:t> </w:t>
                        </w:r>
                        <w:r w:rsidRPr="00A429FE">
                          <w:rPr>
                            <w:rFonts w:ascii="Times" w:hAnsi="Times" w:cs="Times New Roman"/>
                            <w:sz w:val="20"/>
                            <w:szCs w:val="20"/>
                            <w:lang w:val="en-AU"/>
                          </w:rPr>
                          <w:br/>
                        </w:r>
                        <w:r w:rsidRPr="00A429FE">
                          <w:rPr>
                            <w:rFonts w:ascii="Times" w:hAnsi="Times" w:cs="Times New Roman"/>
                            <w:b/>
                            <w:bCs/>
                            <w:sz w:val="20"/>
                            <w:szCs w:val="20"/>
                            <w:lang w:val="en-AU"/>
                          </w:rPr>
                          <w:t xml:space="preserve">(c) Decision  </w:t>
                        </w:r>
                        <w:r w:rsidRPr="00A429FE">
                          <w:rPr>
                            <w:rFonts w:ascii="Times" w:hAnsi="Times" w:cs="Times New Roman"/>
                            <w:sz w:val="20"/>
                            <w:szCs w:val="20"/>
                            <w:lang w:val="en-AU"/>
                          </w:rPr>
                          <w:br/>
                          <w:t> </w:t>
                        </w:r>
                        <w:r w:rsidRPr="00A429FE">
                          <w:rPr>
                            <w:rFonts w:ascii="Times" w:hAnsi="Times" w:cs="Times New Roman"/>
                            <w:sz w:val="20"/>
                            <w:szCs w:val="20"/>
                            <w:lang w:val="en-AU"/>
                          </w:rPr>
                          <w:br/>
                          <w:t>Barrett J upheld the decision in the earlier proceeding that the resolution of 14 December 2009 and the payment of $215,436.10 pursuant to it were invalid and could not be validated by resort to section 1322 of the Act.</w:t>
                        </w:r>
                        <w:r w:rsidRPr="00A429FE">
                          <w:rPr>
                            <w:rFonts w:ascii="Times" w:hAnsi="Times" w:cs="Times New Roman"/>
                            <w:sz w:val="20"/>
                            <w:szCs w:val="20"/>
                            <w:lang w:val="en-AU"/>
                          </w:rPr>
                          <w:br/>
                          <w:t> </w:t>
                        </w:r>
                        <w:r w:rsidRPr="00A429FE">
                          <w:rPr>
                            <w:rFonts w:ascii="Times" w:hAnsi="Times" w:cs="Times New Roman"/>
                            <w:sz w:val="20"/>
                            <w:szCs w:val="20"/>
                            <w:lang w:val="en-AU"/>
                          </w:rPr>
                          <w:br/>
                          <w:t>In relation to the special purpose liquidator's remuneration application, Barrett J held:</w:t>
                        </w:r>
                      </w:p>
                      <w:p w:rsidR="00A429FE" w:rsidRPr="00A429FE" w:rsidRDefault="00A429FE" w:rsidP="00A429FE">
                        <w:pPr>
                          <w:tabs>
                            <w:tab w:val="num" w:pos="720"/>
                          </w:tabs>
                          <w:spacing w:before="100" w:beforeAutospacing="1" w:after="100" w:afterAutospacing="1"/>
                          <w:ind w:left="720" w:hanging="360"/>
                          <w:rPr>
                            <w:rFonts w:ascii="Times" w:eastAsia="Times New Roman" w:hAnsi="Times" w:cs="Times New Roman"/>
                            <w:sz w:val="20"/>
                            <w:szCs w:val="20"/>
                            <w:lang w:val="en-AU"/>
                          </w:rPr>
                        </w:pPr>
                        <w:r w:rsidRPr="00A429FE">
                          <w:rPr>
                            <w:rFonts w:ascii="Times" w:eastAsia="Times New Roman" w:hAnsi="Times" w:cs="Times New Roman"/>
                            <w:sz w:val="20"/>
                            <w:szCs w:val="20"/>
                            <w:lang w:val="en-AU"/>
                          </w:rPr>
                          <w:t xml:space="preserve">The court may in certain circumstances, under section 511 of the Act, deal with the quantification of a liquidator's remuneration in a creditors voluntary winding up. </w:t>
                        </w:r>
                      </w:p>
                      <w:p w:rsidR="00A429FE" w:rsidRPr="00A429FE" w:rsidRDefault="00A429FE" w:rsidP="00A429FE">
                        <w:pPr>
                          <w:tabs>
                            <w:tab w:val="num" w:pos="720"/>
                          </w:tabs>
                          <w:spacing w:before="100" w:beforeAutospacing="1" w:after="100" w:afterAutospacing="1"/>
                          <w:ind w:left="720" w:hanging="360"/>
                          <w:rPr>
                            <w:rFonts w:ascii="Times" w:eastAsia="Times New Roman" w:hAnsi="Times" w:cs="Times New Roman"/>
                            <w:sz w:val="20"/>
                            <w:szCs w:val="20"/>
                            <w:lang w:val="en-AU"/>
                          </w:rPr>
                        </w:pPr>
                        <w:r w:rsidRPr="00A429FE">
                          <w:rPr>
                            <w:rFonts w:ascii="Times" w:eastAsia="Times New Roman" w:hAnsi="Times" w:cs="Times New Roman"/>
                            <w:sz w:val="20"/>
                            <w:szCs w:val="20"/>
                            <w:lang w:val="en-AU"/>
                          </w:rPr>
                          <w:t xml:space="preserve">The court will not make an order that the liquidator's remuneration claim is fair and reasonable where there is insufficient evidentiary material available.  </w:t>
                        </w:r>
                      </w:p>
                      <w:p w:rsidR="00A429FE" w:rsidRPr="00A429FE" w:rsidRDefault="00A429FE" w:rsidP="00A429FE">
                        <w:pPr>
                          <w:spacing w:before="100" w:beforeAutospacing="1" w:after="100" w:afterAutospacing="1"/>
                          <w:rPr>
                            <w:rFonts w:ascii="Times" w:hAnsi="Times" w:cs="Times New Roman"/>
                            <w:sz w:val="20"/>
                            <w:szCs w:val="20"/>
                            <w:lang w:val="en-AU"/>
                          </w:rPr>
                        </w:pPr>
                        <w:r w:rsidRPr="00A429FE">
                          <w:rPr>
                            <w:rFonts w:ascii="Times" w:hAnsi="Times" w:cs="Times New Roman"/>
                            <w:sz w:val="20"/>
                            <w:szCs w:val="20"/>
                            <w:lang w:val="en-AU"/>
                          </w:rPr>
                          <w:t xml:space="preserve">Ultimately, Barrett J concluded that there was insufficient material to determine the special purpose liquidator's remuneration claim. Barrett J ordered the special purpose liquidator to re-formulate the claim and the evidentiary materials and to serve the reformulated materials on both ASIC and the members of the COI who participated in the hearing of the application. </w:t>
                        </w:r>
                        <w:r w:rsidRPr="00A429FE">
                          <w:rPr>
                            <w:rFonts w:ascii="Times" w:hAnsi="Times" w:cs="Times New Roman"/>
                            <w:sz w:val="20"/>
                            <w:szCs w:val="20"/>
                            <w:lang w:val="en-AU"/>
                          </w:rPr>
                          <w:br/>
                          <w:t> </w:t>
                        </w:r>
                        <w:r w:rsidRPr="00A429FE">
                          <w:rPr>
                            <w:rFonts w:ascii="Times" w:hAnsi="Times" w:cs="Times New Roman"/>
                            <w:sz w:val="20"/>
                            <w:szCs w:val="20"/>
                            <w:lang w:val="en-AU"/>
                          </w:rPr>
                          <w:br/>
                        </w:r>
                        <w:r w:rsidRPr="00A429FE">
                          <w:rPr>
                            <w:rFonts w:ascii="Times" w:hAnsi="Times" w:cs="Times New Roman"/>
                            <w:b/>
                            <w:bCs/>
                            <w:sz w:val="20"/>
                            <w:szCs w:val="20"/>
                            <w:lang w:val="en-AU"/>
                          </w:rPr>
                          <w:t>(i) 14 December Resolution was invalid and could not be validated by resort to section 1322</w:t>
                        </w:r>
                        <w:r w:rsidRPr="00A429FE">
                          <w:rPr>
                            <w:rFonts w:ascii="Times" w:hAnsi="Times" w:cs="Times New Roman"/>
                            <w:sz w:val="20"/>
                            <w:szCs w:val="20"/>
                            <w:lang w:val="en-AU"/>
                          </w:rPr>
                          <w:br/>
                          <w:t> </w:t>
                        </w:r>
                        <w:r w:rsidRPr="00A429FE">
                          <w:rPr>
                            <w:rFonts w:ascii="Times" w:hAnsi="Times" w:cs="Times New Roman"/>
                            <w:sz w:val="20"/>
                            <w:szCs w:val="20"/>
                            <w:lang w:val="en-AU"/>
                          </w:rPr>
                          <w:br/>
                          <w:t xml:space="preserve">Barrett J maintained the position stated in the earlier proceeding that the 14 December Resolution was not a valid resolution of the COI.  His Honour rejected the liquidator's arguments that the court should make an order pursuant to section 1322 validating the 14 December Resolution. </w:t>
                        </w:r>
                        <w:r w:rsidRPr="00A429FE">
                          <w:rPr>
                            <w:rFonts w:ascii="Times" w:hAnsi="Times" w:cs="Times New Roman"/>
                            <w:sz w:val="20"/>
                            <w:szCs w:val="20"/>
                            <w:lang w:val="en-AU"/>
                          </w:rPr>
                          <w:br/>
                          <w:t> </w:t>
                        </w:r>
                        <w:r w:rsidRPr="00A429FE">
                          <w:rPr>
                            <w:rFonts w:ascii="Times" w:hAnsi="Times" w:cs="Times New Roman"/>
                            <w:sz w:val="20"/>
                            <w:szCs w:val="20"/>
                            <w:lang w:val="en-AU"/>
                          </w:rPr>
                          <w:br/>
                          <w:t>His Honour held that there was no 'procedural irregularity' within the meaning of section 1322 of the Act and that the 14 December Resolution differed in form, substance and effect from a meeting of the COI which should have occurred.</w:t>
                        </w:r>
                        <w:r w:rsidRPr="00A429FE">
                          <w:rPr>
                            <w:rFonts w:ascii="Times" w:hAnsi="Times" w:cs="Times New Roman"/>
                            <w:sz w:val="20"/>
                            <w:szCs w:val="20"/>
                            <w:lang w:val="en-AU"/>
                          </w:rPr>
                          <w:br/>
                          <w:t> </w:t>
                        </w:r>
                        <w:r w:rsidRPr="00A429FE">
                          <w:rPr>
                            <w:rFonts w:ascii="Times" w:hAnsi="Times" w:cs="Times New Roman"/>
                            <w:sz w:val="20"/>
                            <w:szCs w:val="20"/>
                            <w:lang w:val="en-AU"/>
                          </w:rPr>
                          <w:br/>
                          <w:t>Barrett J further held that there was nothing that 'purported' to be a resolution agreed to by a majority of the COI members present at a meeting on 14 December 2009, as there was no meeting on that day. Therefore, it was not open to the court to make an order under section 1322(4)(a) of the Act that 'any act, matter or thing purporting to have been done, or any proceeding purporting to have been instituted or taken, under this Act or in relation to a corporation is not invalid by reason of any contravention of a provision of this Act or a provision of the constitution of a corporation'.</w:t>
                        </w:r>
                        <w:r w:rsidRPr="00A429FE">
                          <w:rPr>
                            <w:rFonts w:ascii="Times" w:hAnsi="Times" w:cs="Times New Roman"/>
                            <w:sz w:val="20"/>
                            <w:szCs w:val="20"/>
                            <w:lang w:val="en-AU"/>
                          </w:rPr>
                          <w:br/>
                          <w:t> </w:t>
                        </w:r>
                        <w:r w:rsidRPr="00A429FE">
                          <w:rPr>
                            <w:rFonts w:ascii="Times" w:hAnsi="Times" w:cs="Times New Roman"/>
                            <w:sz w:val="20"/>
                            <w:szCs w:val="20"/>
                            <w:lang w:val="en-AU"/>
                          </w:rPr>
                          <w:br/>
                          <w:t>His Honour also stated that an order validating the resolution would cause 'substantial injustice' to persons who were entitled to discuss and debate the remuneration issue together.</w:t>
                        </w:r>
                        <w:r w:rsidRPr="00A429FE">
                          <w:rPr>
                            <w:rFonts w:ascii="Times" w:hAnsi="Times" w:cs="Times New Roman"/>
                            <w:sz w:val="20"/>
                            <w:szCs w:val="20"/>
                            <w:lang w:val="en-AU"/>
                          </w:rPr>
                          <w:br/>
                          <w:t> </w:t>
                        </w:r>
                        <w:r w:rsidRPr="00A429FE">
                          <w:rPr>
                            <w:rFonts w:ascii="Times" w:hAnsi="Times" w:cs="Times New Roman"/>
                            <w:sz w:val="20"/>
                            <w:szCs w:val="20"/>
                            <w:lang w:val="en-AU"/>
                          </w:rPr>
                          <w:br/>
                        </w:r>
                        <w:r w:rsidRPr="00A429FE">
                          <w:rPr>
                            <w:rFonts w:ascii="Times" w:hAnsi="Times" w:cs="Times New Roman"/>
                            <w:b/>
                            <w:bCs/>
                            <w:sz w:val="20"/>
                            <w:szCs w:val="20"/>
                            <w:lang w:val="en-AU"/>
                          </w:rPr>
                          <w:t>(ii) Court's role in determining the special purpose liquidator's entitlement</w:t>
                        </w:r>
                        <w:r w:rsidRPr="00A429FE">
                          <w:rPr>
                            <w:rFonts w:ascii="Times" w:hAnsi="Times" w:cs="Times New Roman"/>
                            <w:sz w:val="20"/>
                            <w:szCs w:val="20"/>
                            <w:lang w:val="en-AU"/>
                          </w:rPr>
                          <w:br/>
                          <w:t> </w:t>
                        </w:r>
                        <w:r w:rsidRPr="00A429FE">
                          <w:rPr>
                            <w:rFonts w:ascii="Times" w:hAnsi="Times" w:cs="Times New Roman"/>
                            <w:sz w:val="20"/>
                            <w:szCs w:val="20"/>
                            <w:lang w:val="en-AU"/>
                          </w:rPr>
                          <w:br/>
                          <w:t>Barrett J held that in determining the special purpose liquidator's remuneration claim, the court was bound by the following principles:</w:t>
                        </w:r>
                      </w:p>
                      <w:p w:rsidR="00A429FE" w:rsidRPr="00A429FE" w:rsidRDefault="00A429FE" w:rsidP="00A429FE">
                        <w:pPr>
                          <w:tabs>
                            <w:tab w:val="num" w:pos="720"/>
                          </w:tabs>
                          <w:spacing w:before="100" w:beforeAutospacing="1" w:after="100" w:afterAutospacing="1"/>
                          <w:ind w:left="720" w:hanging="360"/>
                          <w:rPr>
                            <w:rFonts w:ascii="Times" w:eastAsia="Times New Roman" w:hAnsi="Times" w:cs="Times New Roman"/>
                            <w:sz w:val="20"/>
                            <w:szCs w:val="20"/>
                            <w:lang w:val="en-AU"/>
                          </w:rPr>
                        </w:pPr>
                        <w:r w:rsidRPr="00A429FE">
                          <w:rPr>
                            <w:rFonts w:ascii="Times" w:eastAsia="Times New Roman" w:hAnsi="Times" w:cs="Times New Roman"/>
                            <w:sz w:val="20"/>
                            <w:szCs w:val="20"/>
                            <w:lang w:val="en-AU"/>
                          </w:rPr>
                          <w:t xml:space="preserve">The liquidator may have resort to the court pursuant to section 511 of the Act only if it can be shown that the remuneration fixing mechanism provided by section 499(3) of the Act is incapable of operating to determine remuneration. </w:t>
                        </w:r>
                      </w:p>
                      <w:p w:rsidR="00A429FE" w:rsidRPr="00A429FE" w:rsidRDefault="00A429FE" w:rsidP="00A429FE">
                        <w:pPr>
                          <w:tabs>
                            <w:tab w:val="num" w:pos="720"/>
                          </w:tabs>
                          <w:spacing w:before="100" w:beforeAutospacing="1" w:after="100" w:afterAutospacing="1"/>
                          <w:ind w:left="720" w:hanging="360"/>
                          <w:rPr>
                            <w:rFonts w:ascii="Times" w:eastAsia="Times New Roman" w:hAnsi="Times" w:cs="Times New Roman"/>
                            <w:sz w:val="20"/>
                            <w:szCs w:val="20"/>
                            <w:lang w:val="en-AU"/>
                          </w:rPr>
                        </w:pPr>
                        <w:r w:rsidRPr="00A429FE">
                          <w:rPr>
                            <w:rFonts w:ascii="Times" w:eastAsia="Times New Roman" w:hAnsi="Times" w:cs="Times New Roman"/>
                            <w:sz w:val="20"/>
                            <w:szCs w:val="20"/>
                            <w:lang w:val="en-AU"/>
                          </w:rPr>
                          <w:t xml:space="preserve">The starting position is that a liquidator is entitled to fair and reasonable remuneration and, importantly, it is for the liquidator to establish that entitlement. The role of the court is to consider the material provided with an independent mind. </w:t>
                        </w:r>
                      </w:p>
                      <w:p w:rsidR="00A429FE" w:rsidRPr="00A429FE" w:rsidRDefault="00A429FE" w:rsidP="00A429FE">
                        <w:pPr>
                          <w:tabs>
                            <w:tab w:val="num" w:pos="720"/>
                          </w:tabs>
                          <w:spacing w:before="100" w:beforeAutospacing="1" w:after="100" w:afterAutospacing="1"/>
                          <w:ind w:left="720" w:hanging="360"/>
                          <w:rPr>
                            <w:rFonts w:ascii="Times" w:eastAsia="Times New Roman" w:hAnsi="Times" w:cs="Times New Roman"/>
                            <w:sz w:val="20"/>
                            <w:szCs w:val="20"/>
                            <w:lang w:val="en-AU"/>
                          </w:rPr>
                        </w:pPr>
                        <w:r w:rsidRPr="00A429FE">
                          <w:rPr>
                            <w:rFonts w:ascii="Times" w:eastAsia="Times New Roman" w:hAnsi="Times" w:cs="Times New Roman"/>
                            <w:sz w:val="20"/>
                            <w:szCs w:val="20"/>
                            <w:lang w:val="en-AU"/>
                          </w:rPr>
                          <w:t xml:space="preserve">The court should have regard to the principles set out in section 473(10) of the Act that apply to the fixing or review of the remuneration of a court-appointed liquidator. </w:t>
                        </w:r>
                      </w:p>
                      <w:p w:rsidR="00A429FE" w:rsidRPr="00A429FE" w:rsidRDefault="00A429FE" w:rsidP="00A429FE">
                        <w:pPr>
                          <w:tabs>
                            <w:tab w:val="num" w:pos="720"/>
                          </w:tabs>
                          <w:spacing w:before="100" w:beforeAutospacing="1" w:after="100" w:afterAutospacing="1"/>
                          <w:ind w:left="720" w:hanging="360"/>
                          <w:rPr>
                            <w:rFonts w:ascii="Times" w:eastAsia="Times New Roman" w:hAnsi="Times" w:cs="Times New Roman"/>
                            <w:sz w:val="20"/>
                            <w:szCs w:val="20"/>
                            <w:lang w:val="en-AU"/>
                          </w:rPr>
                        </w:pPr>
                        <w:r w:rsidRPr="00A429FE">
                          <w:rPr>
                            <w:rFonts w:ascii="Times" w:eastAsia="Times New Roman" w:hAnsi="Times" w:cs="Times New Roman"/>
                            <w:sz w:val="20"/>
                            <w:szCs w:val="20"/>
                            <w:lang w:val="en-AU"/>
                          </w:rPr>
                          <w:t xml:space="preserve">A court when reviewing remuneration should never consider a review of quantum, but only matters of principle. </w:t>
                        </w:r>
                      </w:p>
                      <w:p w:rsidR="00A429FE" w:rsidRPr="00A429FE" w:rsidRDefault="00A429FE" w:rsidP="00A429FE">
                        <w:pPr>
                          <w:tabs>
                            <w:tab w:val="num" w:pos="720"/>
                          </w:tabs>
                          <w:spacing w:before="100" w:beforeAutospacing="1" w:after="100" w:afterAutospacing="1"/>
                          <w:ind w:left="720" w:hanging="360"/>
                          <w:rPr>
                            <w:rFonts w:ascii="Times" w:eastAsia="Times New Roman" w:hAnsi="Times" w:cs="Times New Roman"/>
                            <w:sz w:val="20"/>
                            <w:szCs w:val="20"/>
                            <w:lang w:val="en-AU"/>
                          </w:rPr>
                        </w:pPr>
                        <w:r w:rsidRPr="00A429FE">
                          <w:rPr>
                            <w:rFonts w:ascii="Times" w:eastAsia="Times New Roman" w:hAnsi="Times" w:cs="Times New Roman"/>
                            <w:sz w:val="20"/>
                            <w:szCs w:val="20"/>
                            <w:lang w:val="en-AU"/>
                          </w:rPr>
                          <w:t xml:space="preserve">No order should be made if a liquidator fails to provide adequate evidentiary material to enable the court to determine whether the amounts claimed are fair and reasonable.  </w:t>
                        </w:r>
                      </w:p>
                      <w:p w:rsidR="00A429FE" w:rsidRPr="00A429FE" w:rsidRDefault="00A429FE" w:rsidP="00A429FE">
                        <w:pPr>
                          <w:spacing w:before="100" w:beforeAutospacing="1" w:after="100" w:afterAutospacing="1"/>
                          <w:rPr>
                            <w:rFonts w:ascii="Times" w:hAnsi="Times" w:cs="Times New Roman"/>
                            <w:sz w:val="20"/>
                            <w:szCs w:val="20"/>
                            <w:lang w:val="en-AU"/>
                          </w:rPr>
                        </w:pPr>
                        <w:r w:rsidRPr="00A429FE">
                          <w:rPr>
                            <w:rFonts w:ascii="Times" w:hAnsi="Times" w:cs="Times New Roman"/>
                            <w:sz w:val="20"/>
                            <w:szCs w:val="20"/>
                            <w:lang w:val="en-AU"/>
                          </w:rPr>
                          <w:t>Against the background of these principles, Barrett J considered the issues which arose in the special purpose liquidator's remuneration application.</w:t>
                        </w:r>
                        <w:r w:rsidRPr="00A429FE">
                          <w:rPr>
                            <w:rFonts w:ascii="Times" w:hAnsi="Times" w:cs="Times New Roman"/>
                            <w:sz w:val="20"/>
                            <w:szCs w:val="20"/>
                            <w:lang w:val="en-AU"/>
                          </w:rPr>
                          <w:br/>
                          <w:t> </w:t>
                        </w:r>
                        <w:r w:rsidRPr="00A429FE">
                          <w:rPr>
                            <w:rFonts w:ascii="Times" w:hAnsi="Times" w:cs="Times New Roman"/>
                            <w:sz w:val="20"/>
                            <w:szCs w:val="20"/>
                            <w:lang w:val="en-AU"/>
                          </w:rPr>
                          <w:br/>
                        </w:r>
                        <w:r w:rsidRPr="00A429FE">
                          <w:rPr>
                            <w:rFonts w:ascii="Times" w:hAnsi="Times" w:cs="Times New Roman"/>
                            <w:b/>
                            <w:bCs/>
                            <w:sz w:val="20"/>
                            <w:szCs w:val="20"/>
                            <w:lang w:val="en-AU"/>
                          </w:rPr>
                          <w:t>(iii) Whether remuneration was within the scope of the special purpose liquidator's functions</w:t>
                        </w:r>
                        <w:r w:rsidRPr="00A429FE">
                          <w:rPr>
                            <w:rFonts w:ascii="Times" w:hAnsi="Times" w:cs="Times New Roman"/>
                            <w:sz w:val="20"/>
                            <w:szCs w:val="20"/>
                            <w:lang w:val="en-AU"/>
                          </w:rPr>
                          <w:br/>
                          <w:t> </w:t>
                        </w:r>
                        <w:r w:rsidRPr="00A429FE">
                          <w:rPr>
                            <w:rFonts w:ascii="Times" w:hAnsi="Times" w:cs="Times New Roman"/>
                            <w:sz w:val="20"/>
                            <w:szCs w:val="20"/>
                            <w:lang w:val="en-AU"/>
                          </w:rPr>
                          <w:br/>
                          <w:t>Barrett J held that the majority of the remuneration claim related to work which extended beyond the scope of the special purpose liquidator's functions to investigate possible causes of action available to One.Tel against particular persons by reason of the cancellation of the company's proposed rights issue shortly before its financial collapse in 2001. This included costs in relation to briefing media advisers and members of the press.</w:t>
                        </w:r>
                        <w:r w:rsidRPr="00A429FE">
                          <w:rPr>
                            <w:rFonts w:ascii="Times" w:hAnsi="Times" w:cs="Times New Roman"/>
                            <w:sz w:val="20"/>
                            <w:szCs w:val="20"/>
                            <w:lang w:val="en-AU"/>
                          </w:rPr>
                          <w:br/>
                          <w:t> </w:t>
                        </w:r>
                        <w:r w:rsidRPr="00A429FE">
                          <w:rPr>
                            <w:rFonts w:ascii="Times" w:hAnsi="Times" w:cs="Times New Roman"/>
                            <w:sz w:val="20"/>
                            <w:szCs w:val="20"/>
                            <w:lang w:val="en-AU"/>
                          </w:rPr>
                          <w:br/>
                          <w:t>However, his Honour held that further information was required before the court could reject or accept the special purpose liquidator's remuneration claim.</w:t>
                        </w:r>
                        <w:r w:rsidRPr="00A429FE">
                          <w:rPr>
                            <w:rFonts w:ascii="Times" w:hAnsi="Times" w:cs="Times New Roman"/>
                            <w:sz w:val="20"/>
                            <w:szCs w:val="20"/>
                            <w:lang w:val="en-AU"/>
                          </w:rPr>
                          <w:br/>
                          <w:t> </w:t>
                        </w:r>
                        <w:r w:rsidRPr="00A429FE">
                          <w:rPr>
                            <w:rFonts w:ascii="Times" w:hAnsi="Times" w:cs="Times New Roman"/>
                            <w:sz w:val="20"/>
                            <w:szCs w:val="20"/>
                            <w:lang w:val="en-AU"/>
                          </w:rPr>
                          <w:br/>
                        </w:r>
                        <w:r w:rsidRPr="00A429FE">
                          <w:rPr>
                            <w:rFonts w:ascii="Times" w:hAnsi="Times" w:cs="Times New Roman"/>
                            <w:b/>
                            <w:bCs/>
                            <w:sz w:val="20"/>
                            <w:szCs w:val="20"/>
                            <w:lang w:val="en-AU"/>
                          </w:rPr>
                          <w:t>(iv) Form of materials presented by special purpose liquidator to support the remuneration claim was inadequate</w:t>
                        </w:r>
                        <w:r w:rsidRPr="00A429FE">
                          <w:rPr>
                            <w:rFonts w:ascii="Times" w:hAnsi="Times" w:cs="Times New Roman"/>
                            <w:sz w:val="20"/>
                            <w:szCs w:val="20"/>
                            <w:lang w:val="en-AU"/>
                          </w:rPr>
                          <w:br/>
                          <w:t> </w:t>
                        </w:r>
                        <w:r w:rsidRPr="00A429FE">
                          <w:rPr>
                            <w:rFonts w:ascii="Times" w:hAnsi="Times" w:cs="Times New Roman"/>
                            <w:sz w:val="20"/>
                            <w:szCs w:val="20"/>
                            <w:lang w:val="en-AU"/>
                          </w:rPr>
                          <w:br/>
                          <w:t xml:space="preserve">The special purpose liquidator presented information in relation to the remuneration claim by providing a summary of work performed, a listing of time spent and an amount for each item calculated by reference to an hourly rate. </w:t>
                        </w:r>
                        <w:r w:rsidRPr="00A429FE">
                          <w:rPr>
                            <w:rFonts w:ascii="Times" w:hAnsi="Times" w:cs="Times New Roman"/>
                            <w:sz w:val="20"/>
                            <w:szCs w:val="20"/>
                            <w:lang w:val="en-AU"/>
                          </w:rPr>
                          <w:br/>
                          <w:t> </w:t>
                        </w:r>
                        <w:r w:rsidRPr="00A429FE">
                          <w:rPr>
                            <w:rFonts w:ascii="Times" w:hAnsi="Times" w:cs="Times New Roman"/>
                            <w:sz w:val="20"/>
                            <w:szCs w:val="20"/>
                            <w:lang w:val="en-AU"/>
                          </w:rPr>
                          <w:br/>
                          <w:t>Barrett J stated that this system of presenting supporting information made it difficult for the court to form a clear view of the work the special liquidator performed and the relevance of that work to the special purpose liquidator's administration.  His Honour also emphasised the fact that time based charging can lead to abuses and the need for the court to be certain that the time recording system used is focused on performance of relevant functions.</w:t>
                        </w:r>
                      </w:p>
                      <w:p w:rsidR="00A429FE" w:rsidRPr="00A429FE" w:rsidRDefault="00A429FE" w:rsidP="00A429F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7126" name="Picture 17126" descr="etailed Contents">
                                <a:hlinkClick xmlns:a="http://schemas.openxmlformats.org/drawingml/2006/main" r:id="rId1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26" descr="etailed Contents">
                                        <a:hlinkClick r:id="rId102"/>
                                      </pic:cNvPr>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A429FE" w:rsidRPr="00A429FE" w:rsidRDefault="00A429FE" w:rsidP="00A429FE">
                        <w:pPr>
                          <w:rPr>
                            <w:rFonts w:ascii="Times" w:eastAsia="Times New Roman" w:hAnsi="Times" w:cs="Times New Roman"/>
                            <w:sz w:val="20"/>
                            <w:szCs w:val="20"/>
                            <w:lang w:val="en-AU"/>
                          </w:rPr>
                        </w:pPr>
                        <w:r w:rsidRPr="00A429FE">
                          <w:rPr>
                            <w:rFonts w:ascii="Times" w:eastAsia="Times New Roman" w:hAnsi="Times" w:cs="Times New Roman"/>
                            <w:sz w:val="20"/>
                            <w:szCs w:val="20"/>
                            <w:lang w:val="en-AU"/>
                          </w:rPr>
                          <w:pict>
                            <v:rect id="_x0000_i18151" style="width:0;height:1.5pt" o:hralign="center" o:hrstd="t" o:hr="t" fillcolor="#aaa" stroked="f"/>
                          </w:pict>
                        </w:r>
                      </w:p>
                      <w:p w:rsidR="00A429FE" w:rsidRPr="00A429FE" w:rsidRDefault="00A429FE" w:rsidP="00A429FE">
                        <w:pPr>
                          <w:spacing w:before="100" w:beforeAutospacing="1" w:after="100" w:afterAutospacing="1"/>
                          <w:rPr>
                            <w:rFonts w:ascii="Times" w:hAnsi="Times" w:cs="Times New Roman"/>
                            <w:sz w:val="20"/>
                            <w:szCs w:val="20"/>
                            <w:lang w:val="en-AU"/>
                          </w:rPr>
                        </w:pPr>
                        <w:bookmarkStart w:id="55" w:name="052"/>
                        <w:bookmarkEnd w:id="55"/>
                        <w:r w:rsidRPr="00A429FE">
                          <w:rPr>
                            <w:rFonts w:ascii="Times" w:hAnsi="Times" w:cs="Times New Roman"/>
                            <w:b/>
                            <w:bCs/>
                            <w:sz w:val="20"/>
                            <w:szCs w:val="20"/>
                            <w:lang w:val="en-AU"/>
                          </w:rPr>
                          <w:t>5.2 Rights of former responsible entity not transferred to new responsible entity</w:t>
                        </w:r>
                        <w:r w:rsidRPr="00A429FE">
                          <w:rPr>
                            <w:rFonts w:ascii="Times" w:hAnsi="Times" w:cs="Times New Roman"/>
                            <w:sz w:val="20"/>
                            <w:szCs w:val="20"/>
                            <w:lang w:val="en-AU"/>
                          </w:rPr>
                          <w:br/>
                          <w:t> </w:t>
                        </w:r>
                        <w:r w:rsidRPr="00A429FE">
                          <w:rPr>
                            <w:rFonts w:ascii="Times" w:hAnsi="Times" w:cs="Times New Roman"/>
                            <w:sz w:val="20"/>
                            <w:szCs w:val="20"/>
                            <w:lang w:val="en-AU"/>
                          </w:rPr>
                          <w:br/>
                          <w:t>(By Jiayue Li, DLA Phillips Fox)</w:t>
                        </w:r>
                        <w:r w:rsidRPr="00A429FE">
                          <w:rPr>
                            <w:rFonts w:ascii="Times" w:hAnsi="Times" w:cs="Times New Roman"/>
                            <w:sz w:val="20"/>
                            <w:szCs w:val="20"/>
                            <w:lang w:val="en-AU"/>
                          </w:rPr>
                          <w:br/>
                          <w:t> </w:t>
                        </w:r>
                        <w:r w:rsidRPr="00A429FE">
                          <w:rPr>
                            <w:rFonts w:ascii="Times" w:hAnsi="Times" w:cs="Times New Roman"/>
                            <w:sz w:val="20"/>
                            <w:szCs w:val="20"/>
                            <w:lang w:val="en-AU"/>
                          </w:rPr>
                          <w:br/>
                          <w:t>Saker, in the matter of Great Southern Managers Australia Ltd (Receivers and Managers Appointed) (in liquidation) [2010] FCA 1080, Federal Court of Australia, McKerracher J, 1 October 2010</w:t>
                        </w:r>
                        <w:r w:rsidRPr="00A429FE">
                          <w:rPr>
                            <w:rFonts w:ascii="Times" w:hAnsi="Times" w:cs="Times New Roman"/>
                            <w:sz w:val="20"/>
                            <w:szCs w:val="20"/>
                            <w:lang w:val="en-AU"/>
                          </w:rPr>
                          <w:br/>
                          <w:t> </w:t>
                        </w:r>
                        <w:r w:rsidRPr="00A429FE">
                          <w:rPr>
                            <w:rFonts w:ascii="Times" w:hAnsi="Times" w:cs="Times New Roman"/>
                            <w:sz w:val="20"/>
                            <w:szCs w:val="20"/>
                            <w:lang w:val="en-AU"/>
                          </w:rPr>
                          <w:br/>
                          <w:t>The full text of this judgment is available at:</w:t>
                        </w:r>
                      </w:p>
                      <w:p w:rsidR="00A429FE" w:rsidRPr="00A429FE" w:rsidRDefault="00A429FE" w:rsidP="00A429FE">
                        <w:pPr>
                          <w:spacing w:before="100" w:beforeAutospacing="1" w:after="100" w:afterAutospacing="1"/>
                          <w:rPr>
                            <w:rFonts w:ascii="Times" w:hAnsi="Times" w:cs="Times New Roman"/>
                            <w:sz w:val="20"/>
                            <w:szCs w:val="20"/>
                            <w:lang w:val="en-AU"/>
                          </w:rPr>
                        </w:pPr>
                        <w:r w:rsidRPr="00A429FE">
                          <w:rPr>
                            <w:rFonts w:ascii="Times" w:hAnsi="Times" w:cs="Times New Roman"/>
                            <w:sz w:val="20"/>
                            <w:szCs w:val="20"/>
                            <w:lang w:val="en-AU"/>
                          </w:rPr>
                          <w:fldChar w:fldCharType="begin"/>
                        </w:r>
                        <w:r w:rsidRPr="00A429FE">
                          <w:rPr>
                            <w:rFonts w:ascii="Times" w:hAnsi="Times" w:cs="Times New Roman"/>
                            <w:sz w:val="20"/>
                            <w:szCs w:val="20"/>
                            <w:lang w:val="en-AU"/>
                          </w:rPr>
                          <w:instrText xml:space="preserve"> HYPERLINK "http://www.austlii.edu.au/au/cases/cth/FCA/2010/1080.html" \t "_new" </w:instrText>
                        </w:r>
                        <w:r w:rsidRPr="00A429FE">
                          <w:rPr>
                            <w:rFonts w:ascii="Times" w:hAnsi="Times" w:cs="Times New Roman"/>
                            <w:sz w:val="20"/>
                            <w:szCs w:val="20"/>
                            <w:lang w:val="en-AU"/>
                          </w:rPr>
                        </w:r>
                        <w:r w:rsidRPr="00A429FE">
                          <w:rPr>
                            <w:rFonts w:ascii="Times" w:hAnsi="Times" w:cs="Times New Roman"/>
                            <w:sz w:val="20"/>
                            <w:szCs w:val="20"/>
                            <w:lang w:val="en-AU"/>
                          </w:rPr>
                          <w:fldChar w:fldCharType="separate"/>
                        </w:r>
                        <w:r w:rsidRPr="00A429FE">
                          <w:rPr>
                            <w:rFonts w:ascii="Times" w:hAnsi="Times" w:cs="Times New Roman"/>
                            <w:color w:val="0000FF"/>
                            <w:sz w:val="20"/>
                            <w:szCs w:val="20"/>
                            <w:u w:val="single"/>
                            <w:lang w:val="en-AU"/>
                          </w:rPr>
                          <w:t>http://www.austlii.edu.au/au/cases/cth/FCA/2010/1080.html</w:t>
                        </w:r>
                        <w:r w:rsidRPr="00A429FE">
                          <w:rPr>
                            <w:rFonts w:ascii="Times" w:hAnsi="Times" w:cs="Times New Roman"/>
                            <w:sz w:val="20"/>
                            <w:szCs w:val="20"/>
                            <w:lang w:val="en-AU"/>
                          </w:rPr>
                          <w:fldChar w:fldCharType="end"/>
                        </w:r>
                        <w:r w:rsidRPr="00A429FE">
                          <w:rPr>
                            <w:rFonts w:ascii="Times" w:hAnsi="Times" w:cs="Times New Roman"/>
                            <w:sz w:val="20"/>
                            <w:szCs w:val="20"/>
                            <w:lang w:val="en-AU"/>
                          </w:rPr>
                          <w:br/>
                          <w:t> </w:t>
                        </w:r>
                        <w:r w:rsidRPr="00A429FE">
                          <w:rPr>
                            <w:rFonts w:ascii="Times" w:hAnsi="Times" w:cs="Times New Roman"/>
                            <w:sz w:val="20"/>
                            <w:szCs w:val="20"/>
                            <w:lang w:val="en-AU"/>
                          </w:rPr>
                          <w:br/>
                        </w:r>
                        <w:r w:rsidRPr="00A429FE">
                          <w:rPr>
                            <w:rFonts w:ascii="Times" w:hAnsi="Times" w:cs="Times New Roman"/>
                            <w:b/>
                            <w:bCs/>
                            <w:sz w:val="20"/>
                            <w:szCs w:val="20"/>
                            <w:lang w:val="en-AU"/>
                          </w:rPr>
                          <w:t>(a) Summary</w:t>
                        </w:r>
                        <w:r w:rsidRPr="00A429FE">
                          <w:rPr>
                            <w:rFonts w:ascii="Times" w:hAnsi="Times" w:cs="Times New Roman"/>
                            <w:b/>
                            <w:bCs/>
                            <w:sz w:val="20"/>
                            <w:szCs w:val="20"/>
                            <w:lang w:val="en-AU"/>
                          </w:rPr>
                          <w:br/>
                        </w:r>
                        <w:r w:rsidRPr="00A429FE">
                          <w:rPr>
                            <w:rFonts w:ascii="Times" w:hAnsi="Times" w:cs="Times New Roman"/>
                            <w:sz w:val="20"/>
                            <w:szCs w:val="20"/>
                            <w:lang w:val="en-AU"/>
                          </w:rPr>
                          <w:t> </w:t>
                        </w:r>
                        <w:r w:rsidRPr="00A429FE">
                          <w:rPr>
                            <w:rFonts w:ascii="Times" w:hAnsi="Times" w:cs="Times New Roman"/>
                            <w:sz w:val="20"/>
                            <w:szCs w:val="20"/>
                            <w:lang w:val="en-AU"/>
                          </w:rPr>
                          <w:br/>
                          <w:t xml:space="preserve">The plaintiffs are the liquidators of Great Southern Managers Australia Ltd ('GSMA'), which was the responsible entity ('RE') of several managed investment schemes ('Schemes'). GSMA was replaced as RE in the Schemes by Primary Securities Ltd ('PSL').  </w:t>
                        </w:r>
                        <w:r w:rsidRPr="00A429FE">
                          <w:rPr>
                            <w:rFonts w:ascii="Times" w:hAnsi="Times" w:cs="Times New Roman"/>
                            <w:sz w:val="20"/>
                            <w:szCs w:val="20"/>
                            <w:lang w:val="en-AU"/>
                          </w:rPr>
                          <w:br/>
                          <w:t> </w:t>
                        </w:r>
                        <w:r w:rsidRPr="00A429FE">
                          <w:rPr>
                            <w:rFonts w:ascii="Times" w:hAnsi="Times" w:cs="Times New Roman"/>
                            <w:sz w:val="20"/>
                            <w:szCs w:val="20"/>
                            <w:lang w:val="en-AU"/>
                          </w:rPr>
                          <w:br/>
                          <w:t xml:space="preserve">The plaintiffs sought direction from the court in relation to whether funds formerly under the control of GSMA in relation to the Schemes should be paid to PSL or retained and applied in accordance with Chapter 5 of the </w:t>
                        </w:r>
                        <w:r w:rsidRPr="00A429FE">
                          <w:rPr>
                            <w:rFonts w:ascii="Times" w:hAnsi="Times" w:cs="Times New Roman"/>
                            <w:sz w:val="20"/>
                            <w:szCs w:val="20"/>
                            <w:lang w:val="en-AU"/>
                          </w:rPr>
                          <w:fldChar w:fldCharType="begin"/>
                        </w:r>
                        <w:r w:rsidRPr="00A429FE">
                          <w:rPr>
                            <w:rFonts w:ascii="Times" w:hAnsi="Times" w:cs="Times New Roman"/>
                            <w:sz w:val="20"/>
                            <w:szCs w:val="20"/>
                            <w:lang w:val="en-AU"/>
                          </w:rPr>
                          <w:instrText xml:space="preserve"> HYPERLINK "http://my.lawlex.com.au/index.asp?pact=coredoc&amp;nav=col&amp;cid=56482" \t "Default" </w:instrText>
                        </w:r>
                        <w:r w:rsidRPr="00A429FE">
                          <w:rPr>
                            <w:rFonts w:ascii="Times" w:hAnsi="Times" w:cs="Times New Roman"/>
                            <w:sz w:val="20"/>
                            <w:szCs w:val="20"/>
                            <w:lang w:val="en-AU"/>
                          </w:rPr>
                        </w:r>
                        <w:r w:rsidRPr="00A429FE">
                          <w:rPr>
                            <w:rFonts w:ascii="Times" w:hAnsi="Times" w:cs="Times New Roman"/>
                            <w:sz w:val="20"/>
                            <w:szCs w:val="20"/>
                            <w:lang w:val="en-AU"/>
                          </w:rPr>
                          <w:fldChar w:fldCharType="separate"/>
                        </w:r>
                        <w:r w:rsidRPr="00A429FE">
                          <w:rPr>
                            <w:rFonts w:ascii="Times" w:hAnsi="Times" w:cs="Times New Roman"/>
                            <w:color w:val="0000FF"/>
                            <w:sz w:val="20"/>
                            <w:szCs w:val="20"/>
                            <w:u w:val="single"/>
                            <w:lang w:val="en-AU"/>
                          </w:rPr>
                          <w:t>Corporations Act 2001</w:t>
                        </w:r>
                        <w:r w:rsidRPr="00A429FE">
                          <w:rPr>
                            <w:rFonts w:ascii="Times" w:hAnsi="Times" w:cs="Times New Roman"/>
                            <w:sz w:val="20"/>
                            <w:szCs w:val="20"/>
                            <w:lang w:val="en-AU"/>
                          </w:rPr>
                          <w:fldChar w:fldCharType="end"/>
                        </w:r>
                        <w:r w:rsidRPr="00A429FE">
                          <w:rPr>
                            <w:rFonts w:ascii="Times" w:hAnsi="Times" w:cs="Times New Roman"/>
                            <w:sz w:val="20"/>
                            <w:szCs w:val="20"/>
                            <w:lang w:val="en-AU"/>
                          </w:rPr>
                          <w:t xml:space="preserve"> ('Act').</w:t>
                        </w:r>
                        <w:r w:rsidRPr="00A429FE">
                          <w:rPr>
                            <w:rFonts w:ascii="Times" w:hAnsi="Times" w:cs="Times New Roman"/>
                            <w:sz w:val="20"/>
                            <w:szCs w:val="20"/>
                            <w:lang w:val="en-AU"/>
                          </w:rPr>
                          <w:br/>
                          <w:t> </w:t>
                        </w:r>
                        <w:r w:rsidRPr="00A429FE">
                          <w:rPr>
                            <w:rFonts w:ascii="Times" w:hAnsi="Times" w:cs="Times New Roman"/>
                            <w:sz w:val="20"/>
                            <w:szCs w:val="20"/>
                            <w:lang w:val="en-AU"/>
                          </w:rPr>
                          <w:br/>
                          <w:t xml:space="preserve">PSL, as the new ongoing RE of the Schemes, contended that on the proper construction of the legislation and the Schemes it should have access to certain funds formerly controlled by GSMA. The plaintiffs, however, contended that those funds should be available among others for the creditors of GSMA.  The funds which were the subject of the dispute were funds in a Trust Maintenance Fund ('TMF') which was required to be established and maintained in respect of each Scheme. </w:t>
                        </w:r>
                        <w:r w:rsidRPr="00A429FE">
                          <w:rPr>
                            <w:rFonts w:ascii="Times" w:hAnsi="Times" w:cs="Times New Roman"/>
                            <w:sz w:val="20"/>
                            <w:szCs w:val="20"/>
                            <w:lang w:val="en-AU"/>
                          </w:rPr>
                          <w:br/>
                          <w:t> </w:t>
                        </w:r>
                        <w:r w:rsidRPr="00A429FE">
                          <w:rPr>
                            <w:rFonts w:ascii="Times" w:hAnsi="Times" w:cs="Times New Roman"/>
                            <w:sz w:val="20"/>
                            <w:szCs w:val="20"/>
                            <w:lang w:val="en-AU"/>
                          </w:rPr>
                          <w:br/>
                          <w:t xml:space="preserve">McKerracher J held that the totality of the effects of the insolvency of GMSA, the replacement of GSMA as RE by PSL, the evolution of the statutory regime regulating managed investment schemes and the constituent documents of the Schemes gave rise to the conclusion that the plaintiffs were entitled to the funds in the TMF accounts. </w:t>
                        </w:r>
                        <w:r w:rsidRPr="00A429FE">
                          <w:rPr>
                            <w:rFonts w:ascii="Times" w:hAnsi="Times" w:cs="Times New Roman"/>
                            <w:sz w:val="20"/>
                            <w:szCs w:val="20"/>
                            <w:lang w:val="en-AU"/>
                          </w:rPr>
                          <w:br/>
                          <w:t> </w:t>
                        </w:r>
                        <w:r w:rsidRPr="00A429FE">
                          <w:rPr>
                            <w:rFonts w:ascii="Times" w:hAnsi="Times" w:cs="Times New Roman"/>
                            <w:sz w:val="20"/>
                            <w:szCs w:val="20"/>
                            <w:lang w:val="en-AU"/>
                          </w:rPr>
                          <w:br/>
                        </w:r>
                        <w:r w:rsidRPr="00A429FE">
                          <w:rPr>
                            <w:rFonts w:ascii="Times" w:hAnsi="Times" w:cs="Times New Roman"/>
                            <w:b/>
                            <w:bCs/>
                            <w:sz w:val="20"/>
                            <w:szCs w:val="20"/>
                            <w:lang w:val="en-AU"/>
                          </w:rPr>
                          <w:t xml:space="preserve">(b) Facts   </w:t>
                        </w:r>
                        <w:r w:rsidRPr="00A429FE">
                          <w:rPr>
                            <w:rFonts w:ascii="Times" w:hAnsi="Times" w:cs="Times New Roman"/>
                            <w:b/>
                            <w:bCs/>
                            <w:sz w:val="20"/>
                            <w:szCs w:val="20"/>
                            <w:lang w:val="en-AU"/>
                          </w:rPr>
                          <w:br/>
                        </w:r>
                        <w:r w:rsidRPr="00A429FE">
                          <w:rPr>
                            <w:rFonts w:ascii="Times" w:hAnsi="Times" w:cs="Times New Roman"/>
                            <w:sz w:val="20"/>
                            <w:szCs w:val="20"/>
                            <w:lang w:val="en-AU"/>
                          </w:rPr>
                          <w:t> </w:t>
                        </w:r>
                        <w:r w:rsidRPr="00A429FE">
                          <w:rPr>
                            <w:rFonts w:ascii="Times" w:hAnsi="Times" w:cs="Times New Roman"/>
                            <w:sz w:val="20"/>
                            <w:szCs w:val="20"/>
                            <w:lang w:val="en-AU"/>
                          </w:rPr>
                          <w:br/>
                          <w:t>The Schemes were originally established by a trust deed as prescribed interest schemes in 1988.  Under the prescribed interest schemes regime, each scheme had a trustee and a manager. Clause 38.1 of the original trust deed provided that a certain amount of the lease and management fees was to be transferred to the trust's TMF to be held by the trustee on trust for the manager and only be dispersed in accordance with the trust deed for the costs or expenses of the manager.</w:t>
                        </w:r>
                        <w:r w:rsidRPr="00A429FE">
                          <w:rPr>
                            <w:rFonts w:ascii="Times" w:hAnsi="Times" w:cs="Times New Roman"/>
                            <w:sz w:val="20"/>
                            <w:szCs w:val="20"/>
                            <w:lang w:val="en-AU"/>
                          </w:rPr>
                          <w:br/>
                          <w:t> </w:t>
                        </w:r>
                        <w:r w:rsidRPr="00A429FE">
                          <w:rPr>
                            <w:rFonts w:ascii="Times" w:hAnsi="Times" w:cs="Times New Roman"/>
                            <w:sz w:val="20"/>
                            <w:szCs w:val="20"/>
                            <w:lang w:val="en-AU"/>
                          </w:rPr>
                          <w:br/>
                          <w:t>Upon the conversion of the prescribed interest scheme to a managed investment scheme on 26 May 2000, the trust deed became the Scheme Constitution ('Constitution') and the roles of the trustee and manager merged into the role of the RE. In the process, clause 38.1 of the original trust deed was slightly amended. The amended clause 38.1 of the Constitution mainly replicated its predecessor.  However, the significant difference was that the declaration of trust 'for the manager' had been removed.</w:t>
                        </w:r>
                        <w:r w:rsidRPr="00A429FE">
                          <w:rPr>
                            <w:rFonts w:ascii="Times" w:hAnsi="Times" w:cs="Times New Roman"/>
                            <w:sz w:val="20"/>
                            <w:szCs w:val="20"/>
                            <w:lang w:val="en-AU"/>
                          </w:rPr>
                          <w:br/>
                          <w:t> </w:t>
                        </w:r>
                        <w:r w:rsidRPr="00A429FE">
                          <w:rPr>
                            <w:rFonts w:ascii="Times" w:hAnsi="Times" w:cs="Times New Roman"/>
                            <w:sz w:val="20"/>
                            <w:szCs w:val="20"/>
                            <w:lang w:val="en-AU"/>
                          </w:rPr>
                          <w:br/>
                          <w:t>At the same time, GSMA inserted a new clause 14.3(c) into the Constitution.  Clause 14.3(c) provided that: '[On its retirement or removal, the Responsible Entity] is entitled to receive the balance of the Trust (Maintenance) Funds, and the new responsible entity must prior to the retirement or removal of the Responsible Entity taking effect, pay into a new Trust (Maintenance) Fund the sum of money determined by an independent professional forester to be the appropriate amount to be held in the new Trust (Maintenance) Fund as calculated in accordance with clause 38 of this Constitution.' In doing so, GSMA stated that it was of the opinion that the amendment did not adversely affect the rights of the plaintiffs or growers.</w:t>
                        </w:r>
                        <w:r w:rsidRPr="00A429FE">
                          <w:rPr>
                            <w:rFonts w:ascii="Times" w:hAnsi="Times" w:cs="Times New Roman"/>
                            <w:sz w:val="20"/>
                            <w:szCs w:val="20"/>
                            <w:lang w:val="en-AU"/>
                          </w:rPr>
                          <w:br/>
                          <w:t> </w:t>
                        </w:r>
                        <w:r w:rsidRPr="00A429FE">
                          <w:rPr>
                            <w:rFonts w:ascii="Times" w:hAnsi="Times" w:cs="Times New Roman"/>
                            <w:sz w:val="20"/>
                            <w:szCs w:val="20"/>
                            <w:lang w:val="en-AU"/>
                          </w:rPr>
                          <w:br/>
                          <w:t>The plaintiffs were appointed liquidators of GSMA on 19 November 2009 by resolution of creditors.  Over a period of time in April 2010, PSL became the RE of the Schemes following the resolution of the Scheme members to remove GSMA as RE of those Schemes.</w:t>
                        </w:r>
                        <w:r w:rsidRPr="00A429FE">
                          <w:rPr>
                            <w:rFonts w:ascii="Times" w:hAnsi="Times" w:cs="Times New Roman"/>
                            <w:sz w:val="20"/>
                            <w:szCs w:val="20"/>
                            <w:lang w:val="en-AU"/>
                          </w:rPr>
                          <w:br/>
                          <w:t> </w:t>
                        </w:r>
                        <w:r w:rsidRPr="00A429FE">
                          <w:rPr>
                            <w:rFonts w:ascii="Times" w:hAnsi="Times" w:cs="Times New Roman"/>
                            <w:sz w:val="20"/>
                            <w:szCs w:val="20"/>
                            <w:lang w:val="en-AU"/>
                          </w:rPr>
                          <w:br/>
                        </w:r>
                        <w:r w:rsidRPr="00A429FE">
                          <w:rPr>
                            <w:rFonts w:ascii="Times" w:hAnsi="Times" w:cs="Times New Roman"/>
                            <w:b/>
                            <w:bCs/>
                            <w:sz w:val="20"/>
                            <w:szCs w:val="20"/>
                            <w:lang w:val="en-AU"/>
                          </w:rPr>
                          <w:t xml:space="preserve">(c) Decision  </w:t>
                        </w:r>
                        <w:r w:rsidRPr="00A429FE">
                          <w:rPr>
                            <w:rFonts w:ascii="Times" w:hAnsi="Times" w:cs="Times New Roman"/>
                            <w:b/>
                            <w:bCs/>
                            <w:sz w:val="20"/>
                            <w:szCs w:val="20"/>
                            <w:lang w:val="en-AU"/>
                          </w:rPr>
                          <w:br/>
                        </w:r>
                        <w:r w:rsidRPr="00A429FE">
                          <w:rPr>
                            <w:rFonts w:ascii="Times" w:hAnsi="Times" w:cs="Times New Roman"/>
                            <w:sz w:val="20"/>
                            <w:szCs w:val="20"/>
                            <w:lang w:val="en-AU"/>
                          </w:rPr>
                          <w:t> </w:t>
                        </w:r>
                        <w:r w:rsidRPr="00A429FE">
                          <w:rPr>
                            <w:rFonts w:ascii="Times" w:hAnsi="Times" w:cs="Times New Roman"/>
                            <w:sz w:val="20"/>
                            <w:szCs w:val="20"/>
                            <w:lang w:val="en-AU"/>
                          </w:rPr>
                          <w:br/>
                          <w:t>McKerracher J held that the plaintiffs were entitled to retain and apply the various amounts in the TMF of the Schemes as:</w:t>
                        </w:r>
                      </w:p>
                      <w:p w:rsidR="00A429FE" w:rsidRPr="00A429FE" w:rsidRDefault="00A429FE" w:rsidP="00A429FE">
                        <w:pPr>
                          <w:tabs>
                            <w:tab w:val="num" w:pos="720"/>
                          </w:tabs>
                          <w:spacing w:before="100" w:beforeAutospacing="1" w:after="100" w:afterAutospacing="1"/>
                          <w:ind w:left="720" w:hanging="360"/>
                          <w:rPr>
                            <w:rFonts w:ascii="Times" w:eastAsia="Times New Roman" w:hAnsi="Times" w:cs="Times New Roman"/>
                            <w:sz w:val="20"/>
                            <w:szCs w:val="20"/>
                            <w:lang w:val="en-AU"/>
                          </w:rPr>
                        </w:pPr>
                        <w:r w:rsidRPr="00A429FE">
                          <w:rPr>
                            <w:rFonts w:ascii="Times" w:eastAsia="Times New Roman" w:hAnsi="Times" w:cs="Times New Roman"/>
                            <w:sz w:val="20"/>
                            <w:szCs w:val="20"/>
                            <w:lang w:val="en-AU"/>
                          </w:rPr>
                          <w:t xml:space="preserve">There was no right existing which had an ongoing operation relevantly after the change of RE. </w:t>
                        </w:r>
                      </w:p>
                      <w:p w:rsidR="00A429FE" w:rsidRPr="00A429FE" w:rsidRDefault="00A429FE" w:rsidP="00A429FE">
                        <w:pPr>
                          <w:tabs>
                            <w:tab w:val="num" w:pos="720"/>
                          </w:tabs>
                          <w:spacing w:before="100" w:beforeAutospacing="1" w:after="100" w:afterAutospacing="1"/>
                          <w:ind w:left="720" w:hanging="360"/>
                          <w:rPr>
                            <w:rFonts w:ascii="Times" w:eastAsia="Times New Roman" w:hAnsi="Times" w:cs="Times New Roman"/>
                            <w:sz w:val="20"/>
                            <w:szCs w:val="20"/>
                            <w:lang w:val="en-AU"/>
                          </w:rPr>
                        </w:pPr>
                        <w:r w:rsidRPr="00A429FE">
                          <w:rPr>
                            <w:rFonts w:ascii="Times" w:eastAsia="Times New Roman" w:hAnsi="Times" w:cs="Times New Roman"/>
                            <w:sz w:val="20"/>
                            <w:szCs w:val="20"/>
                            <w:lang w:val="en-AU"/>
                          </w:rPr>
                          <w:t xml:space="preserve">GSMA had the power on 26 May 2000 to make the amendment to the Constitution and there was no evidence that the opinion expressed was not validly or reasonably held. </w:t>
                        </w:r>
                      </w:p>
                      <w:p w:rsidR="00A429FE" w:rsidRPr="00A429FE" w:rsidRDefault="00A429FE" w:rsidP="00A429FE">
                        <w:pPr>
                          <w:tabs>
                            <w:tab w:val="num" w:pos="720"/>
                          </w:tabs>
                          <w:spacing w:before="100" w:beforeAutospacing="1" w:after="100" w:afterAutospacing="1"/>
                          <w:ind w:left="720" w:hanging="360"/>
                          <w:rPr>
                            <w:rFonts w:ascii="Times" w:eastAsia="Times New Roman" w:hAnsi="Times" w:cs="Times New Roman"/>
                            <w:sz w:val="20"/>
                            <w:szCs w:val="20"/>
                            <w:lang w:val="en-AU"/>
                          </w:rPr>
                        </w:pPr>
                        <w:r w:rsidRPr="00A429FE">
                          <w:rPr>
                            <w:rFonts w:ascii="Times" w:eastAsia="Times New Roman" w:hAnsi="Times" w:cs="Times New Roman"/>
                            <w:sz w:val="20"/>
                            <w:szCs w:val="20"/>
                            <w:lang w:val="en-AU"/>
                          </w:rPr>
                          <w:t xml:space="preserve">Section 601FC(2), which provides that the RE holds scheme property on trust for scheme members, does not necessarily apply to all property held by the RE or used in the operation of a scheme. </w:t>
                        </w:r>
                      </w:p>
                      <w:p w:rsidR="00A429FE" w:rsidRPr="00A429FE" w:rsidRDefault="00A429FE" w:rsidP="00A429FE">
                        <w:pPr>
                          <w:tabs>
                            <w:tab w:val="num" w:pos="720"/>
                          </w:tabs>
                          <w:spacing w:before="100" w:beforeAutospacing="1" w:after="100" w:afterAutospacing="1"/>
                          <w:ind w:left="720" w:hanging="360"/>
                          <w:rPr>
                            <w:rFonts w:ascii="Times" w:eastAsia="Times New Roman" w:hAnsi="Times" w:cs="Times New Roman"/>
                            <w:sz w:val="20"/>
                            <w:szCs w:val="20"/>
                            <w:lang w:val="en-AU"/>
                          </w:rPr>
                        </w:pPr>
                        <w:r w:rsidRPr="00A429FE">
                          <w:rPr>
                            <w:rFonts w:ascii="Times" w:eastAsia="Times New Roman" w:hAnsi="Times" w:cs="Times New Roman"/>
                            <w:sz w:val="20"/>
                            <w:szCs w:val="20"/>
                            <w:lang w:val="en-AU"/>
                          </w:rPr>
                          <w:t xml:space="preserve">The funds in the TMF were not held on trust for the benefit of the Scheme members.  </w:t>
                        </w:r>
                      </w:p>
                      <w:p w:rsidR="00A429FE" w:rsidRPr="00A429FE" w:rsidRDefault="00A429FE" w:rsidP="00A429FE">
                        <w:pPr>
                          <w:spacing w:before="100" w:beforeAutospacing="1" w:after="100" w:afterAutospacing="1"/>
                          <w:rPr>
                            <w:rFonts w:ascii="Times" w:hAnsi="Times" w:cs="Times New Roman"/>
                            <w:sz w:val="20"/>
                            <w:szCs w:val="20"/>
                            <w:lang w:val="en-AU"/>
                          </w:rPr>
                        </w:pPr>
                        <w:r w:rsidRPr="00A429FE">
                          <w:rPr>
                            <w:rFonts w:ascii="Times" w:hAnsi="Times" w:cs="Times New Roman"/>
                            <w:b/>
                            <w:bCs/>
                            <w:sz w:val="20"/>
                            <w:szCs w:val="20"/>
                            <w:lang w:val="en-AU"/>
                          </w:rPr>
                          <w:t>(i) No right capable of passing to the new RE</w:t>
                        </w:r>
                        <w:r w:rsidRPr="00A429FE">
                          <w:rPr>
                            <w:rFonts w:ascii="Times" w:hAnsi="Times" w:cs="Times New Roman"/>
                            <w:b/>
                            <w:bCs/>
                            <w:sz w:val="20"/>
                            <w:szCs w:val="20"/>
                            <w:lang w:val="en-AU"/>
                          </w:rPr>
                          <w:br/>
                        </w:r>
                        <w:r w:rsidRPr="00A429FE">
                          <w:rPr>
                            <w:rFonts w:ascii="Times" w:hAnsi="Times" w:cs="Times New Roman"/>
                            <w:sz w:val="20"/>
                            <w:szCs w:val="20"/>
                            <w:lang w:val="en-AU"/>
                          </w:rPr>
                          <w:t> </w:t>
                        </w:r>
                        <w:r w:rsidRPr="00A429FE">
                          <w:rPr>
                            <w:rFonts w:ascii="Times" w:hAnsi="Times" w:cs="Times New Roman"/>
                            <w:sz w:val="20"/>
                            <w:szCs w:val="20"/>
                            <w:lang w:val="en-AU"/>
                          </w:rPr>
                          <w:br/>
                          <w:t>Section 601FS(1) of the Act provides that, subject to certain exceptions: '[I]f the responsible entity of a registered scheme changes, the rights, obligations and liabilities of the former responsible entity in relation to the scheme become rights, obligations and liabilities of the new responsible entity.'</w:t>
                        </w:r>
                        <w:r w:rsidRPr="00A429FE">
                          <w:rPr>
                            <w:rFonts w:ascii="Times" w:hAnsi="Times" w:cs="Times New Roman"/>
                            <w:sz w:val="20"/>
                            <w:szCs w:val="20"/>
                            <w:lang w:val="en-AU"/>
                          </w:rPr>
                          <w:br/>
                          <w:t> </w:t>
                        </w:r>
                        <w:r w:rsidRPr="00A429FE">
                          <w:rPr>
                            <w:rFonts w:ascii="Times" w:hAnsi="Times" w:cs="Times New Roman"/>
                            <w:sz w:val="20"/>
                            <w:szCs w:val="20"/>
                            <w:lang w:val="en-AU"/>
                          </w:rPr>
                          <w:br/>
                          <w:t xml:space="preserve">After considering the relevant authorities, his Honour stated that he was bound by the decision of the Full Federal Court in </w:t>
                        </w:r>
                        <w:r w:rsidRPr="00A429FE">
                          <w:rPr>
                            <w:rFonts w:ascii="Times" w:hAnsi="Times" w:cs="Times New Roman"/>
                            <w:i/>
                            <w:iCs/>
                            <w:sz w:val="20"/>
                            <w:szCs w:val="20"/>
                            <w:lang w:val="en-AU"/>
                          </w:rPr>
                          <w:t>Huntley Management Limited v Australian Olives Limited</w:t>
                        </w:r>
                        <w:r w:rsidRPr="00A429FE">
                          <w:rPr>
                            <w:rFonts w:ascii="Times" w:hAnsi="Times" w:cs="Times New Roman"/>
                            <w:sz w:val="20"/>
                            <w:szCs w:val="20"/>
                            <w:lang w:val="en-AU"/>
                          </w:rPr>
                          <w:t xml:space="preserve"> [2010] FCAFC 98 ('Huntley Management Limited').  In Huntley Management Limited, the court held that the obligations to which section 601FS of the Act refers and to which the novation provisions apply are impliedly limited to those that are capable of having an ongoing operation after the change of RE. </w:t>
                        </w:r>
                        <w:r w:rsidRPr="00A429FE">
                          <w:rPr>
                            <w:rFonts w:ascii="Times" w:hAnsi="Times" w:cs="Times New Roman"/>
                            <w:sz w:val="20"/>
                            <w:szCs w:val="20"/>
                            <w:lang w:val="en-AU"/>
                          </w:rPr>
                          <w:br/>
                          <w:t> </w:t>
                        </w:r>
                        <w:r w:rsidRPr="00A429FE">
                          <w:rPr>
                            <w:rFonts w:ascii="Times" w:hAnsi="Times" w:cs="Times New Roman"/>
                            <w:sz w:val="20"/>
                            <w:szCs w:val="20"/>
                            <w:lang w:val="en-AU"/>
                          </w:rPr>
                          <w:br/>
                          <w:t>His Honour held that in the present case, there was no right existing which had an ongoing operation relevantly after the change of RE. The right which arose under clause 14.3(c) was perfected at the time of the change of RE and GSMA became entitled absolutely to retain for its own purposes the balance of the TMF which it held as a RE until that time. Therefore, there was no right existing which had an ongoing operation relevantly after the change of RE which could be transferred to the new RE pursuant to section 601FS(1).</w:t>
                        </w:r>
                        <w:r w:rsidRPr="00A429FE">
                          <w:rPr>
                            <w:rFonts w:ascii="Times" w:hAnsi="Times" w:cs="Times New Roman"/>
                            <w:sz w:val="20"/>
                            <w:szCs w:val="20"/>
                            <w:lang w:val="en-AU"/>
                          </w:rPr>
                          <w:br/>
                          <w:t> </w:t>
                        </w:r>
                        <w:r w:rsidRPr="00A429FE">
                          <w:rPr>
                            <w:rFonts w:ascii="Times" w:hAnsi="Times" w:cs="Times New Roman"/>
                            <w:sz w:val="20"/>
                            <w:szCs w:val="20"/>
                            <w:lang w:val="en-AU"/>
                          </w:rPr>
                          <w:br/>
                        </w:r>
                        <w:r w:rsidRPr="00A429FE">
                          <w:rPr>
                            <w:rFonts w:ascii="Times" w:hAnsi="Times" w:cs="Times New Roman"/>
                            <w:b/>
                            <w:bCs/>
                            <w:sz w:val="20"/>
                            <w:szCs w:val="20"/>
                            <w:lang w:val="en-AU"/>
                          </w:rPr>
                          <w:t>(ii) GSMA had power to amend Constitution by inserting clause 14.3(c)</w:t>
                        </w:r>
                        <w:r w:rsidRPr="00A429FE">
                          <w:rPr>
                            <w:rFonts w:ascii="Times" w:hAnsi="Times" w:cs="Times New Roman"/>
                            <w:b/>
                            <w:bCs/>
                            <w:sz w:val="20"/>
                            <w:szCs w:val="20"/>
                            <w:lang w:val="en-AU"/>
                          </w:rPr>
                          <w:br/>
                        </w:r>
                        <w:r w:rsidRPr="00A429FE">
                          <w:rPr>
                            <w:rFonts w:ascii="Times" w:hAnsi="Times" w:cs="Times New Roman"/>
                            <w:sz w:val="20"/>
                            <w:szCs w:val="20"/>
                            <w:lang w:val="en-AU"/>
                          </w:rPr>
                          <w:t> </w:t>
                        </w:r>
                        <w:r w:rsidRPr="00A429FE">
                          <w:rPr>
                            <w:rFonts w:ascii="Times" w:hAnsi="Times" w:cs="Times New Roman"/>
                            <w:sz w:val="20"/>
                            <w:szCs w:val="20"/>
                            <w:lang w:val="en-AU"/>
                          </w:rPr>
                          <w:br/>
                          <w:t>McKerracher J rejected the arguments that clause 14.3(c) was not validly inserted into the constitutions of the Schemes.</w:t>
                        </w:r>
                        <w:r w:rsidRPr="00A429FE">
                          <w:rPr>
                            <w:rFonts w:ascii="Times" w:hAnsi="Times" w:cs="Times New Roman"/>
                            <w:sz w:val="20"/>
                            <w:szCs w:val="20"/>
                            <w:lang w:val="en-AU"/>
                          </w:rPr>
                          <w:br/>
                          <w:t> </w:t>
                        </w:r>
                        <w:r w:rsidRPr="00A429FE">
                          <w:rPr>
                            <w:rFonts w:ascii="Times" w:hAnsi="Times" w:cs="Times New Roman"/>
                            <w:sz w:val="20"/>
                            <w:szCs w:val="20"/>
                            <w:lang w:val="en-AU"/>
                          </w:rPr>
                          <w:br/>
                          <w:t>First, his Honour held that section 601GA(2) which regulated payments and indemnities paid to the RE out of 'scheme property' did not invalidate clause 14.3(c).  His Honour held that the TMF funds were not 'scheme property' and were the funds of GSMA as manager of the Schemes, subject to its obligations to disburse them in accordance with the provisions of the deed.</w:t>
                        </w:r>
                        <w:r w:rsidRPr="00A429FE">
                          <w:rPr>
                            <w:rFonts w:ascii="Times" w:hAnsi="Times" w:cs="Times New Roman"/>
                            <w:sz w:val="20"/>
                            <w:szCs w:val="20"/>
                            <w:lang w:val="en-AU"/>
                          </w:rPr>
                          <w:br/>
                          <w:t> </w:t>
                        </w:r>
                        <w:r w:rsidRPr="00A429FE">
                          <w:rPr>
                            <w:rFonts w:ascii="Times" w:hAnsi="Times" w:cs="Times New Roman"/>
                            <w:sz w:val="20"/>
                            <w:szCs w:val="20"/>
                            <w:lang w:val="en-AU"/>
                          </w:rPr>
                          <w:br/>
                          <w:t>McKerracher J held that following the change of the statutory regime, the funds which had been held by the trustee for the benefit of the manager were now held by the RE for its own benefit. There was no trust as the interest of the beneficiary and trustee had merged. Therefore, GSMA was absolutely entitled to the TMF funds subject to it covenanting to disburse the funds in accordance with the Constitution.</w:t>
                        </w:r>
                        <w:r w:rsidRPr="00A429FE">
                          <w:rPr>
                            <w:rFonts w:ascii="Times" w:hAnsi="Times" w:cs="Times New Roman"/>
                            <w:sz w:val="20"/>
                            <w:szCs w:val="20"/>
                            <w:lang w:val="en-AU"/>
                          </w:rPr>
                          <w:br/>
                          <w:t> </w:t>
                        </w:r>
                        <w:r w:rsidRPr="00A429FE">
                          <w:rPr>
                            <w:rFonts w:ascii="Times" w:hAnsi="Times" w:cs="Times New Roman"/>
                            <w:sz w:val="20"/>
                            <w:szCs w:val="20"/>
                            <w:lang w:val="en-AU"/>
                          </w:rPr>
                          <w:br/>
                          <w:t>Second, his Honour held that GSMA had the power to modify the trust deed unilaterally pursuant to section 601GC(1)(b), as it was reasonably open to GSMA as the RE to hold the opinion that the amendment would not adversely affect members' rights. This was on the basis that an amendment which clarified and gave certainty to an existing state of affairs would reasonably be expected not to adversely affect members' rights.</w:t>
                        </w:r>
                        <w:r w:rsidRPr="00A429FE">
                          <w:rPr>
                            <w:rFonts w:ascii="Times" w:hAnsi="Times" w:cs="Times New Roman"/>
                            <w:sz w:val="20"/>
                            <w:szCs w:val="20"/>
                            <w:lang w:val="en-AU"/>
                          </w:rPr>
                          <w:br/>
                          <w:t> </w:t>
                        </w:r>
                        <w:r w:rsidRPr="00A429FE">
                          <w:rPr>
                            <w:rFonts w:ascii="Times" w:hAnsi="Times" w:cs="Times New Roman"/>
                            <w:sz w:val="20"/>
                            <w:szCs w:val="20"/>
                            <w:lang w:val="en-AU"/>
                          </w:rPr>
                          <w:br/>
                        </w:r>
                        <w:r w:rsidRPr="00A429FE">
                          <w:rPr>
                            <w:rFonts w:ascii="Times" w:hAnsi="Times" w:cs="Times New Roman"/>
                            <w:b/>
                            <w:bCs/>
                            <w:sz w:val="20"/>
                            <w:szCs w:val="20"/>
                            <w:lang w:val="en-AU"/>
                          </w:rPr>
                          <w:t>(iii) Conclusion</w:t>
                        </w:r>
                        <w:r w:rsidRPr="00A429FE">
                          <w:rPr>
                            <w:rFonts w:ascii="Times" w:hAnsi="Times" w:cs="Times New Roman"/>
                            <w:b/>
                            <w:bCs/>
                            <w:sz w:val="20"/>
                            <w:szCs w:val="20"/>
                            <w:lang w:val="en-AU"/>
                          </w:rPr>
                          <w:br/>
                        </w:r>
                        <w:r w:rsidRPr="00A429FE">
                          <w:rPr>
                            <w:rFonts w:ascii="Times" w:hAnsi="Times" w:cs="Times New Roman"/>
                            <w:sz w:val="20"/>
                            <w:szCs w:val="20"/>
                            <w:lang w:val="en-AU"/>
                          </w:rPr>
                          <w:t> </w:t>
                        </w:r>
                        <w:r w:rsidRPr="00A429FE">
                          <w:rPr>
                            <w:rFonts w:ascii="Times" w:hAnsi="Times" w:cs="Times New Roman"/>
                            <w:sz w:val="20"/>
                            <w:szCs w:val="20"/>
                            <w:lang w:val="en-AU"/>
                          </w:rPr>
                          <w:br/>
                          <w:t>McKerracher J held that the funds in each TMF should be treated in accordance with the plaintiff liquidator's usual statutory obligations rather than being passed over to PSL as the new RE.</w:t>
                        </w:r>
                      </w:p>
                      <w:p w:rsidR="00A429FE" w:rsidRPr="00A429FE" w:rsidRDefault="00A429FE" w:rsidP="00A429F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7128" name="Picture 17128" descr="etailed Contents">
                                <a:hlinkClick xmlns:a="http://schemas.openxmlformats.org/drawingml/2006/main" r:id="rId1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28" descr="etailed Contents">
                                        <a:hlinkClick r:id="rId102"/>
                                      </pic:cNvPr>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A429FE" w:rsidRPr="00A429FE" w:rsidRDefault="00A429FE" w:rsidP="00A429FE">
                        <w:pPr>
                          <w:rPr>
                            <w:rFonts w:ascii="Times" w:eastAsia="Times New Roman" w:hAnsi="Times" w:cs="Times New Roman"/>
                            <w:sz w:val="20"/>
                            <w:szCs w:val="20"/>
                            <w:lang w:val="en-AU"/>
                          </w:rPr>
                        </w:pPr>
                        <w:r w:rsidRPr="00A429FE">
                          <w:rPr>
                            <w:rFonts w:ascii="Times" w:eastAsia="Times New Roman" w:hAnsi="Times" w:cs="Times New Roman"/>
                            <w:sz w:val="20"/>
                            <w:szCs w:val="20"/>
                            <w:lang w:val="en-AU"/>
                          </w:rPr>
                          <w:pict>
                            <v:rect id="_x0000_i18153" style="width:0;height:1.5pt" o:hralign="center" o:hrstd="t" o:hr="t" fillcolor="#aaa" stroked="f"/>
                          </w:pict>
                        </w:r>
                      </w:p>
                      <w:p w:rsidR="00A429FE" w:rsidRPr="00A429FE" w:rsidRDefault="00A429FE" w:rsidP="00A429FE">
                        <w:pPr>
                          <w:spacing w:before="100" w:beforeAutospacing="1" w:after="100" w:afterAutospacing="1"/>
                          <w:rPr>
                            <w:rFonts w:ascii="Times" w:hAnsi="Times" w:cs="Times New Roman"/>
                            <w:sz w:val="20"/>
                            <w:szCs w:val="20"/>
                            <w:lang w:val="en-AU"/>
                          </w:rPr>
                        </w:pPr>
                        <w:bookmarkStart w:id="56" w:name="053"/>
                        <w:bookmarkEnd w:id="56"/>
                        <w:r w:rsidRPr="00A429FE">
                          <w:rPr>
                            <w:rFonts w:ascii="Times" w:hAnsi="Times" w:cs="Times New Roman"/>
                            <w:b/>
                            <w:bCs/>
                            <w:sz w:val="20"/>
                            <w:szCs w:val="20"/>
                            <w:lang w:val="en-AU"/>
                          </w:rPr>
                          <w:t xml:space="preserve">5.3 Promissory notes and disclosure document requirements under the Corporations Act </w:t>
                        </w:r>
                        <w:r w:rsidRPr="00A429FE">
                          <w:rPr>
                            <w:rFonts w:ascii="Times" w:hAnsi="Times" w:cs="Times New Roman"/>
                            <w:b/>
                            <w:bCs/>
                            <w:sz w:val="20"/>
                            <w:szCs w:val="20"/>
                            <w:lang w:val="en-AU"/>
                          </w:rPr>
                          <w:br/>
                        </w:r>
                        <w:r w:rsidRPr="00A429FE">
                          <w:rPr>
                            <w:rFonts w:ascii="Times" w:hAnsi="Times" w:cs="Times New Roman"/>
                            <w:sz w:val="20"/>
                            <w:szCs w:val="20"/>
                            <w:lang w:val="en-AU"/>
                          </w:rPr>
                          <w:t> </w:t>
                        </w:r>
                        <w:r w:rsidRPr="00A429FE">
                          <w:rPr>
                            <w:rFonts w:ascii="Times" w:hAnsi="Times" w:cs="Times New Roman"/>
                            <w:sz w:val="20"/>
                            <w:szCs w:val="20"/>
                            <w:lang w:val="en-AU"/>
                          </w:rPr>
                          <w:br/>
                          <w:t>(By Robert Withycombe-Taperell, Freehills)</w:t>
                        </w:r>
                        <w:r w:rsidRPr="00A429FE">
                          <w:rPr>
                            <w:rFonts w:ascii="Times" w:hAnsi="Times" w:cs="Times New Roman"/>
                            <w:sz w:val="20"/>
                            <w:szCs w:val="20"/>
                            <w:lang w:val="en-AU"/>
                          </w:rPr>
                          <w:br/>
                          <w:t> </w:t>
                        </w:r>
                        <w:r w:rsidRPr="00A429FE">
                          <w:rPr>
                            <w:rFonts w:ascii="Times" w:hAnsi="Times" w:cs="Times New Roman"/>
                            <w:sz w:val="20"/>
                            <w:szCs w:val="20"/>
                            <w:lang w:val="en-AU"/>
                          </w:rPr>
                          <w:br/>
                          <w:t>ASIC v Great Northern Developments Pty Ltd [2010] NSWSC 1087, New South Wales Supreme Court, White J, 23 September 2010</w:t>
                        </w:r>
                        <w:r w:rsidRPr="00A429FE">
                          <w:rPr>
                            <w:rFonts w:ascii="Times" w:hAnsi="Times" w:cs="Times New Roman"/>
                            <w:sz w:val="20"/>
                            <w:szCs w:val="20"/>
                            <w:lang w:val="en-AU"/>
                          </w:rPr>
                          <w:br/>
                          <w:t> </w:t>
                        </w:r>
                        <w:r w:rsidRPr="00A429FE">
                          <w:rPr>
                            <w:rFonts w:ascii="Times" w:hAnsi="Times" w:cs="Times New Roman"/>
                            <w:sz w:val="20"/>
                            <w:szCs w:val="20"/>
                            <w:lang w:val="en-AU"/>
                          </w:rPr>
                          <w:br/>
                          <w:t>The full text of this judgment is available at:</w:t>
                        </w:r>
                      </w:p>
                      <w:p w:rsidR="00A429FE" w:rsidRPr="00A429FE" w:rsidRDefault="00A429FE" w:rsidP="00A429FE">
                        <w:pPr>
                          <w:spacing w:before="100" w:beforeAutospacing="1" w:after="100" w:afterAutospacing="1"/>
                          <w:rPr>
                            <w:rFonts w:ascii="Times" w:hAnsi="Times" w:cs="Times New Roman"/>
                            <w:sz w:val="20"/>
                            <w:szCs w:val="20"/>
                            <w:lang w:val="en-AU"/>
                          </w:rPr>
                        </w:pPr>
                        <w:r w:rsidRPr="00A429FE">
                          <w:rPr>
                            <w:rFonts w:ascii="Times" w:hAnsi="Times" w:cs="Times New Roman"/>
                            <w:sz w:val="20"/>
                            <w:szCs w:val="20"/>
                            <w:lang w:val="en-AU"/>
                          </w:rPr>
                          <w:fldChar w:fldCharType="begin"/>
                        </w:r>
                        <w:r w:rsidRPr="00A429FE">
                          <w:rPr>
                            <w:rFonts w:ascii="Times" w:hAnsi="Times" w:cs="Times New Roman"/>
                            <w:sz w:val="20"/>
                            <w:szCs w:val="20"/>
                            <w:lang w:val="en-AU"/>
                          </w:rPr>
                          <w:instrText xml:space="preserve"> HYPERLINK "http://www.austlii.edu.au/au/cases/nsw/NSWSC/2010/1087.html" \t "_new" </w:instrText>
                        </w:r>
                        <w:r w:rsidRPr="00A429FE">
                          <w:rPr>
                            <w:rFonts w:ascii="Times" w:hAnsi="Times" w:cs="Times New Roman"/>
                            <w:sz w:val="20"/>
                            <w:szCs w:val="20"/>
                            <w:lang w:val="en-AU"/>
                          </w:rPr>
                        </w:r>
                        <w:r w:rsidRPr="00A429FE">
                          <w:rPr>
                            <w:rFonts w:ascii="Times" w:hAnsi="Times" w:cs="Times New Roman"/>
                            <w:sz w:val="20"/>
                            <w:szCs w:val="20"/>
                            <w:lang w:val="en-AU"/>
                          </w:rPr>
                          <w:fldChar w:fldCharType="separate"/>
                        </w:r>
                        <w:r w:rsidRPr="00A429FE">
                          <w:rPr>
                            <w:rFonts w:ascii="Times" w:hAnsi="Times" w:cs="Times New Roman"/>
                            <w:color w:val="0000FF"/>
                            <w:sz w:val="20"/>
                            <w:szCs w:val="20"/>
                            <w:u w:val="single"/>
                            <w:lang w:val="en-AU"/>
                          </w:rPr>
                          <w:t>http://www.austlii.edu.au/au/cases/nsw/NSWSC/2010/1087.html</w:t>
                        </w:r>
                        <w:r w:rsidRPr="00A429FE">
                          <w:rPr>
                            <w:rFonts w:ascii="Times" w:hAnsi="Times" w:cs="Times New Roman"/>
                            <w:sz w:val="20"/>
                            <w:szCs w:val="20"/>
                            <w:lang w:val="en-AU"/>
                          </w:rPr>
                          <w:fldChar w:fldCharType="end"/>
                        </w:r>
                        <w:r w:rsidRPr="00A429FE">
                          <w:rPr>
                            <w:rFonts w:ascii="Times" w:hAnsi="Times" w:cs="Times New Roman"/>
                            <w:sz w:val="20"/>
                            <w:szCs w:val="20"/>
                            <w:lang w:val="en-AU"/>
                          </w:rPr>
                          <w:t xml:space="preserve">  </w:t>
                        </w:r>
                        <w:r w:rsidRPr="00A429FE">
                          <w:rPr>
                            <w:rFonts w:ascii="Times" w:hAnsi="Times" w:cs="Times New Roman"/>
                            <w:sz w:val="20"/>
                            <w:szCs w:val="20"/>
                            <w:lang w:val="en-AU"/>
                          </w:rPr>
                          <w:br/>
                          <w:t> </w:t>
                        </w:r>
                        <w:r w:rsidRPr="00A429FE">
                          <w:rPr>
                            <w:rFonts w:ascii="Times" w:hAnsi="Times" w:cs="Times New Roman"/>
                            <w:sz w:val="20"/>
                            <w:szCs w:val="20"/>
                            <w:lang w:val="en-AU"/>
                          </w:rPr>
                          <w:br/>
                        </w:r>
                        <w:r w:rsidRPr="00A429FE">
                          <w:rPr>
                            <w:rFonts w:ascii="Times" w:hAnsi="Times" w:cs="Times New Roman"/>
                            <w:b/>
                            <w:bCs/>
                            <w:sz w:val="20"/>
                            <w:szCs w:val="20"/>
                            <w:lang w:val="en-AU"/>
                          </w:rPr>
                          <w:t>(a)  Summary</w:t>
                        </w:r>
                        <w:r w:rsidRPr="00A429FE">
                          <w:rPr>
                            <w:rFonts w:ascii="Times" w:hAnsi="Times" w:cs="Times New Roman"/>
                            <w:sz w:val="20"/>
                            <w:szCs w:val="20"/>
                            <w:lang w:val="en-AU"/>
                          </w:rPr>
                          <w:br/>
                          <w:t> </w:t>
                        </w:r>
                        <w:r w:rsidRPr="00A429FE">
                          <w:rPr>
                            <w:rFonts w:ascii="Times" w:hAnsi="Times" w:cs="Times New Roman"/>
                            <w:sz w:val="20"/>
                            <w:szCs w:val="20"/>
                            <w:lang w:val="en-AU"/>
                          </w:rPr>
                          <w:br/>
                          <w:t xml:space="preserve">ASIC brought an action against a property developer, Great Northern Developments Pty Ltd (GND) in respect of unsecured loans that individuals gave to GND in return for promissory notes. The case turned on whether the loan agreements and the provision of promissory notes breached the </w:t>
                        </w:r>
                        <w:r w:rsidRPr="00A429FE">
                          <w:rPr>
                            <w:rFonts w:ascii="Times" w:hAnsi="Times" w:cs="Times New Roman"/>
                            <w:sz w:val="20"/>
                            <w:szCs w:val="20"/>
                            <w:lang w:val="en-AU"/>
                          </w:rPr>
                          <w:fldChar w:fldCharType="begin"/>
                        </w:r>
                        <w:r w:rsidRPr="00A429FE">
                          <w:rPr>
                            <w:rFonts w:ascii="Times" w:hAnsi="Times" w:cs="Times New Roman"/>
                            <w:sz w:val="20"/>
                            <w:szCs w:val="20"/>
                            <w:lang w:val="en-AU"/>
                          </w:rPr>
                          <w:instrText xml:space="preserve"> HYPERLINK "http://my.lawlex.com.au/index.asp?pact=coredoc&amp;nav=col&amp;cid=56482" \t "Default" </w:instrText>
                        </w:r>
                        <w:r w:rsidRPr="00A429FE">
                          <w:rPr>
                            <w:rFonts w:ascii="Times" w:hAnsi="Times" w:cs="Times New Roman"/>
                            <w:sz w:val="20"/>
                            <w:szCs w:val="20"/>
                            <w:lang w:val="en-AU"/>
                          </w:rPr>
                        </w:r>
                        <w:r w:rsidRPr="00A429FE">
                          <w:rPr>
                            <w:rFonts w:ascii="Times" w:hAnsi="Times" w:cs="Times New Roman"/>
                            <w:sz w:val="20"/>
                            <w:szCs w:val="20"/>
                            <w:lang w:val="en-AU"/>
                          </w:rPr>
                          <w:fldChar w:fldCharType="separate"/>
                        </w:r>
                        <w:r w:rsidRPr="00A429FE">
                          <w:rPr>
                            <w:rFonts w:ascii="Times" w:hAnsi="Times" w:cs="Times New Roman"/>
                            <w:color w:val="0000FF"/>
                            <w:sz w:val="20"/>
                            <w:szCs w:val="20"/>
                            <w:u w:val="single"/>
                            <w:lang w:val="en-AU"/>
                          </w:rPr>
                          <w:t>Corporations Act 2001 (Cth)</w:t>
                        </w:r>
                        <w:r w:rsidRPr="00A429FE">
                          <w:rPr>
                            <w:rFonts w:ascii="Times" w:hAnsi="Times" w:cs="Times New Roman"/>
                            <w:sz w:val="20"/>
                            <w:szCs w:val="20"/>
                            <w:lang w:val="en-AU"/>
                          </w:rPr>
                          <w:fldChar w:fldCharType="end"/>
                        </w:r>
                        <w:r w:rsidRPr="00A429FE">
                          <w:rPr>
                            <w:rFonts w:ascii="Times" w:hAnsi="Times" w:cs="Times New Roman"/>
                            <w:sz w:val="20"/>
                            <w:szCs w:val="20"/>
                            <w:lang w:val="en-AU"/>
                          </w:rPr>
                          <w:t xml:space="preserve"> (Corporations Act), on three potential bases. First, ASIC argued that the promissory notes constituted debentures, which meant that GND had offered securities without providing a disclosure document. Second, ASIC argued that GND was required to enter into a trust deed and appoint a trustee, and that it had not. Third, ASIC argued that it was operating managed investment scheme and that GND was required to register the scheme. The case turned on whether or not GND could rely on the exceptions to the obligation to provide a disclosure document. </w:t>
                        </w:r>
                        <w:r w:rsidRPr="00A429FE">
                          <w:rPr>
                            <w:rFonts w:ascii="Times" w:hAnsi="Times" w:cs="Times New Roman"/>
                            <w:sz w:val="20"/>
                            <w:szCs w:val="20"/>
                            <w:lang w:val="en-AU"/>
                          </w:rPr>
                          <w:br/>
                          <w:t> </w:t>
                        </w:r>
                        <w:r w:rsidRPr="00A429FE">
                          <w:rPr>
                            <w:rFonts w:ascii="Times" w:hAnsi="Times" w:cs="Times New Roman"/>
                            <w:sz w:val="20"/>
                            <w:szCs w:val="20"/>
                            <w:lang w:val="en-AU"/>
                          </w:rPr>
                          <w:br/>
                        </w:r>
                        <w:r w:rsidRPr="00A429FE">
                          <w:rPr>
                            <w:rFonts w:ascii="Times" w:hAnsi="Times" w:cs="Times New Roman"/>
                            <w:b/>
                            <w:bCs/>
                            <w:sz w:val="20"/>
                            <w:szCs w:val="20"/>
                            <w:lang w:val="en-AU"/>
                          </w:rPr>
                          <w:t>(b) Facts</w:t>
                        </w:r>
                        <w:r w:rsidRPr="00A429FE">
                          <w:rPr>
                            <w:rFonts w:ascii="Times" w:hAnsi="Times" w:cs="Times New Roman"/>
                            <w:sz w:val="20"/>
                            <w:szCs w:val="20"/>
                            <w:lang w:val="en-AU"/>
                          </w:rPr>
                          <w:br/>
                          <w:t> </w:t>
                        </w:r>
                        <w:r w:rsidRPr="00A429FE">
                          <w:rPr>
                            <w:rFonts w:ascii="Times" w:hAnsi="Times" w:cs="Times New Roman"/>
                            <w:sz w:val="20"/>
                            <w:szCs w:val="20"/>
                            <w:lang w:val="en-AU"/>
                          </w:rPr>
                          <w:br/>
                          <w:t xml:space="preserve">GND acquires and develops parcels of land and finances its business activities in part by unsecured loans from individual lenders, in return for promissory notes. ASIC and GND agreed in court that these promissory notes were debentures within the meaning of that term in section 9 of the Corporations Act. ASIC alleged contraventions of the following sections of the Corporations Act, in connection with the promissory notes: </w:t>
                        </w:r>
                      </w:p>
                      <w:p w:rsidR="00A429FE" w:rsidRPr="00A429FE" w:rsidRDefault="00A429FE" w:rsidP="00A429FE">
                        <w:pPr>
                          <w:tabs>
                            <w:tab w:val="num" w:pos="720"/>
                          </w:tabs>
                          <w:spacing w:before="100" w:beforeAutospacing="1" w:after="100" w:afterAutospacing="1"/>
                          <w:ind w:left="720" w:hanging="360"/>
                          <w:rPr>
                            <w:rFonts w:ascii="Times" w:eastAsia="Times New Roman" w:hAnsi="Times" w:cs="Times New Roman"/>
                            <w:sz w:val="20"/>
                            <w:szCs w:val="20"/>
                            <w:lang w:val="en-AU"/>
                          </w:rPr>
                        </w:pPr>
                        <w:r w:rsidRPr="00A429FE">
                          <w:rPr>
                            <w:rFonts w:ascii="Times" w:eastAsia="Times New Roman" w:hAnsi="Times" w:cs="Times New Roman"/>
                            <w:sz w:val="20"/>
                            <w:szCs w:val="20"/>
                            <w:lang w:val="en-AU"/>
                          </w:rPr>
                          <w:t xml:space="preserve">section 727: making offers of debentures (which ASIC argued constituted securities within the meaning of the Corporations Act) of securities without a disclosure document; </w:t>
                        </w:r>
                      </w:p>
                      <w:p w:rsidR="00A429FE" w:rsidRPr="00A429FE" w:rsidRDefault="00A429FE" w:rsidP="00A429FE">
                        <w:pPr>
                          <w:tabs>
                            <w:tab w:val="num" w:pos="720"/>
                          </w:tabs>
                          <w:spacing w:before="100" w:beforeAutospacing="1" w:after="100" w:afterAutospacing="1"/>
                          <w:ind w:left="720" w:hanging="360"/>
                          <w:rPr>
                            <w:rFonts w:ascii="Times" w:eastAsia="Times New Roman" w:hAnsi="Times" w:cs="Times New Roman"/>
                            <w:sz w:val="20"/>
                            <w:szCs w:val="20"/>
                            <w:lang w:val="en-AU"/>
                          </w:rPr>
                        </w:pPr>
                        <w:r w:rsidRPr="00A429FE">
                          <w:rPr>
                            <w:rFonts w:ascii="Times" w:eastAsia="Times New Roman" w:hAnsi="Times" w:cs="Times New Roman"/>
                            <w:sz w:val="20"/>
                            <w:szCs w:val="20"/>
                            <w:lang w:val="en-AU"/>
                          </w:rPr>
                          <w:t xml:space="preserve">section 283AA: failing to enter into a trust deed and to appoint a trustee; and </w:t>
                        </w:r>
                      </w:p>
                      <w:p w:rsidR="00A429FE" w:rsidRPr="00A429FE" w:rsidRDefault="00A429FE" w:rsidP="00A429FE">
                        <w:pPr>
                          <w:tabs>
                            <w:tab w:val="num" w:pos="720"/>
                          </w:tabs>
                          <w:spacing w:before="100" w:beforeAutospacing="1" w:after="100" w:afterAutospacing="1"/>
                          <w:ind w:left="720" w:hanging="360"/>
                          <w:rPr>
                            <w:rFonts w:ascii="Times" w:eastAsia="Times New Roman" w:hAnsi="Times" w:cs="Times New Roman"/>
                            <w:sz w:val="20"/>
                            <w:szCs w:val="20"/>
                            <w:lang w:val="en-AU"/>
                          </w:rPr>
                        </w:pPr>
                        <w:r w:rsidRPr="00A429FE">
                          <w:rPr>
                            <w:rFonts w:ascii="Times" w:eastAsia="Times New Roman" w:hAnsi="Times" w:cs="Times New Roman"/>
                            <w:sz w:val="20"/>
                            <w:szCs w:val="20"/>
                            <w:lang w:val="en-AU"/>
                          </w:rPr>
                          <w:t xml:space="preserve">section 601ED: failing to register a managed investment scheme that was required to be registered, under the Corporations Act.  </w:t>
                        </w:r>
                      </w:p>
                      <w:p w:rsidR="00A429FE" w:rsidRPr="00A429FE" w:rsidRDefault="00A429FE" w:rsidP="00A429FE">
                        <w:pPr>
                          <w:spacing w:before="100" w:beforeAutospacing="1" w:after="100" w:afterAutospacing="1"/>
                          <w:rPr>
                            <w:rFonts w:ascii="Times" w:hAnsi="Times" w:cs="Times New Roman"/>
                            <w:sz w:val="20"/>
                            <w:szCs w:val="20"/>
                            <w:lang w:val="en-AU"/>
                          </w:rPr>
                        </w:pPr>
                        <w:r w:rsidRPr="00A429FE">
                          <w:rPr>
                            <w:rFonts w:ascii="Times" w:hAnsi="Times" w:cs="Times New Roman"/>
                            <w:b/>
                            <w:bCs/>
                            <w:sz w:val="20"/>
                            <w:szCs w:val="20"/>
                            <w:lang w:val="en-AU"/>
                          </w:rPr>
                          <w:t xml:space="preserve">(c) Decision  </w:t>
                        </w:r>
                        <w:r w:rsidRPr="00A429FE">
                          <w:rPr>
                            <w:rFonts w:ascii="Times" w:hAnsi="Times" w:cs="Times New Roman"/>
                            <w:b/>
                            <w:bCs/>
                            <w:sz w:val="20"/>
                            <w:szCs w:val="20"/>
                            <w:lang w:val="en-AU"/>
                          </w:rPr>
                          <w:br/>
                        </w:r>
                        <w:r w:rsidRPr="00A429FE">
                          <w:rPr>
                            <w:rFonts w:ascii="Times" w:hAnsi="Times" w:cs="Times New Roman"/>
                            <w:sz w:val="20"/>
                            <w:szCs w:val="20"/>
                            <w:lang w:val="en-AU"/>
                          </w:rPr>
                          <w:t> </w:t>
                        </w:r>
                        <w:r w:rsidRPr="00A429FE">
                          <w:rPr>
                            <w:rFonts w:ascii="Times" w:hAnsi="Times" w:cs="Times New Roman"/>
                            <w:sz w:val="20"/>
                            <w:szCs w:val="20"/>
                            <w:lang w:val="en-AU"/>
                          </w:rPr>
                          <w:br/>
                        </w:r>
                        <w:r w:rsidRPr="00A429FE">
                          <w:rPr>
                            <w:rFonts w:ascii="Times" w:hAnsi="Times" w:cs="Times New Roman"/>
                            <w:b/>
                            <w:bCs/>
                            <w:sz w:val="20"/>
                            <w:szCs w:val="20"/>
                            <w:lang w:val="en-AU"/>
                          </w:rPr>
                          <w:t>(i) Whether GND made an offer of securities</w:t>
                        </w:r>
                        <w:r w:rsidRPr="00A429FE">
                          <w:rPr>
                            <w:rFonts w:ascii="Times" w:hAnsi="Times" w:cs="Times New Roman"/>
                            <w:b/>
                            <w:bCs/>
                            <w:sz w:val="20"/>
                            <w:szCs w:val="20"/>
                            <w:lang w:val="en-AU"/>
                          </w:rPr>
                          <w:br/>
                        </w:r>
                        <w:r w:rsidRPr="00A429FE">
                          <w:rPr>
                            <w:rFonts w:ascii="Times" w:hAnsi="Times" w:cs="Times New Roman"/>
                            <w:sz w:val="20"/>
                            <w:szCs w:val="20"/>
                            <w:lang w:val="en-AU"/>
                          </w:rPr>
                          <w:br/>
                          <w:t>An entity breaches section 727 of the Corporations Act if it makes an offer of securities that needs disclosure, and the entity has not lodged a disclosure document with ASIC. The recitals of each loan agreement provided that 'the Borrower has applied to the Lender for a loan of an amount of the Principal Sum'. On this basis, Justice White determined that GND had made offers of securities.</w:t>
                        </w:r>
                        <w:r w:rsidRPr="00A429FE">
                          <w:rPr>
                            <w:rFonts w:ascii="Times" w:hAnsi="Times" w:cs="Times New Roman"/>
                            <w:sz w:val="20"/>
                            <w:szCs w:val="20"/>
                            <w:lang w:val="en-AU"/>
                          </w:rPr>
                          <w:br/>
                          <w:t> </w:t>
                        </w:r>
                        <w:r w:rsidRPr="00A429FE">
                          <w:rPr>
                            <w:rFonts w:ascii="Times" w:hAnsi="Times" w:cs="Times New Roman"/>
                            <w:sz w:val="20"/>
                            <w:szCs w:val="20"/>
                            <w:lang w:val="en-AU"/>
                          </w:rPr>
                          <w:br/>
                          <w:t xml:space="preserve">Justice White affirmed that it is not necessary that there be solicitation of an investment for an offer to have been made, following </w:t>
                        </w:r>
                        <w:r w:rsidRPr="00A429FE">
                          <w:rPr>
                            <w:rFonts w:ascii="Times" w:hAnsi="Times" w:cs="Times New Roman"/>
                            <w:i/>
                            <w:iCs/>
                            <w:sz w:val="20"/>
                            <w:szCs w:val="20"/>
                            <w:lang w:val="en-AU"/>
                          </w:rPr>
                          <w:t>Australian Securities &amp; Investments Commission v Karl Suleman Enterprises Pty Ltd (In Liq)</w:t>
                        </w:r>
                        <w:r w:rsidRPr="00A429FE">
                          <w:rPr>
                            <w:rFonts w:ascii="Times" w:hAnsi="Times" w:cs="Times New Roman"/>
                            <w:sz w:val="20"/>
                            <w:szCs w:val="20"/>
                            <w:lang w:val="en-AU"/>
                          </w:rPr>
                          <w:t xml:space="preserve"> [2003] NSWSC 400 at [5].</w:t>
                        </w:r>
                        <w:r w:rsidRPr="00A429FE">
                          <w:rPr>
                            <w:rFonts w:ascii="Times" w:hAnsi="Times" w:cs="Times New Roman"/>
                            <w:sz w:val="20"/>
                            <w:szCs w:val="20"/>
                            <w:lang w:val="en-AU"/>
                          </w:rPr>
                          <w:br/>
                          <w:t xml:space="preserve">  </w:t>
                        </w:r>
                        <w:r w:rsidRPr="00A429FE">
                          <w:rPr>
                            <w:rFonts w:ascii="Times" w:hAnsi="Times" w:cs="Times New Roman"/>
                            <w:sz w:val="20"/>
                            <w:szCs w:val="20"/>
                            <w:lang w:val="en-AU"/>
                          </w:rPr>
                          <w:br/>
                        </w:r>
                        <w:r w:rsidRPr="00A429FE">
                          <w:rPr>
                            <w:rFonts w:ascii="Times" w:hAnsi="Times" w:cs="Times New Roman"/>
                            <w:b/>
                            <w:bCs/>
                            <w:sz w:val="20"/>
                            <w:szCs w:val="20"/>
                            <w:lang w:val="en-AU"/>
                          </w:rPr>
                          <w:t>(ii) The personal offers exception in section 708 of the Corporations Act</w:t>
                        </w:r>
                        <w:r w:rsidRPr="00A429FE">
                          <w:rPr>
                            <w:rFonts w:ascii="Times" w:hAnsi="Times" w:cs="Times New Roman"/>
                            <w:b/>
                            <w:bCs/>
                            <w:sz w:val="20"/>
                            <w:szCs w:val="20"/>
                            <w:lang w:val="en-AU"/>
                          </w:rPr>
                          <w:br/>
                        </w:r>
                        <w:r w:rsidRPr="00A429FE">
                          <w:rPr>
                            <w:rFonts w:ascii="Times" w:hAnsi="Times" w:cs="Times New Roman"/>
                            <w:sz w:val="20"/>
                            <w:szCs w:val="20"/>
                            <w:lang w:val="en-AU"/>
                          </w:rPr>
                          <w:t> </w:t>
                        </w:r>
                        <w:r w:rsidRPr="00A429FE">
                          <w:rPr>
                            <w:rFonts w:ascii="Times" w:hAnsi="Times" w:cs="Times New Roman"/>
                            <w:sz w:val="20"/>
                            <w:szCs w:val="20"/>
                            <w:lang w:val="en-AU"/>
                          </w:rPr>
                          <w:br/>
                          <w:t>Section 708 of the Corporations Act sets out the offers of securities that do not require disclosure. GND argued that its offers of securities were exempt from disclosure requirements because of this section. Section 708 of the Corporations Act provides:</w:t>
                        </w:r>
                        <w:r w:rsidRPr="00A429FE">
                          <w:rPr>
                            <w:rFonts w:ascii="Times" w:hAnsi="Times" w:cs="Times New Roman"/>
                            <w:sz w:val="20"/>
                            <w:szCs w:val="20"/>
                            <w:lang w:val="en-AU"/>
                          </w:rPr>
                          <w:br/>
                          <w:t xml:space="preserve">(1)  Personal offers of a body's securities by a person do not need disclosure to investors under this Part if: </w:t>
                        </w:r>
                        <w:r w:rsidRPr="00A429FE">
                          <w:rPr>
                            <w:rFonts w:ascii="Times" w:hAnsi="Times" w:cs="Times New Roman"/>
                            <w:sz w:val="20"/>
                            <w:szCs w:val="20"/>
                            <w:lang w:val="en-AU"/>
                          </w:rPr>
                          <w:br/>
                          <w:t xml:space="preserve">(a)  none of the offers results in a breach of the 20 investors ceiling (see subsections (3) and (4)); and </w:t>
                        </w:r>
                        <w:r w:rsidRPr="00A429FE">
                          <w:rPr>
                            <w:rFonts w:ascii="Times" w:hAnsi="Times" w:cs="Times New Roman"/>
                            <w:sz w:val="20"/>
                            <w:szCs w:val="20"/>
                            <w:lang w:val="en-AU"/>
                          </w:rPr>
                          <w:br/>
                          <w:t xml:space="preserve">(b)  none of the offers results in a breach of the $2 million ceiling (see subsections (3) and (4)).  </w:t>
                        </w:r>
                        <w:r w:rsidRPr="00A429FE">
                          <w:rPr>
                            <w:rFonts w:ascii="Times" w:hAnsi="Times" w:cs="Times New Roman"/>
                            <w:sz w:val="20"/>
                            <w:szCs w:val="20"/>
                            <w:lang w:val="en-AU"/>
                          </w:rPr>
                          <w:br/>
                        </w:r>
                        <w:r w:rsidRPr="00A429FE">
                          <w:rPr>
                            <w:rFonts w:ascii="Times" w:hAnsi="Times" w:cs="Times New Roman"/>
                            <w:sz w:val="20"/>
                            <w:szCs w:val="20"/>
                            <w:lang w:val="en-AU"/>
                          </w:rPr>
                          <w:br/>
                          <w:t xml:space="preserve">(2)  For the purposes of subsection (1), a personal offer is one that: </w:t>
                        </w:r>
                        <w:r w:rsidRPr="00A429FE">
                          <w:rPr>
                            <w:rFonts w:ascii="Times" w:hAnsi="Times" w:cs="Times New Roman"/>
                            <w:sz w:val="20"/>
                            <w:szCs w:val="20"/>
                            <w:lang w:val="en-AU"/>
                          </w:rPr>
                          <w:br/>
                          <w:t xml:space="preserve">(a)  may only be accepted by the person to whom it is made; and </w:t>
                        </w:r>
                        <w:r w:rsidRPr="00A429FE">
                          <w:rPr>
                            <w:rFonts w:ascii="Times" w:hAnsi="Times" w:cs="Times New Roman"/>
                            <w:sz w:val="20"/>
                            <w:szCs w:val="20"/>
                            <w:lang w:val="en-AU"/>
                          </w:rPr>
                          <w:br/>
                          <w:t xml:space="preserve">(b)  is made to a person who is likely to be interested in the offer, having regard to: </w:t>
                        </w:r>
                        <w:r w:rsidRPr="00A429FE">
                          <w:rPr>
                            <w:rFonts w:ascii="Times" w:hAnsi="Times" w:cs="Times New Roman"/>
                            <w:sz w:val="20"/>
                            <w:szCs w:val="20"/>
                            <w:lang w:val="en-AU"/>
                          </w:rPr>
                          <w:br/>
                          <w:t xml:space="preserve">i. previous contact between the person making the offer and that person; or </w:t>
                        </w:r>
                        <w:r w:rsidRPr="00A429FE">
                          <w:rPr>
                            <w:rFonts w:ascii="Times" w:hAnsi="Times" w:cs="Times New Roman"/>
                            <w:sz w:val="20"/>
                            <w:szCs w:val="20"/>
                            <w:lang w:val="en-AU"/>
                          </w:rPr>
                          <w:br/>
                          <w:t xml:space="preserve">ii. some professional or other connection between the person making the offer and that person; or </w:t>
                        </w:r>
                        <w:r w:rsidRPr="00A429FE">
                          <w:rPr>
                            <w:rFonts w:ascii="Times" w:hAnsi="Times" w:cs="Times New Roman"/>
                            <w:sz w:val="20"/>
                            <w:szCs w:val="20"/>
                            <w:lang w:val="en-AU"/>
                          </w:rPr>
                          <w:br/>
                          <w:t xml:space="preserve">iii. statements or actions by that person that indicate that they are interested in offers of that kind. </w:t>
                        </w:r>
                        <w:r w:rsidRPr="00A429FE">
                          <w:rPr>
                            <w:rFonts w:ascii="Times" w:hAnsi="Times" w:cs="Times New Roman"/>
                            <w:sz w:val="20"/>
                            <w:szCs w:val="20"/>
                            <w:lang w:val="en-AU"/>
                          </w:rPr>
                          <w:br/>
                          <w:t> </w:t>
                        </w:r>
                        <w:r w:rsidRPr="00A429FE">
                          <w:rPr>
                            <w:rFonts w:ascii="Times" w:hAnsi="Times" w:cs="Times New Roman"/>
                            <w:sz w:val="20"/>
                            <w:szCs w:val="20"/>
                            <w:lang w:val="en-AU"/>
                          </w:rPr>
                          <w:br/>
                          <w:t>In respect of section 708(1)(a), Justice White was satisfied that the offers were 'personal offers'. This was because they were made to people who had some connection with GND and it was this connection that led them to provide the loans.</w:t>
                        </w:r>
                        <w:r w:rsidRPr="00A429FE">
                          <w:rPr>
                            <w:rFonts w:ascii="Times" w:hAnsi="Times" w:cs="Times New Roman"/>
                            <w:sz w:val="20"/>
                            <w:szCs w:val="20"/>
                            <w:lang w:val="en-AU"/>
                          </w:rPr>
                          <w:br/>
                          <w:t> </w:t>
                        </w:r>
                        <w:r w:rsidRPr="00A429FE">
                          <w:rPr>
                            <w:rFonts w:ascii="Times" w:hAnsi="Times" w:cs="Times New Roman"/>
                            <w:sz w:val="20"/>
                            <w:szCs w:val="20"/>
                            <w:lang w:val="en-AU"/>
                          </w:rPr>
                          <w:br/>
                          <w:t>GND also had to demonstrate that the offers did not breach the 20 investors and $2 million dollars ceilings (the 20 investors/$2 million in sections 708(1)(a) and 708(1)(b) above). In calculating the total amount of money raised by loans or the number of investors, the court only needs to take into account issues of securities that are not exempt from the disclosure requirements by another section of the Corporations Act.  Section 708(14) exempts 'disclosing entities' from disclosure document requirements in respect of offers they make to one or more existing debenture holders. GND argued that this meant that offers it had made to existing debenture holders should not be included in the ceiling calculations. For the reasons below GND could not rely on this exception.</w:t>
                        </w:r>
                        <w:r w:rsidRPr="00A429FE">
                          <w:rPr>
                            <w:rFonts w:ascii="Times" w:hAnsi="Times" w:cs="Times New Roman"/>
                            <w:sz w:val="20"/>
                            <w:szCs w:val="20"/>
                            <w:lang w:val="en-AU"/>
                          </w:rPr>
                          <w:br/>
                          <w:t> </w:t>
                        </w:r>
                        <w:r w:rsidRPr="00A429FE">
                          <w:rPr>
                            <w:rFonts w:ascii="Times" w:hAnsi="Times" w:cs="Times New Roman"/>
                            <w:sz w:val="20"/>
                            <w:szCs w:val="20"/>
                            <w:lang w:val="en-AU"/>
                          </w:rPr>
                          <w:br/>
                        </w:r>
                        <w:r w:rsidRPr="00A429FE">
                          <w:rPr>
                            <w:rFonts w:ascii="Times" w:hAnsi="Times" w:cs="Times New Roman"/>
                            <w:b/>
                            <w:bCs/>
                            <w:sz w:val="20"/>
                            <w:szCs w:val="20"/>
                            <w:lang w:val="en-AU"/>
                          </w:rPr>
                          <w:t>(iii) GND could not rely on section 708(14) because it did not comply fully with its obligations as a 'disclosing entity'</w:t>
                        </w:r>
                        <w:r w:rsidRPr="00A429FE">
                          <w:rPr>
                            <w:rFonts w:ascii="Times" w:hAnsi="Times" w:cs="Times New Roman"/>
                            <w:b/>
                            <w:bCs/>
                            <w:sz w:val="20"/>
                            <w:szCs w:val="20"/>
                            <w:lang w:val="en-AU"/>
                          </w:rPr>
                          <w:br/>
                        </w:r>
                        <w:r w:rsidRPr="00A429FE">
                          <w:rPr>
                            <w:rFonts w:ascii="Times" w:hAnsi="Times" w:cs="Times New Roman"/>
                            <w:sz w:val="20"/>
                            <w:szCs w:val="20"/>
                            <w:lang w:val="en-AU"/>
                          </w:rPr>
                          <w:t> </w:t>
                        </w:r>
                        <w:r w:rsidRPr="00A429FE">
                          <w:rPr>
                            <w:rFonts w:ascii="Times" w:hAnsi="Times" w:cs="Times New Roman"/>
                            <w:sz w:val="20"/>
                            <w:szCs w:val="20"/>
                            <w:lang w:val="en-AU"/>
                          </w:rPr>
                          <w:br/>
                          <w:t>GND was, prima facie, a 'disclosing entity' in that it was an entity that was required to appoint a trustee under section 283AA of the Corporations Act. This would normally mean that offers made by GND to people who already held debentures, would not be counted in connection with possible breaches of the 20 person/$2 million dollar ceiling. However, Justice White was concerned that the section 708(14) exception was intended to apply only to entities that had complied fully with their reporting obligations, so that additional disclosure (under section 708) was not necessary. Justice White therefore determined that section 708(14) should be read to mean that a disclosing entity is exempt from disclosure requirements only where it has complied with section 283AA.</w:t>
                        </w:r>
                        <w:r w:rsidRPr="00A429FE">
                          <w:rPr>
                            <w:rFonts w:ascii="Times" w:hAnsi="Times" w:cs="Times New Roman"/>
                            <w:sz w:val="20"/>
                            <w:szCs w:val="20"/>
                            <w:lang w:val="en-AU"/>
                          </w:rPr>
                          <w:br/>
                          <w:t> </w:t>
                        </w:r>
                        <w:r w:rsidRPr="00A429FE">
                          <w:rPr>
                            <w:rFonts w:ascii="Times" w:hAnsi="Times" w:cs="Times New Roman"/>
                            <w:sz w:val="20"/>
                            <w:szCs w:val="20"/>
                            <w:lang w:val="en-AU"/>
                          </w:rPr>
                          <w:br/>
                          <w:t xml:space="preserve">As GND had not appointed a trustee in compliance with section 283AA, it could not rely on the 708(14) exception. Justice White found that GND breached the $2 million dollar ceiling. Justice White made declarations that GND had contravened sections 283AA, 283AC and 727 of the Corporations Act. </w:t>
                        </w:r>
                        <w:r w:rsidRPr="00A429FE">
                          <w:rPr>
                            <w:rFonts w:ascii="Times" w:hAnsi="Times" w:cs="Times New Roman"/>
                            <w:sz w:val="20"/>
                            <w:szCs w:val="20"/>
                            <w:lang w:val="en-AU"/>
                          </w:rPr>
                          <w:br/>
                          <w:t> </w:t>
                        </w:r>
                        <w:r w:rsidRPr="00A429FE">
                          <w:rPr>
                            <w:rFonts w:ascii="Times" w:hAnsi="Times" w:cs="Times New Roman"/>
                            <w:sz w:val="20"/>
                            <w:szCs w:val="20"/>
                            <w:lang w:val="en-AU"/>
                          </w:rPr>
                          <w:br/>
                        </w:r>
                        <w:r w:rsidRPr="00A429FE">
                          <w:rPr>
                            <w:rFonts w:ascii="Times" w:hAnsi="Times" w:cs="Times New Roman"/>
                            <w:b/>
                            <w:bCs/>
                            <w:sz w:val="20"/>
                            <w:szCs w:val="20"/>
                            <w:lang w:val="en-AU"/>
                          </w:rPr>
                          <w:t>(iv) GND was not operating a managed investment scheme</w:t>
                        </w:r>
                        <w:r w:rsidRPr="00A429FE">
                          <w:rPr>
                            <w:rFonts w:ascii="Times" w:hAnsi="Times" w:cs="Times New Roman"/>
                            <w:b/>
                            <w:bCs/>
                            <w:sz w:val="20"/>
                            <w:szCs w:val="20"/>
                            <w:lang w:val="en-AU"/>
                          </w:rPr>
                          <w:br/>
                        </w:r>
                        <w:r w:rsidRPr="00A429FE">
                          <w:rPr>
                            <w:rFonts w:ascii="Times" w:hAnsi="Times" w:cs="Times New Roman"/>
                            <w:sz w:val="20"/>
                            <w:szCs w:val="20"/>
                            <w:lang w:val="en-AU"/>
                          </w:rPr>
                          <w:t> </w:t>
                        </w:r>
                        <w:r w:rsidRPr="00A429FE">
                          <w:rPr>
                            <w:rFonts w:ascii="Times" w:hAnsi="Times" w:cs="Times New Roman"/>
                            <w:sz w:val="20"/>
                            <w:szCs w:val="20"/>
                            <w:lang w:val="en-AU"/>
                          </w:rPr>
                          <w:br/>
                          <w:t>Section 9 of the Corporations Act defines 'managed investment scheme':</w:t>
                        </w:r>
                        <w:r w:rsidRPr="00A429FE">
                          <w:rPr>
                            <w:rFonts w:ascii="Times" w:hAnsi="Times" w:cs="Times New Roman"/>
                            <w:sz w:val="20"/>
                            <w:szCs w:val="20"/>
                            <w:lang w:val="en-AU"/>
                          </w:rPr>
                          <w:br/>
                          <w:t xml:space="preserve">"managed investment scheme" means: </w:t>
                        </w:r>
                        <w:r w:rsidRPr="00A429FE">
                          <w:rPr>
                            <w:rFonts w:ascii="Times" w:hAnsi="Times" w:cs="Times New Roman"/>
                            <w:sz w:val="20"/>
                            <w:szCs w:val="20"/>
                            <w:lang w:val="en-AU"/>
                          </w:rPr>
                          <w:br/>
                        </w:r>
                        <w:r w:rsidRPr="00A429FE">
                          <w:rPr>
                            <w:rFonts w:ascii="Times" w:hAnsi="Times" w:cs="Times New Roman"/>
                            <w:sz w:val="20"/>
                            <w:szCs w:val="20"/>
                            <w:lang w:val="en-AU"/>
                          </w:rPr>
                          <w:br/>
                          <w:t xml:space="preserve">(a)  a scheme that has the following features: </w:t>
                        </w:r>
                        <w:r w:rsidRPr="00A429FE">
                          <w:rPr>
                            <w:rFonts w:ascii="Times" w:hAnsi="Times" w:cs="Times New Roman"/>
                            <w:sz w:val="20"/>
                            <w:szCs w:val="20"/>
                            <w:lang w:val="en-AU"/>
                          </w:rPr>
                          <w:br/>
                          <w:t>i. people contribute money or money's worth as consideration to acquire rights ( interests ) to benefits produced by the scheme (whether the rights are actual, prospective or contingent and whether they are enforceable or not).</w:t>
                        </w:r>
                        <w:r w:rsidRPr="00A429FE">
                          <w:rPr>
                            <w:rFonts w:ascii="Times" w:hAnsi="Times" w:cs="Times New Roman"/>
                            <w:sz w:val="20"/>
                            <w:szCs w:val="20"/>
                            <w:lang w:val="en-AU"/>
                          </w:rPr>
                          <w:br/>
                          <w:t xml:space="preserve">ii. any of the contributions are to be pooled, or used in a common enterprise, to produce financial benefits, or benefits consisting of rights or interests in property, for the people (the members ) who hold interests in the scheme (whether as contributors to the scheme or as people who have acquired interests from holders); </w:t>
                        </w:r>
                        <w:r w:rsidRPr="00A429FE">
                          <w:rPr>
                            <w:rFonts w:ascii="Times" w:hAnsi="Times" w:cs="Times New Roman"/>
                            <w:sz w:val="20"/>
                            <w:szCs w:val="20"/>
                            <w:lang w:val="en-AU"/>
                          </w:rPr>
                          <w:br/>
                          <w:t xml:space="preserve">iii. the members do not have day-to-day control over the operation of the scheme (whether or not they have the right to be consulted or to give directions); or </w:t>
                        </w:r>
                        <w:r w:rsidRPr="00A429FE">
                          <w:rPr>
                            <w:rFonts w:ascii="Times" w:hAnsi="Times" w:cs="Times New Roman"/>
                            <w:sz w:val="20"/>
                            <w:szCs w:val="20"/>
                            <w:lang w:val="en-AU"/>
                          </w:rPr>
                          <w:br/>
                          <w:t> </w:t>
                        </w:r>
                        <w:r w:rsidRPr="00A429FE">
                          <w:rPr>
                            <w:rFonts w:ascii="Times" w:hAnsi="Times" w:cs="Times New Roman"/>
                            <w:sz w:val="20"/>
                            <w:szCs w:val="20"/>
                            <w:lang w:val="en-AU"/>
                          </w:rPr>
                          <w:br/>
                          <w:t xml:space="preserve">(b)  a time-sharing scheme; </w:t>
                        </w:r>
                        <w:r w:rsidRPr="00A429FE">
                          <w:rPr>
                            <w:rFonts w:ascii="Times" w:hAnsi="Times" w:cs="Times New Roman"/>
                            <w:sz w:val="20"/>
                            <w:szCs w:val="20"/>
                            <w:lang w:val="en-AU"/>
                          </w:rPr>
                          <w:br/>
                          <w:t> </w:t>
                        </w:r>
                        <w:r w:rsidRPr="00A429FE">
                          <w:rPr>
                            <w:rFonts w:ascii="Times" w:hAnsi="Times" w:cs="Times New Roman"/>
                            <w:sz w:val="20"/>
                            <w:szCs w:val="20"/>
                            <w:lang w:val="en-AU"/>
                          </w:rPr>
                          <w:br/>
                          <w:t>but does not include the following:</w:t>
                        </w:r>
                        <w:r w:rsidRPr="00A429FE">
                          <w:rPr>
                            <w:rFonts w:ascii="Times" w:hAnsi="Times" w:cs="Times New Roman"/>
                            <w:sz w:val="20"/>
                            <w:szCs w:val="20"/>
                            <w:lang w:val="en-AU"/>
                          </w:rPr>
                          <w:br/>
                        </w:r>
                        <w:r w:rsidRPr="00A429FE">
                          <w:rPr>
                            <w:rFonts w:ascii="Times" w:hAnsi="Times" w:cs="Times New Roman"/>
                            <w:sz w:val="20"/>
                            <w:szCs w:val="20"/>
                            <w:lang w:val="en-AU"/>
                          </w:rPr>
                          <w:br/>
                          <w:t xml:space="preserve">(i)   a scheme operated by an Australian ADI in the ordinary course of its banking business;  </w:t>
                        </w:r>
                        <w:r w:rsidRPr="00A429FE">
                          <w:rPr>
                            <w:rFonts w:ascii="Times" w:hAnsi="Times" w:cs="Times New Roman"/>
                            <w:sz w:val="20"/>
                            <w:szCs w:val="20"/>
                            <w:lang w:val="en-AU"/>
                          </w:rPr>
                          <w:br/>
                          <w:t>(j)   the issue of debentures or convertible notes by a body corporate.</w:t>
                        </w:r>
                        <w:r w:rsidRPr="00A429FE">
                          <w:rPr>
                            <w:rFonts w:ascii="Times" w:hAnsi="Times" w:cs="Times New Roman"/>
                            <w:sz w:val="20"/>
                            <w:szCs w:val="20"/>
                            <w:lang w:val="en-AU"/>
                          </w:rPr>
                          <w:br/>
                          <w:t> </w:t>
                        </w:r>
                        <w:r w:rsidRPr="00A429FE">
                          <w:rPr>
                            <w:rFonts w:ascii="Times" w:hAnsi="Times" w:cs="Times New Roman"/>
                            <w:sz w:val="20"/>
                            <w:szCs w:val="20"/>
                            <w:lang w:val="en-AU"/>
                          </w:rPr>
                          <w:br/>
                          <w:t xml:space="preserve">ASIC argued that GND was operating a managed investment scheme and that it had issued interests in the managed investment scheme, in the form of promissory notes.  </w:t>
                        </w:r>
                        <w:r w:rsidRPr="00A429FE">
                          <w:rPr>
                            <w:rFonts w:ascii="Times" w:hAnsi="Times" w:cs="Times New Roman"/>
                            <w:sz w:val="20"/>
                            <w:szCs w:val="20"/>
                            <w:lang w:val="en-AU"/>
                          </w:rPr>
                          <w:br/>
                          <w:t> </w:t>
                        </w:r>
                        <w:r w:rsidRPr="00A429FE">
                          <w:rPr>
                            <w:rFonts w:ascii="Times" w:hAnsi="Times" w:cs="Times New Roman"/>
                            <w:sz w:val="20"/>
                            <w:szCs w:val="20"/>
                            <w:lang w:val="en-AU"/>
                          </w:rPr>
                          <w:br/>
                          <w:t xml:space="preserve">Justice White found that the requirement in (a)(i) of the definition of 'managed investment scheme' was not satisfied. The lenders did not receive rights to benefits produced by the scheme in return for the money they lent. GND had also never made representations that the lenders would receive benefits produced by GND's business in return for the loan amounts.  </w:t>
                        </w:r>
                        <w:r w:rsidRPr="00A429FE">
                          <w:rPr>
                            <w:rFonts w:ascii="Times" w:hAnsi="Times" w:cs="Times New Roman"/>
                            <w:sz w:val="20"/>
                            <w:szCs w:val="20"/>
                            <w:lang w:val="en-AU"/>
                          </w:rPr>
                          <w:br/>
                          <w:t xml:space="preserve">    </w:t>
                        </w:r>
                        <w:r w:rsidRPr="00A429FE">
                          <w:rPr>
                            <w:rFonts w:ascii="Times" w:hAnsi="Times" w:cs="Times New Roman"/>
                            <w:sz w:val="20"/>
                            <w:szCs w:val="20"/>
                            <w:lang w:val="en-AU"/>
                          </w:rPr>
                          <w:br/>
                          <w:t xml:space="preserve">The requirement in (a)(ii) of the definition also was not satisfied. Justice White found that there was no evidence that any lender intended that the money that they lent be pooled with contributions from other lenders or investors, to be used in a common enterprise for the financial benefit of all the lenders. </w:t>
                        </w:r>
                        <w:r w:rsidRPr="00A429FE">
                          <w:rPr>
                            <w:rFonts w:ascii="Times" w:hAnsi="Times" w:cs="Times New Roman"/>
                            <w:sz w:val="20"/>
                            <w:szCs w:val="20"/>
                            <w:lang w:val="en-AU"/>
                          </w:rPr>
                          <w:br/>
                          <w:t> </w:t>
                        </w:r>
                        <w:r w:rsidRPr="00A429FE">
                          <w:rPr>
                            <w:rFonts w:ascii="Times" w:hAnsi="Times" w:cs="Times New Roman"/>
                            <w:sz w:val="20"/>
                            <w:szCs w:val="20"/>
                            <w:lang w:val="en-AU"/>
                          </w:rPr>
                          <w:br/>
                          <w:t xml:space="preserve">This led Justice White to conclude that GND was not operating a managed investment scheme. </w:t>
                        </w:r>
                        <w:r w:rsidRPr="00A429FE">
                          <w:rPr>
                            <w:rFonts w:ascii="Times" w:hAnsi="Times" w:cs="Times New Roman"/>
                            <w:sz w:val="20"/>
                            <w:szCs w:val="20"/>
                            <w:lang w:val="en-AU"/>
                          </w:rPr>
                          <w:br/>
                          <w:t> </w:t>
                        </w:r>
                        <w:r w:rsidRPr="00A429FE">
                          <w:rPr>
                            <w:rFonts w:ascii="Times" w:hAnsi="Times" w:cs="Times New Roman"/>
                            <w:sz w:val="20"/>
                            <w:szCs w:val="20"/>
                            <w:lang w:val="en-AU"/>
                          </w:rPr>
                          <w:br/>
                        </w:r>
                        <w:r w:rsidRPr="00A429FE">
                          <w:rPr>
                            <w:rFonts w:ascii="Times" w:hAnsi="Times" w:cs="Times New Roman"/>
                            <w:b/>
                            <w:bCs/>
                            <w:sz w:val="20"/>
                            <w:szCs w:val="20"/>
                            <w:lang w:val="en-AU"/>
                          </w:rPr>
                          <w:t>(v) If GND were operating a managed investment scheme, it would have been required to register it</w:t>
                        </w:r>
                        <w:r w:rsidRPr="00A429FE">
                          <w:rPr>
                            <w:rFonts w:ascii="Times" w:hAnsi="Times" w:cs="Times New Roman"/>
                            <w:b/>
                            <w:bCs/>
                            <w:sz w:val="20"/>
                            <w:szCs w:val="20"/>
                            <w:lang w:val="en-AU"/>
                          </w:rPr>
                          <w:br/>
                        </w:r>
                        <w:r w:rsidRPr="00A429FE">
                          <w:rPr>
                            <w:rFonts w:ascii="Times" w:hAnsi="Times" w:cs="Times New Roman"/>
                            <w:sz w:val="20"/>
                            <w:szCs w:val="20"/>
                            <w:lang w:val="en-AU"/>
                          </w:rPr>
                          <w:t> </w:t>
                        </w:r>
                        <w:r w:rsidRPr="00A429FE">
                          <w:rPr>
                            <w:rFonts w:ascii="Times" w:hAnsi="Times" w:cs="Times New Roman"/>
                            <w:sz w:val="20"/>
                            <w:szCs w:val="20"/>
                            <w:lang w:val="en-AU"/>
                          </w:rPr>
                          <w:br/>
                          <w:t xml:space="preserve">Justice White found that, had GND been operating a managed investment scheme, GND would have been required to register it under section 601ED of the Corporations Act. His Honour found that GND would not have been able to rely on the exceptions to the registration obligation in section 601ED(1) or 601ED(2) - which are the same exceptions, based on the 20 person and $2 million dollar ceilings - in section 708(3) of the Corporations Act. </w:t>
                        </w:r>
                      </w:p>
                      <w:p w:rsidR="00A429FE" w:rsidRPr="00A429FE" w:rsidRDefault="00A429FE" w:rsidP="00A429F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7130" name="Picture 17130" descr="etailed Contents">
                                <a:hlinkClick xmlns:a="http://schemas.openxmlformats.org/drawingml/2006/main" r:id="rId1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30" descr="etailed Contents">
                                        <a:hlinkClick r:id="rId102"/>
                                      </pic:cNvPr>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A429FE" w:rsidRPr="00A429FE" w:rsidRDefault="00A429FE" w:rsidP="00A429FE">
                        <w:pPr>
                          <w:rPr>
                            <w:rFonts w:ascii="Times" w:eastAsia="Times New Roman" w:hAnsi="Times" w:cs="Times New Roman"/>
                            <w:sz w:val="20"/>
                            <w:szCs w:val="20"/>
                            <w:lang w:val="en-AU"/>
                          </w:rPr>
                        </w:pPr>
                        <w:r w:rsidRPr="00A429FE">
                          <w:rPr>
                            <w:rFonts w:ascii="Times" w:eastAsia="Times New Roman" w:hAnsi="Times" w:cs="Times New Roman"/>
                            <w:sz w:val="20"/>
                            <w:szCs w:val="20"/>
                            <w:lang w:val="en-AU"/>
                          </w:rPr>
                          <w:pict>
                            <v:rect id="_x0000_i18155" style="width:0;height:1.5pt" o:hralign="center" o:hrstd="t" o:hr="t" fillcolor="#aaa" stroked="f"/>
                          </w:pict>
                        </w:r>
                      </w:p>
                      <w:p w:rsidR="00A429FE" w:rsidRPr="00A429FE" w:rsidRDefault="00A429FE" w:rsidP="00A429FE">
                        <w:pPr>
                          <w:spacing w:before="100" w:beforeAutospacing="1" w:after="100" w:afterAutospacing="1"/>
                          <w:rPr>
                            <w:rFonts w:ascii="Times" w:hAnsi="Times" w:cs="Times New Roman"/>
                            <w:sz w:val="20"/>
                            <w:szCs w:val="20"/>
                            <w:lang w:val="en-AU"/>
                          </w:rPr>
                        </w:pPr>
                        <w:bookmarkStart w:id="57" w:name="054"/>
                        <w:bookmarkEnd w:id="57"/>
                        <w:r w:rsidRPr="00A429FE">
                          <w:rPr>
                            <w:rFonts w:ascii="Times" w:hAnsi="Times" w:cs="Times New Roman"/>
                            <w:b/>
                            <w:bCs/>
                            <w:sz w:val="20"/>
                            <w:szCs w:val="20"/>
                            <w:lang w:val="en-AU"/>
                          </w:rPr>
                          <w:t xml:space="preserve">5.4 Purported redemption of redeemable preference shares void </w:t>
                        </w:r>
                        <w:r w:rsidRPr="00A429FE">
                          <w:rPr>
                            <w:rFonts w:ascii="Times" w:hAnsi="Times" w:cs="Times New Roman"/>
                            <w:b/>
                            <w:bCs/>
                            <w:sz w:val="20"/>
                            <w:szCs w:val="20"/>
                            <w:lang w:val="en-AU"/>
                          </w:rPr>
                          <w:br/>
                        </w:r>
                        <w:r w:rsidRPr="00A429FE">
                          <w:rPr>
                            <w:rFonts w:ascii="Times" w:hAnsi="Times" w:cs="Times New Roman"/>
                            <w:sz w:val="20"/>
                            <w:szCs w:val="20"/>
                            <w:lang w:val="en-AU"/>
                          </w:rPr>
                          <w:t> </w:t>
                        </w:r>
                        <w:r w:rsidRPr="00A429FE">
                          <w:rPr>
                            <w:rFonts w:ascii="Times" w:hAnsi="Times" w:cs="Times New Roman"/>
                            <w:sz w:val="20"/>
                            <w:szCs w:val="20"/>
                            <w:lang w:val="en-AU"/>
                          </w:rPr>
                          <w:br/>
                          <w:t>(By Annette Scardino, Freehills)</w:t>
                        </w:r>
                        <w:r w:rsidRPr="00A429FE">
                          <w:rPr>
                            <w:rFonts w:ascii="Times" w:hAnsi="Times" w:cs="Times New Roman"/>
                            <w:sz w:val="20"/>
                            <w:szCs w:val="20"/>
                            <w:lang w:val="en-AU"/>
                          </w:rPr>
                          <w:br/>
                          <w:t> </w:t>
                        </w:r>
                        <w:r w:rsidRPr="00A429FE">
                          <w:rPr>
                            <w:rFonts w:ascii="Times" w:hAnsi="Times" w:cs="Times New Roman"/>
                            <w:sz w:val="20"/>
                            <w:szCs w:val="20"/>
                            <w:lang w:val="en-AU"/>
                          </w:rPr>
                          <w:br/>
                          <w:t>Beck v Weinstock [2010] NSWSC 1068, New South Wales Supreme Court, Hamilton AJ, 17 September 2010</w:t>
                        </w:r>
                        <w:r w:rsidRPr="00A429FE">
                          <w:rPr>
                            <w:rFonts w:ascii="Times" w:hAnsi="Times" w:cs="Times New Roman"/>
                            <w:sz w:val="20"/>
                            <w:szCs w:val="20"/>
                            <w:lang w:val="en-AU"/>
                          </w:rPr>
                          <w:br/>
                          <w:t> </w:t>
                        </w:r>
                        <w:r w:rsidRPr="00A429FE">
                          <w:rPr>
                            <w:rFonts w:ascii="Times" w:hAnsi="Times" w:cs="Times New Roman"/>
                            <w:sz w:val="20"/>
                            <w:szCs w:val="20"/>
                            <w:lang w:val="en-AU"/>
                          </w:rPr>
                          <w:br/>
                          <w:t>The full text of this judgment is available at:</w:t>
                        </w:r>
                      </w:p>
                      <w:p w:rsidR="00A429FE" w:rsidRPr="00A429FE" w:rsidRDefault="00A429FE" w:rsidP="00A429FE">
                        <w:pPr>
                          <w:spacing w:before="100" w:beforeAutospacing="1" w:after="100" w:afterAutospacing="1"/>
                          <w:rPr>
                            <w:rFonts w:ascii="Times" w:hAnsi="Times" w:cs="Times New Roman"/>
                            <w:sz w:val="20"/>
                            <w:szCs w:val="20"/>
                            <w:lang w:val="en-AU"/>
                          </w:rPr>
                        </w:pPr>
                        <w:r w:rsidRPr="00A429FE">
                          <w:rPr>
                            <w:rFonts w:ascii="Times" w:hAnsi="Times" w:cs="Times New Roman"/>
                            <w:sz w:val="20"/>
                            <w:szCs w:val="20"/>
                            <w:lang w:val="en-AU"/>
                          </w:rPr>
                          <w:fldChar w:fldCharType="begin"/>
                        </w:r>
                        <w:r w:rsidRPr="00A429FE">
                          <w:rPr>
                            <w:rFonts w:ascii="Times" w:hAnsi="Times" w:cs="Times New Roman"/>
                            <w:sz w:val="20"/>
                            <w:szCs w:val="20"/>
                            <w:lang w:val="en-AU"/>
                          </w:rPr>
                          <w:instrText xml:space="preserve"> HYPERLINK "http://www.austlii.edu.au/au/cases/nsw/NSWSC/2010/1068.html" \t "_new" </w:instrText>
                        </w:r>
                        <w:r w:rsidRPr="00A429FE">
                          <w:rPr>
                            <w:rFonts w:ascii="Times" w:hAnsi="Times" w:cs="Times New Roman"/>
                            <w:sz w:val="20"/>
                            <w:szCs w:val="20"/>
                            <w:lang w:val="en-AU"/>
                          </w:rPr>
                        </w:r>
                        <w:r w:rsidRPr="00A429FE">
                          <w:rPr>
                            <w:rFonts w:ascii="Times" w:hAnsi="Times" w:cs="Times New Roman"/>
                            <w:sz w:val="20"/>
                            <w:szCs w:val="20"/>
                            <w:lang w:val="en-AU"/>
                          </w:rPr>
                          <w:fldChar w:fldCharType="separate"/>
                        </w:r>
                        <w:r w:rsidRPr="00A429FE">
                          <w:rPr>
                            <w:rFonts w:ascii="Times" w:hAnsi="Times" w:cs="Times New Roman"/>
                            <w:color w:val="0000FF"/>
                            <w:sz w:val="20"/>
                            <w:szCs w:val="20"/>
                            <w:u w:val="single"/>
                            <w:lang w:val="en-AU"/>
                          </w:rPr>
                          <w:t>http://www.austlii.edu.au/au/cases/nsw/NSWSC/2010/1068.html</w:t>
                        </w:r>
                        <w:r w:rsidRPr="00A429FE">
                          <w:rPr>
                            <w:rFonts w:ascii="Times" w:hAnsi="Times" w:cs="Times New Roman"/>
                            <w:sz w:val="20"/>
                            <w:szCs w:val="20"/>
                            <w:lang w:val="en-AU"/>
                          </w:rPr>
                          <w:fldChar w:fldCharType="end"/>
                        </w:r>
                        <w:r w:rsidRPr="00A429FE">
                          <w:rPr>
                            <w:rFonts w:ascii="Times" w:hAnsi="Times" w:cs="Times New Roman"/>
                            <w:sz w:val="20"/>
                            <w:szCs w:val="20"/>
                            <w:lang w:val="en-AU"/>
                          </w:rPr>
                          <w:t xml:space="preserve">  </w:t>
                        </w:r>
                        <w:r w:rsidRPr="00A429FE">
                          <w:rPr>
                            <w:rFonts w:ascii="Times" w:hAnsi="Times" w:cs="Times New Roman"/>
                            <w:sz w:val="20"/>
                            <w:szCs w:val="20"/>
                            <w:lang w:val="en-AU"/>
                          </w:rPr>
                          <w:br/>
                          <w:t> </w:t>
                        </w:r>
                        <w:r w:rsidRPr="00A429FE">
                          <w:rPr>
                            <w:rFonts w:ascii="Times" w:hAnsi="Times" w:cs="Times New Roman"/>
                            <w:sz w:val="20"/>
                            <w:szCs w:val="20"/>
                            <w:lang w:val="en-AU"/>
                          </w:rPr>
                          <w:br/>
                        </w:r>
                        <w:r w:rsidRPr="00A429FE">
                          <w:rPr>
                            <w:rFonts w:ascii="Times" w:hAnsi="Times" w:cs="Times New Roman"/>
                            <w:b/>
                            <w:bCs/>
                            <w:sz w:val="20"/>
                            <w:szCs w:val="20"/>
                            <w:lang w:val="en-AU"/>
                          </w:rPr>
                          <w:t>(a) Summary</w:t>
                        </w:r>
                        <w:r w:rsidRPr="00A429FE">
                          <w:rPr>
                            <w:rFonts w:ascii="Times" w:hAnsi="Times" w:cs="Times New Roman"/>
                            <w:b/>
                            <w:bCs/>
                            <w:sz w:val="20"/>
                            <w:szCs w:val="20"/>
                            <w:lang w:val="en-AU"/>
                          </w:rPr>
                          <w:br/>
                        </w:r>
                        <w:r w:rsidRPr="00A429FE">
                          <w:rPr>
                            <w:rFonts w:ascii="Times" w:hAnsi="Times" w:cs="Times New Roman"/>
                            <w:sz w:val="20"/>
                            <w:szCs w:val="20"/>
                            <w:lang w:val="en-AU"/>
                          </w:rPr>
                          <w:t> </w:t>
                        </w:r>
                        <w:r w:rsidRPr="00A429FE">
                          <w:rPr>
                            <w:rFonts w:ascii="Times" w:hAnsi="Times" w:cs="Times New Roman"/>
                            <w:sz w:val="20"/>
                            <w:szCs w:val="20"/>
                            <w:lang w:val="en-AU"/>
                          </w:rPr>
                          <w:br/>
                          <w:t>The case concerns the purported redemption of C Class Redeemable Preference Shares ("C Class Shares") in LW Furniture Consolidated (Aust) Pty Limited ("the Company").</w:t>
                        </w:r>
                        <w:r w:rsidRPr="00A429FE">
                          <w:rPr>
                            <w:rFonts w:ascii="Times" w:hAnsi="Times" w:cs="Times New Roman"/>
                            <w:sz w:val="20"/>
                            <w:szCs w:val="20"/>
                            <w:lang w:val="en-AU"/>
                          </w:rPr>
                          <w:br/>
                          <w:t> </w:t>
                        </w:r>
                        <w:r w:rsidRPr="00A429FE">
                          <w:rPr>
                            <w:rFonts w:ascii="Times" w:hAnsi="Times" w:cs="Times New Roman"/>
                            <w:sz w:val="20"/>
                            <w:szCs w:val="20"/>
                            <w:lang w:val="en-AU"/>
                          </w:rPr>
                          <w:br/>
                          <w:t>The constitution of the Company provides that the C Class Shares have a preference over ordinary shares as to the return of capital, but not as to dividends. No ordinary shares in the Company have ever been issued.</w:t>
                        </w:r>
                        <w:r w:rsidRPr="00A429FE">
                          <w:rPr>
                            <w:rFonts w:ascii="Times" w:hAnsi="Times" w:cs="Times New Roman"/>
                            <w:sz w:val="20"/>
                            <w:szCs w:val="20"/>
                            <w:lang w:val="en-AU"/>
                          </w:rPr>
                          <w:br/>
                          <w:t> </w:t>
                        </w:r>
                        <w:r w:rsidRPr="00A429FE">
                          <w:rPr>
                            <w:rFonts w:ascii="Times" w:hAnsi="Times" w:cs="Times New Roman"/>
                            <w:sz w:val="20"/>
                            <w:szCs w:val="20"/>
                            <w:lang w:val="en-AU"/>
                          </w:rPr>
                          <w:br/>
                          <w:t xml:space="preserve">Hamilton JA found in interpreting section 254A(2) of the </w:t>
                        </w:r>
                        <w:r w:rsidRPr="00A429FE">
                          <w:rPr>
                            <w:rFonts w:ascii="Times" w:hAnsi="Times" w:cs="Times New Roman"/>
                            <w:sz w:val="20"/>
                            <w:szCs w:val="20"/>
                            <w:lang w:val="en-AU"/>
                          </w:rPr>
                          <w:fldChar w:fldCharType="begin"/>
                        </w:r>
                        <w:r w:rsidRPr="00A429FE">
                          <w:rPr>
                            <w:rFonts w:ascii="Times" w:hAnsi="Times" w:cs="Times New Roman"/>
                            <w:sz w:val="20"/>
                            <w:szCs w:val="20"/>
                            <w:lang w:val="en-AU"/>
                          </w:rPr>
                          <w:instrText xml:space="preserve"> HYPERLINK "http://my.lawlex.com.au/index.asp?pact=coredoc&amp;nav=col&amp;cid=56482" \t "Default" </w:instrText>
                        </w:r>
                        <w:r w:rsidRPr="00A429FE">
                          <w:rPr>
                            <w:rFonts w:ascii="Times" w:hAnsi="Times" w:cs="Times New Roman"/>
                            <w:sz w:val="20"/>
                            <w:szCs w:val="20"/>
                            <w:lang w:val="en-AU"/>
                          </w:rPr>
                        </w:r>
                        <w:r w:rsidRPr="00A429FE">
                          <w:rPr>
                            <w:rFonts w:ascii="Times" w:hAnsi="Times" w:cs="Times New Roman"/>
                            <w:sz w:val="20"/>
                            <w:szCs w:val="20"/>
                            <w:lang w:val="en-AU"/>
                          </w:rPr>
                          <w:fldChar w:fldCharType="separate"/>
                        </w:r>
                        <w:r w:rsidRPr="00A429FE">
                          <w:rPr>
                            <w:rFonts w:ascii="Times" w:hAnsi="Times" w:cs="Times New Roman"/>
                            <w:color w:val="0000FF"/>
                            <w:sz w:val="20"/>
                            <w:szCs w:val="20"/>
                            <w:u w:val="single"/>
                            <w:lang w:val="en-AU"/>
                          </w:rPr>
                          <w:t>Corporations Act 2001 (Cth)</w:t>
                        </w:r>
                        <w:r w:rsidRPr="00A429FE">
                          <w:rPr>
                            <w:rFonts w:ascii="Times" w:hAnsi="Times" w:cs="Times New Roman"/>
                            <w:sz w:val="20"/>
                            <w:szCs w:val="20"/>
                            <w:lang w:val="en-AU"/>
                          </w:rPr>
                          <w:fldChar w:fldCharType="end"/>
                        </w:r>
                        <w:r w:rsidRPr="00A429FE">
                          <w:rPr>
                            <w:rFonts w:ascii="Times" w:hAnsi="Times" w:cs="Times New Roman"/>
                            <w:sz w:val="20"/>
                            <w:szCs w:val="20"/>
                            <w:lang w:val="en-AU"/>
                          </w:rPr>
                          <w:t xml:space="preserve"> ("the Act") (which is the same in substance as the relevant provision that applied at the time of the issue of the C Class Shares) that there was not any indication that there must be a preference as to both payment of capital and dividends for a share to be a preference share. Hamilton JA also found that preference shares cannot be created unless there are on issue at the time shares over which they have a preference.</w:t>
                        </w:r>
                        <w:r w:rsidRPr="00A429FE">
                          <w:rPr>
                            <w:rFonts w:ascii="Times" w:hAnsi="Times" w:cs="Times New Roman"/>
                            <w:sz w:val="20"/>
                            <w:szCs w:val="20"/>
                            <w:lang w:val="en-AU"/>
                          </w:rPr>
                          <w:br/>
                          <w:t> </w:t>
                        </w:r>
                        <w:r w:rsidRPr="00A429FE">
                          <w:rPr>
                            <w:rFonts w:ascii="Times" w:hAnsi="Times" w:cs="Times New Roman"/>
                            <w:sz w:val="20"/>
                            <w:szCs w:val="20"/>
                            <w:lang w:val="en-AU"/>
                          </w:rPr>
                          <w:br/>
                          <w:t xml:space="preserve">Hamilton JA held that the C Class Shares do not fail to be preference shares because they have preferential rights in relation to repayment of capital only. However, the C Class Shares were not validly issued as redeemable preference shares, as at the time of issue of the C Class Shares there were no ordinary shares in the Company on issue over which they had preference. The purported redemption of the C Class Shares by the Company was not valid. </w:t>
                        </w:r>
                        <w:r w:rsidRPr="00A429FE">
                          <w:rPr>
                            <w:rFonts w:ascii="Times" w:hAnsi="Times" w:cs="Times New Roman"/>
                            <w:sz w:val="20"/>
                            <w:szCs w:val="20"/>
                            <w:lang w:val="en-AU"/>
                          </w:rPr>
                          <w:br/>
                          <w:t> </w:t>
                        </w:r>
                        <w:r w:rsidRPr="00A429FE">
                          <w:rPr>
                            <w:rFonts w:ascii="Times" w:hAnsi="Times" w:cs="Times New Roman"/>
                            <w:sz w:val="20"/>
                            <w:szCs w:val="20"/>
                            <w:lang w:val="en-AU"/>
                          </w:rPr>
                          <w:br/>
                        </w:r>
                        <w:r w:rsidRPr="00A429FE">
                          <w:rPr>
                            <w:rFonts w:ascii="Times" w:hAnsi="Times" w:cs="Times New Roman"/>
                            <w:b/>
                            <w:bCs/>
                            <w:sz w:val="20"/>
                            <w:szCs w:val="20"/>
                            <w:lang w:val="en-AU"/>
                          </w:rPr>
                          <w:t xml:space="preserve">(b) Facts   </w:t>
                        </w:r>
                        <w:r w:rsidRPr="00A429FE">
                          <w:rPr>
                            <w:rFonts w:ascii="Times" w:hAnsi="Times" w:cs="Times New Roman"/>
                            <w:b/>
                            <w:bCs/>
                            <w:sz w:val="20"/>
                            <w:szCs w:val="20"/>
                            <w:lang w:val="en-AU"/>
                          </w:rPr>
                          <w:br/>
                        </w:r>
                        <w:r w:rsidRPr="00A429FE">
                          <w:rPr>
                            <w:rFonts w:ascii="Times" w:hAnsi="Times" w:cs="Times New Roman"/>
                            <w:sz w:val="20"/>
                            <w:szCs w:val="20"/>
                            <w:lang w:val="en-AU"/>
                          </w:rPr>
                          <w:t> </w:t>
                        </w:r>
                        <w:r w:rsidRPr="00A429FE">
                          <w:rPr>
                            <w:rFonts w:ascii="Times" w:hAnsi="Times" w:cs="Times New Roman"/>
                            <w:sz w:val="20"/>
                            <w:szCs w:val="20"/>
                            <w:lang w:val="en-AU"/>
                          </w:rPr>
                          <w:br/>
                          <w:t>The proceedings concern the purported redemption of 8 C Class Shares in the Company. The constitution of the Company provides that the C Class Shares have a preference over ordinary shares as to the return of capital, but not as to dividends. No ordinary shares in the Company have ever been issued.</w:t>
                        </w:r>
                        <w:r w:rsidRPr="00A429FE">
                          <w:rPr>
                            <w:rFonts w:ascii="Times" w:hAnsi="Times" w:cs="Times New Roman"/>
                            <w:sz w:val="20"/>
                            <w:szCs w:val="20"/>
                            <w:lang w:val="en-AU"/>
                          </w:rPr>
                          <w:br/>
                          <w:t> </w:t>
                        </w:r>
                        <w:r w:rsidRPr="00A429FE">
                          <w:rPr>
                            <w:rFonts w:ascii="Times" w:hAnsi="Times" w:cs="Times New Roman"/>
                            <w:sz w:val="20"/>
                            <w:szCs w:val="20"/>
                            <w:lang w:val="en-AU"/>
                          </w:rPr>
                          <w:br/>
                          <w:t xml:space="preserve">The relevant statutory provision that applied at the time of issue of the C Class Shares was section 66(1) of the </w:t>
                        </w:r>
                        <w:r w:rsidRPr="00A429FE">
                          <w:rPr>
                            <w:rFonts w:ascii="Times" w:hAnsi="Times" w:cs="Times New Roman"/>
                            <w:i/>
                            <w:iCs/>
                            <w:sz w:val="20"/>
                            <w:szCs w:val="20"/>
                            <w:lang w:val="en-AU"/>
                          </w:rPr>
                          <w:t>Companies Act 1961</w:t>
                        </w:r>
                        <w:r w:rsidRPr="00A429FE">
                          <w:rPr>
                            <w:rFonts w:ascii="Times" w:hAnsi="Times" w:cs="Times New Roman"/>
                            <w:sz w:val="20"/>
                            <w:szCs w:val="20"/>
                            <w:lang w:val="en-AU"/>
                          </w:rPr>
                          <w:t>, which is the same in substance as section 254A(2) of the Act. Section 254A(2) of the Act provides that a company can issue preference shares only if rights attached to the preference shares are set out in the company's constitution or approved by special resolution of the company. The rights which must be specified include, amongst other things, priority of payment of capital and dividends in relation to other shares or classes of preference shares.</w:t>
                        </w:r>
                        <w:r w:rsidRPr="00A429FE">
                          <w:rPr>
                            <w:rFonts w:ascii="Times" w:hAnsi="Times" w:cs="Times New Roman"/>
                            <w:sz w:val="20"/>
                            <w:szCs w:val="20"/>
                            <w:lang w:val="en-AU"/>
                          </w:rPr>
                          <w:br/>
                          <w:t> </w:t>
                        </w:r>
                        <w:r w:rsidRPr="00A429FE">
                          <w:rPr>
                            <w:rFonts w:ascii="Times" w:hAnsi="Times" w:cs="Times New Roman"/>
                            <w:sz w:val="20"/>
                            <w:szCs w:val="20"/>
                            <w:lang w:val="en-AU"/>
                          </w:rPr>
                          <w:br/>
                          <w:t>The primary issues before the Court were whether the C Class Shares were redeemable preference shares within the meaning of the Act, and whether the purported redemption of the C Class Shares was valid.</w:t>
                        </w:r>
                        <w:r w:rsidRPr="00A429FE">
                          <w:rPr>
                            <w:rFonts w:ascii="Times" w:hAnsi="Times" w:cs="Times New Roman"/>
                            <w:sz w:val="20"/>
                            <w:szCs w:val="20"/>
                            <w:lang w:val="en-AU"/>
                          </w:rPr>
                          <w:br/>
                          <w:t> </w:t>
                        </w:r>
                        <w:r w:rsidRPr="00A429FE">
                          <w:rPr>
                            <w:rFonts w:ascii="Times" w:hAnsi="Times" w:cs="Times New Roman"/>
                            <w:sz w:val="20"/>
                            <w:szCs w:val="20"/>
                            <w:lang w:val="en-AU"/>
                          </w:rPr>
                          <w:br/>
                        </w:r>
                        <w:r w:rsidRPr="00A429FE">
                          <w:rPr>
                            <w:rFonts w:ascii="Times" w:hAnsi="Times" w:cs="Times New Roman"/>
                            <w:b/>
                            <w:bCs/>
                            <w:sz w:val="20"/>
                            <w:szCs w:val="20"/>
                            <w:lang w:val="en-AU"/>
                          </w:rPr>
                          <w:t xml:space="preserve">(c) Decision  </w:t>
                        </w:r>
                        <w:r w:rsidRPr="00A429FE">
                          <w:rPr>
                            <w:rFonts w:ascii="Times" w:hAnsi="Times" w:cs="Times New Roman"/>
                            <w:b/>
                            <w:bCs/>
                            <w:sz w:val="20"/>
                            <w:szCs w:val="20"/>
                            <w:lang w:val="en-AU"/>
                          </w:rPr>
                          <w:br/>
                        </w:r>
                        <w:r w:rsidRPr="00A429FE">
                          <w:rPr>
                            <w:rFonts w:ascii="Times" w:hAnsi="Times" w:cs="Times New Roman"/>
                            <w:sz w:val="20"/>
                            <w:szCs w:val="20"/>
                            <w:lang w:val="en-AU"/>
                          </w:rPr>
                          <w:t> </w:t>
                        </w:r>
                        <w:r w:rsidRPr="00A429FE">
                          <w:rPr>
                            <w:rFonts w:ascii="Times" w:hAnsi="Times" w:cs="Times New Roman"/>
                            <w:sz w:val="20"/>
                            <w:szCs w:val="20"/>
                            <w:lang w:val="en-AU"/>
                          </w:rPr>
                          <w:br/>
                          <w:t>One argument was that the C Class Shares were not redeemable preference shares as preference shares must be given a preference both as to repayment of capital and as to dividends. In interpreting section 254A(2) of the Act, Hamilton JA found that section 254A(2) of the Act does not provide any 'real indication' that there must be a preference in respect of both payment of capital and dividends for a share to be a preference share. Hamilton JA held that the C Class Shares do not fail to be preference shares because they have preferential rights in respect of repayment of capital only.</w:t>
                        </w:r>
                        <w:r w:rsidRPr="00A429FE">
                          <w:rPr>
                            <w:rFonts w:ascii="Times" w:hAnsi="Times" w:cs="Times New Roman"/>
                            <w:sz w:val="20"/>
                            <w:szCs w:val="20"/>
                            <w:lang w:val="en-AU"/>
                          </w:rPr>
                          <w:br/>
                          <w:t> </w:t>
                        </w:r>
                        <w:r w:rsidRPr="00A429FE">
                          <w:rPr>
                            <w:rFonts w:ascii="Times" w:hAnsi="Times" w:cs="Times New Roman"/>
                            <w:sz w:val="20"/>
                            <w:szCs w:val="20"/>
                            <w:lang w:val="en-AU"/>
                          </w:rPr>
                          <w:br/>
                          <w:t xml:space="preserve">Another argument was that the C Class Shares fail to be preference shares because the preference that they were given were over unissued ordinary shares. The argument was that the preference given must be over issued shares, as a differentiation from unissued shares is not sufficient. Hamilton JA, in referring to the judgment of Barrett J in Re Capel Finance Ltd (2005) 52 ACSR 601, took the view that preference shares cannot be created unless there is on issue, at the time the preference shares were issued, another class of shares over which the shares have a preference in some regard. Hamilton JA held that the C Class Shares were not validly issued as redeemable preference shares and their purported redemption by the Company was not valid. </w:t>
                        </w:r>
                      </w:p>
                      <w:p w:rsidR="00A429FE" w:rsidRPr="00A429FE" w:rsidRDefault="00A429FE" w:rsidP="00A429F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7132" name="Picture 17132" descr="etailed Contents">
                                <a:hlinkClick xmlns:a="http://schemas.openxmlformats.org/drawingml/2006/main" r:id="rId1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32" descr="etailed Contents">
                                        <a:hlinkClick r:id="rId102"/>
                                      </pic:cNvPr>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A429FE" w:rsidRPr="00A429FE" w:rsidRDefault="00A429FE" w:rsidP="00A429FE">
                        <w:pPr>
                          <w:rPr>
                            <w:rFonts w:ascii="Times" w:eastAsia="Times New Roman" w:hAnsi="Times" w:cs="Times New Roman"/>
                            <w:sz w:val="20"/>
                            <w:szCs w:val="20"/>
                            <w:lang w:val="en-AU"/>
                          </w:rPr>
                        </w:pPr>
                        <w:r w:rsidRPr="00A429FE">
                          <w:rPr>
                            <w:rFonts w:ascii="Times" w:eastAsia="Times New Roman" w:hAnsi="Times" w:cs="Times New Roman"/>
                            <w:sz w:val="20"/>
                            <w:szCs w:val="20"/>
                            <w:lang w:val="en-AU"/>
                          </w:rPr>
                          <w:pict>
                            <v:rect id="_x0000_i18157" style="width:0;height:1.5pt" o:hralign="center" o:hrstd="t" o:hr="t" fillcolor="#aaa" stroked="f"/>
                          </w:pict>
                        </w:r>
                      </w:p>
                      <w:p w:rsidR="00A429FE" w:rsidRPr="00A429FE" w:rsidRDefault="00A429FE" w:rsidP="00A429FE">
                        <w:pPr>
                          <w:spacing w:before="100" w:beforeAutospacing="1" w:after="100" w:afterAutospacing="1"/>
                          <w:rPr>
                            <w:rFonts w:ascii="Times" w:hAnsi="Times" w:cs="Times New Roman"/>
                            <w:sz w:val="20"/>
                            <w:szCs w:val="20"/>
                            <w:lang w:val="en-AU"/>
                          </w:rPr>
                        </w:pPr>
                        <w:bookmarkStart w:id="58" w:name="055"/>
                        <w:bookmarkEnd w:id="58"/>
                        <w:r w:rsidRPr="00A429FE">
                          <w:rPr>
                            <w:rFonts w:ascii="Times" w:hAnsi="Times" w:cs="Times New Roman"/>
                            <w:b/>
                            <w:bCs/>
                            <w:sz w:val="20"/>
                            <w:szCs w:val="20"/>
                            <w:lang w:val="en-AU"/>
                          </w:rPr>
                          <w:t>5.5 A deed indeed</w:t>
                        </w:r>
                        <w:r w:rsidRPr="00A429FE">
                          <w:rPr>
                            <w:rFonts w:ascii="Times" w:hAnsi="Times" w:cs="Times New Roman"/>
                            <w:b/>
                            <w:bCs/>
                            <w:sz w:val="20"/>
                            <w:szCs w:val="20"/>
                            <w:lang w:val="en-AU"/>
                          </w:rPr>
                          <w:br/>
                        </w:r>
                        <w:r w:rsidRPr="00A429FE">
                          <w:rPr>
                            <w:rFonts w:ascii="Times" w:hAnsi="Times" w:cs="Times New Roman"/>
                            <w:sz w:val="20"/>
                            <w:szCs w:val="20"/>
                            <w:lang w:val="en-AU"/>
                          </w:rPr>
                          <w:br/>
                          <w:t>(By Marc Fauvrelle, Mallesons Stephen Jaques)</w:t>
                        </w:r>
                        <w:r w:rsidRPr="00A429FE">
                          <w:rPr>
                            <w:rFonts w:ascii="Times" w:hAnsi="Times" w:cs="Times New Roman"/>
                            <w:sz w:val="20"/>
                            <w:szCs w:val="20"/>
                            <w:lang w:val="en-AU"/>
                          </w:rPr>
                          <w:br/>
                          <w:t> </w:t>
                        </w:r>
                        <w:r w:rsidRPr="00A429FE">
                          <w:rPr>
                            <w:rFonts w:ascii="Times" w:hAnsi="Times" w:cs="Times New Roman"/>
                            <w:sz w:val="20"/>
                            <w:szCs w:val="20"/>
                            <w:lang w:val="en-AU"/>
                          </w:rPr>
                          <w:br/>
                          <w:t>400 George Street (Qld) Pty Limited v BG International Limited [2010] QCA 245, Queensland Court of Appeal, Muir and Fraser JJA and Mullins J, 10 September 2010</w:t>
                        </w:r>
                        <w:r w:rsidRPr="00A429FE">
                          <w:rPr>
                            <w:rFonts w:ascii="Times" w:hAnsi="Times" w:cs="Times New Roman"/>
                            <w:sz w:val="20"/>
                            <w:szCs w:val="20"/>
                            <w:lang w:val="en-AU"/>
                          </w:rPr>
                          <w:br/>
                          <w:t> </w:t>
                        </w:r>
                        <w:r w:rsidRPr="00A429FE">
                          <w:rPr>
                            <w:rFonts w:ascii="Times" w:hAnsi="Times" w:cs="Times New Roman"/>
                            <w:sz w:val="20"/>
                            <w:szCs w:val="20"/>
                            <w:lang w:val="en-AU"/>
                          </w:rPr>
                          <w:br/>
                          <w:t>The full text of this judgment is available at:</w:t>
                        </w:r>
                      </w:p>
                      <w:p w:rsidR="00A429FE" w:rsidRPr="00A429FE" w:rsidRDefault="00A429FE" w:rsidP="00A429FE">
                        <w:pPr>
                          <w:spacing w:before="100" w:beforeAutospacing="1" w:after="100" w:afterAutospacing="1"/>
                          <w:rPr>
                            <w:rFonts w:ascii="Times" w:hAnsi="Times" w:cs="Times New Roman"/>
                            <w:sz w:val="20"/>
                            <w:szCs w:val="20"/>
                            <w:lang w:val="en-AU"/>
                          </w:rPr>
                        </w:pPr>
                        <w:r w:rsidRPr="00A429FE">
                          <w:rPr>
                            <w:rFonts w:ascii="Times" w:hAnsi="Times" w:cs="Times New Roman"/>
                            <w:sz w:val="20"/>
                            <w:szCs w:val="20"/>
                            <w:lang w:val="en-AU"/>
                          </w:rPr>
                          <w:fldChar w:fldCharType="begin"/>
                        </w:r>
                        <w:r w:rsidRPr="00A429FE">
                          <w:rPr>
                            <w:rFonts w:ascii="Times" w:hAnsi="Times" w:cs="Times New Roman"/>
                            <w:sz w:val="20"/>
                            <w:szCs w:val="20"/>
                            <w:lang w:val="en-AU"/>
                          </w:rPr>
                          <w:instrText xml:space="preserve"> HYPERLINK "http://www.austlii.edu.au/au/cases/qld/QCA/2010/245.html" \t "_new" </w:instrText>
                        </w:r>
                        <w:r w:rsidRPr="00A429FE">
                          <w:rPr>
                            <w:rFonts w:ascii="Times" w:hAnsi="Times" w:cs="Times New Roman"/>
                            <w:sz w:val="20"/>
                            <w:szCs w:val="20"/>
                            <w:lang w:val="en-AU"/>
                          </w:rPr>
                        </w:r>
                        <w:r w:rsidRPr="00A429FE">
                          <w:rPr>
                            <w:rFonts w:ascii="Times" w:hAnsi="Times" w:cs="Times New Roman"/>
                            <w:sz w:val="20"/>
                            <w:szCs w:val="20"/>
                            <w:lang w:val="en-AU"/>
                          </w:rPr>
                          <w:fldChar w:fldCharType="separate"/>
                        </w:r>
                        <w:r w:rsidRPr="00A429FE">
                          <w:rPr>
                            <w:rFonts w:ascii="Times" w:hAnsi="Times" w:cs="Times New Roman"/>
                            <w:color w:val="0000FF"/>
                            <w:sz w:val="20"/>
                            <w:szCs w:val="20"/>
                            <w:u w:val="single"/>
                            <w:lang w:val="en-AU"/>
                          </w:rPr>
                          <w:t>http://www.austlii.edu.au/au/cases/qld/QCA/2010/245.html</w:t>
                        </w:r>
                        <w:r w:rsidRPr="00A429FE">
                          <w:rPr>
                            <w:rFonts w:ascii="Times" w:hAnsi="Times" w:cs="Times New Roman"/>
                            <w:sz w:val="20"/>
                            <w:szCs w:val="20"/>
                            <w:lang w:val="en-AU"/>
                          </w:rPr>
                          <w:fldChar w:fldCharType="end"/>
                        </w:r>
                        <w:r w:rsidRPr="00A429FE">
                          <w:rPr>
                            <w:rFonts w:ascii="Times" w:hAnsi="Times" w:cs="Times New Roman"/>
                            <w:sz w:val="20"/>
                            <w:szCs w:val="20"/>
                            <w:lang w:val="en-AU"/>
                          </w:rPr>
                          <w:br/>
                          <w:t> </w:t>
                        </w:r>
                        <w:r w:rsidRPr="00A429FE">
                          <w:rPr>
                            <w:rFonts w:ascii="Times" w:hAnsi="Times" w:cs="Times New Roman"/>
                            <w:sz w:val="20"/>
                            <w:szCs w:val="20"/>
                            <w:lang w:val="en-AU"/>
                          </w:rPr>
                          <w:br/>
                        </w:r>
                        <w:r w:rsidRPr="00A429FE">
                          <w:rPr>
                            <w:rFonts w:ascii="Times" w:hAnsi="Times" w:cs="Times New Roman"/>
                            <w:b/>
                            <w:bCs/>
                            <w:sz w:val="20"/>
                            <w:szCs w:val="20"/>
                            <w:lang w:val="en-AU"/>
                          </w:rPr>
                          <w:t>(a) Summary</w:t>
                        </w:r>
                        <w:r w:rsidRPr="00A429FE">
                          <w:rPr>
                            <w:rFonts w:ascii="Times" w:hAnsi="Times" w:cs="Times New Roman"/>
                            <w:b/>
                            <w:bCs/>
                            <w:sz w:val="20"/>
                            <w:szCs w:val="20"/>
                            <w:lang w:val="en-AU"/>
                          </w:rPr>
                          <w:br/>
                        </w:r>
                        <w:r w:rsidRPr="00A429FE">
                          <w:rPr>
                            <w:rFonts w:ascii="Times" w:hAnsi="Times" w:cs="Times New Roman"/>
                            <w:sz w:val="20"/>
                            <w:szCs w:val="20"/>
                            <w:lang w:val="en-AU"/>
                          </w:rPr>
                          <w:t> </w:t>
                        </w:r>
                        <w:r w:rsidRPr="00A429FE">
                          <w:rPr>
                            <w:rFonts w:ascii="Times" w:hAnsi="Times" w:cs="Times New Roman"/>
                            <w:sz w:val="20"/>
                            <w:szCs w:val="20"/>
                            <w:lang w:val="en-AU"/>
                          </w:rPr>
                          <w:br/>
                          <w:t>In this decision the Queensland Court of Appeal considered whether a document that was ambiguously expressed should be treated as a contract or a deed and, if it was a deed, whether it had been properly delivered by and was therefore binding on the executing party.</w:t>
                        </w:r>
                        <w:r w:rsidRPr="00A429FE">
                          <w:rPr>
                            <w:rFonts w:ascii="Times" w:hAnsi="Times" w:cs="Times New Roman"/>
                            <w:sz w:val="20"/>
                            <w:szCs w:val="20"/>
                            <w:lang w:val="en-AU"/>
                          </w:rPr>
                          <w:br/>
                          <w:t> </w:t>
                        </w:r>
                        <w:r w:rsidRPr="00A429FE">
                          <w:rPr>
                            <w:rFonts w:ascii="Times" w:hAnsi="Times" w:cs="Times New Roman"/>
                            <w:sz w:val="20"/>
                            <w:szCs w:val="20"/>
                            <w:lang w:val="en-AU"/>
                          </w:rPr>
                          <w:br/>
                          <w:t>The court said that the "conventional canons" of contractual interpretation must be applied to determine whether a document is a contract or a deed.  It is a matter of objectively determining whether the parties intended that the document take effect as a deed.  If a document is "executed as a deed" and "signed, sealed and delivered" this is likely to outweigh other factors.  A deed will not be delivered and binding on execution unless that is the intention of the executing party.</w:t>
                        </w:r>
                        <w:r w:rsidRPr="00A429FE">
                          <w:rPr>
                            <w:rFonts w:ascii="Times" w:hAnsi="Times" w:cs="Times New Roman"/>
                            <w:sz w:val="20"/>
                            <w:szCs w:val="20"/>
                            <w:lang w:val="en-AU"/>
                          </w:rPr>
                          <w:br/>
                          <w:t> </w:t>
                        </w:r>
                        <w:r w:rsidRPr="00A429FE">
                          <w:rPr>
                            <w:rFonts w:ascii="Times" w:hAnsi="Times" w:cs="Times New Roman"/>
                            <w:sz w:val="20"/>
                            <w:szCs w:val="20"/>
                            <w:lang w:val="en-AU"/>
                          </w:rPr>
                          <w:br/>
                        </w:r>
                        <w:r w:rsidRPr="00A429FE">
                          <w:rPr>
                            <w:rFonts w:ascii="Times" w:hAnsi="Times" w:cs="Times New Roman"/>
                            <w:b/>
                            <w:bCs/>
                            <w:sz w:val="20"/>
                            <w:szCs w:val="20"/>
                            <w:lang w:val="en-AU"/>
                          </w:rPr>
                          <w:t xml:space="preserve">(b) Facts   </w:t>
                        </w:r>
                        <w:r w:rsidRPr="00A429FE">
                          <w:rPr>
                            <w:rFonts w:ascii="Times" w:hAnsi="Times" w:cs="Times New Roman"/>
                            <w:b/>
                            <w:bCs/>
                            <w:sz w:val="20"/>
                            <w:szCs w:val="20"/>
                            <w:lang w:val="en-AU"/>
                          </w:rPr>
                          <w:br/>
                        </w:r>
                        <w:r w:rsidRPr="00A429FE">
                          <w:rPr>
                            <w:rFonts w:ascii="Times" w:hAnsi="Times" w:cs="Times New Roman"/>
                            <w:sz w:val="20"/>
                            <w:szCs w:val="20"/>
                            <w:lang w:val="en-AU"/>
                          </w:rPr>
                          <w:t> </w:t>
                        </w:r>
                        <w:r w:rsidRPr="00A429FE">
                          <w:rPr>
                            <w:rFonts w:ascii="Times" w:hAnsi="Times" w:cs="Times New Roman"/>
                            <w:sz w:val="20"/>
                            <w:szCs w:val="20"/>
                            <w:lang w:val="en-AU"/>
                          </w:rPr>
                          <w:br/>
                          <w:t>These proceedings were an appeal against a decision by McMurdo J in the Queensland Supreme Court.  The respondent, BG International Limited ("BG") was a prospective tenant in a building to be developed by the appellants.  The parties negotiated a document that was titled "agreement for lease" ("AFL") but also indicated that it was to be "executed as a deed".  The solicitors of the appellants sent the unexecuted AFL to BG's solicitors.  BG executed and returned the AFL, but purported to withdraw from the deal before all the appellants had executed the document.</w:t>
                        </w:r>
                        <w:r w:rsidRPr="00A429FE">
                          <w:rPr>
                            <w:rFonts w:ascii="Times" w:hAnsi="Times" w:cs="Times New Roman"/>
                            <w:sz w:val="20"/>
                            <w:szCs w:val="20"/>
                            <w:lang w:val="en-AU"/>
                          </w:rPr>
                          <w:br/>
                          <w:t> </w:t>
                        </w:r>
                        <w:r w:rsidRPr="00A429FE">
                          <w:rPr>
                            <w:rFonts w:ascii="Times" w:hAnsi="Times" w:cs="Times New Roman"/>
                            <w:sz w:val="20"/>
                            <w:szCs w:val="20"/>
                            <w:lang w:val="en-AU"/>
                          </w:rPr>
                          <w:br/>
                          <w:t>At trial the appellants made two alternative claims. Firstly, the appellants claimed that in executing the AFL BG had accepted the appellants' offer to contract and such acceptance could not be withdrawn.  Alternatively, the appellants argued that the AFL was a deed and, as such, BG was bound by the document on execution.</w:t>
                        </w:r>
                        <w:r w:rsidRPr="00A429FE">
                          <w:rPr>
                            <w:rFonts w:ascii="Times" w:hAnsi="Times" w:cs="Times New Roman"/>
                            <w:sz w:val="20"/>
                            <w:szCs w:val="20"/>
                            <w:lang w:val="en-AU"/>
                          </w:rPr>
                          <w:br/>
                          <w:t> </w:t>
                        </w:r>
                        <w:r w:rsidRPr="00A429FE">
                          <w:rPr>
                            <w:rFonts w:ascii="Times" w:hAnsi="Times" w:cs="Times New Roman"/>
                            <w:sz w:val="20"/>
                            <w:szCs w:val="20"/>
                            <w:lang w:val="en-AU"/>
                          </w:rPr>
                          <w:br/>
                          <w:t>McMurdo J dismissed the contractual argument on the basis that there was no offer capable of acceptance.  If it were otherwise, execution by the appellants would have been unnecessary.  Furthermore, the contract would have been made by the solicitors, rather than the parties themselves, and there was no evidence that the solicitors had authority to do so.  McMurdo J also dismissed the argument that the AFL was a deed, saying that the execution language was a "mere surplusage" that was outweighed by the title and other language used in the body of the document (particularly the mutual exchange of promises as consideration), which indicated that it was intended to be a contract.</w:t>
                        </w:r>
                        <w:r w:rsidRPr="00A429FE">
                          <w:rPr>
                            <w:rFonts w:ascii="Times" w:hAnsi="Times" w:cs="Times New Roman"/>
                            <w:sz w:val="20"/>
                            <w:szCs w:val="20"/>
                            <w:lang w:val="en-AU"/>
                          </w:rPr>
                          <w:br/>
                          <w:t> </w:t>
                        </w:r>
                        <w:r w:rsidRPr="00A429FE">
                          <w:rPr>
                            <w:rFonts w:ascii="Times" w:hAnsi="Times" w:cs="Times New Roman"/>
                            <w:sz w:val="20"/>
                            <w:szCs w:val="20"/>
                            <w:lang w:val="en-AU"/>
                          </w:rPr>
                          <w:br/>
                        </w:r>
                        <w:r w:rsidRPr="00A429FE">
                          <w:rPr>
                            <w:rFonts w:ascii="Times" w:hAnsi="Times" w:cs="Times New Roman"/>
                            <w:b/>
                            <w:bCs/>
                            <w:sz w:val="20"/>
                            <w:szCs w:val="20"/>
                            <w:lang w:val="en-AU"/>
                          </w:rPr>
                          <w:t xml:space="preserve">(c) Decision  </w:t>
                        </w:r>
                        <w:r w:rsidRPr="00A429FE">
                          <w:rPr>
                            <w:rFonts w:ascii="Times" w:hAnsi="Times" w:cs="Times New Roman"/>
                            <w:b/>
                            <w:bCs/>
                            <w:sz w:val="20"/>
                            <w:szCs w:val="20"/>
                            <w:lang w:val="en-AU"/>
                          </w:rPr>
                          <w:br/>
                        </w:r>
                        <w:r w:rsidRPr="00A429FE">
                          <w:rPr>
                            <w:rFonts w:ascii="Times" w:hAnsi="Times" w:cs="Times New Roman"/>
                            <w:sz w:val="20"/>
                            <w:szCs w:val="20"/>
                            <w:lang w:val="en-AU"/>
                          </w:rPr>
                          <w:t> </w:t>
                        </w:r>
                        <w:r w:rsidRPr="00A429FE">
                          <w:rPr>
                            <w:rFonts w:ascii="Times" w:hAnsi="Times" w:cs="Times New Roman"/>
                            <w:sz w:val="20"/>
                            <w:szCs w:val="20"/>
                            <w:lang w:val="en-AU"/>
                          </w:rPr>
                          <w:br/>
                          <w:t>The Court of Appeal dismissed the appellants' application but disagreed with the reasoning of McMurdo J.  The court rejected the characterisation of the AFL execution clause as "mere surplusage". The words "executed as a deed", "signed, sealed and delivered" and "by executing this deed" were a clear indication that the parties intended the AFL to take effect as a deed, outweighing any other indicia.</w:t>
                        </w:r>
                        <w:r w:rsidRPr="00A429FE">
                          <w:rPr>
                            <w:rFonts w:ascii="Times" w:hAnsi="Times" w:cs="Times New Roman"/>
                            <w:sz w:val="20"/>
                            <w:szCs w:val="20"/>
                            <w:lang w:val="en-AU"/>
                          </w:rPr>
                          <w:br/>
                          <w:t> </w:t>
                        </w:r>
                        <w:r w:rsidRPr="00A429FE">
                          <w:rPr>
                            <w:rFonts w:ascii="Times" w:hAnsi="Times" w:cs="Times New Roman"/>
                            <w:sz w:val="20"/>
                            <w:szCs w:val="20"/>
                            <w:lang w:val="en-AU"/>
                          </w:rPr>
                          <w:br/>
                          <w:t>However, notwithstanding this, the court found that BG was permitted to withdraw from the deal because the deed had not been delivered and was therefore not binding.  The court said that execution of a deed only constitutes delivery where that is the intention of the executing party.  A letter between the parties showed it was BG's intention that the parties become bound contemporaneously.  It was also relevant that at the time BG executed the AFL it was undated, even though a number of BG's obligations referred to the "date of the agreement".  On this basis, the court concluded that BG did not intend to deliver and become bound by the deed unless and until the appellants were also bound.  As not all of the appellants had executed the deed at the time, BG was able to revoke its execution.</w:t>
                        </w:r>
                      </w:p>
                      <w:p w:rsidR="00A429FE" w:rsidRPr="00A429FE" w:rsidRDefault="00A429FE" w:rsidP="00A429F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7134" name="Picture 17134" descr="etailed Contents">
                                <a:hlinkClick xmlns:a="http://schemas.openxmlformats.org/drawingml/2006/main" r:id="rId1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34" descr="etailed Contents">
                                        <a:hlinkClick r:id="rId102"/>
                                      </pic:cNvPr>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A429FE" w:rsidRPr="00A429FE" w:rsidRDefault="00A429FE" w:rsidP="00A429FE">
                        <w:pPr>
                          <w:rPr>
                            <w:rFonts w:ascii="Times" w:eastAsia="Times New Roman" w:hAnsi="Times" w:cs="Times New Roman"/>
                            <w:sz w:val="20"/>
                            <w:szCs w:val="20"/>
                            <w:lang w:val="en-AU"/>
                          </w:rPr>
                        </w:pPr>
                        <w:r w:rsidRPr="00A429FE">
                          <w:rPr>
                            <w:rFonts w:ascii="Times" w:eastAsia="Times New Roman" w:hAnsi="Times" w:cs="Times New Roman"/>
                            <w:sz w:val="20"/>
                            <w:szCs w:val="20"/>
                            <w:lang w:val="en-AU"/>
                          </w:rPr>
                          <w:pict>
                            <v:rect id="_x0000_i18159" style="width:0;height:1.5pt" o:hralign="center" o:hrstd="t" o:hr="t" fillcolor="#aaa" stroked="f"/>
                          </w:pict>
                        </w:r>
                      </w:p>
                      <w:p w:rsidR="00A429FE" w:rsidRPr="00A429FE" w:rsidRDefault="00A429FE" w:rsidP="00A429FE">
                        <w:pPr>
                          <w:spacing w:before="100" w:beforeAutospacing="1" w:after="100" w:afterAutospacing="1"/>
                          <w:rPr>
                            <w:rFonts w:ascii="Times" w:hAnsi="Times" w:cs="Times New Roman"/>
                            <w:sz w:val="20"/>
                            <w:szCs w:val="20"/>
                            <w:lang w:val="en-AU"/>
                          </w:rPr>
                        </w:pPr>
                        <w:bookmarkStart w:id="59" w:name="056"/>
                        <w:bookmarkEnd w:id="59"/>
                        <w:r w:rsidRPr="00A429FE">
                          <w:rPr>
                            <w:rFonts w:ascii="Times" w:hAnsi="Times" w:cs="Times New Roman"/>
                            <w:b/>
                            <w:bCs/>
                            <w:sz w:val="20"/>
                            <w:szCs w:val="20"/>
                            <w:lang w:val="en-AU"/>
                          </w:rPr>
                          <w:t>5.6 Unitholders' meeting proceedings - application for injunction to prevent managed investment funds' unitholders meeting to vote on removal of responsible entity dismissed</w:t>
                        </w:r>
                        <w:r w:rsidRPr="00A429FE">
                          <w:rPr>
                            <w:rFonts w:ascii="Times" w:hAnsi="Times" w:cs="Times New Roman"/>
                            <w:b/>
                            <w:bCs/>
                            <w:sz w:val="20"/>
                            <w:szCs w:val="20"/>
                            <w:lang w:val="en-AU"/>
                          </w:rPr>
                          <w:br/>
                        </w:r>
                        <w:r w:rsidRPr="00A429FE">
                          <w:rPr>
                            <w:rFonts w:ascii="Times" w:hAnsi="Times" w:cs="Times New Roman"/>
                            <w:sz w:val="20"/>
                            <w:szCs w:val="20"/>
                            <w:lang w:val="en-AU"/>
                          </w:rPr>
                          <w:t> </w:t>
                        </w:r>
                        <w:r w:rsidRPr="00A429FE">
                          <w:rPr>
                            <w:rFonts w:ascii="Times" w:hAnsi="Times" w:cs="Times New Roman"/>
                            <w:sz w:val="20"/>
                            <w:szCs w:val="20"/>
                            <w:lang w:val="en-AU"/>
                          </w:rPr>
                          <w:br/>
                          <w:t>(By Georgina Molloy, Blake Dawson)</w:t>
                        </w:r>
                        <w:r w:rsidRPr="00A429FE">
                          <w:rPr>
                            <w:rFonts w:ascii="Times" w:hAnsi="Times" w:cs="Times New Roman"/>
                            <w:sz w:val="20"/>
                            <w:szCs w:val="20"/>
                            <w:lang w:val="en-AU"/>
                          </w:rPr>
                          <w:br/>
                          <w:t> </w:t>
                        </w:r>
                        <w:r w:rsidRPr="00A429FE">
                          <w:rPr>
                            <w:rFonts w:ascii="Times" w:hAnsi="Times" w:cs="Times New Roman"/>
                            <w:sz w:val="20"/>
                            <w:szCs w:val="20"/>
                            <w:lang w:val="en-AU"/>
                          </w:rPr>
                          <w:br/>
                          <w:t>Lachlan Reit Limited v Garnaut [2010] VSC 399, Supreme Court of Victoria, Judd J, 6 September 2010</w:t>
                        </w:r>
                        <w:r w:rsidRPr="00A429FE">
                          <w:rPr>
                            <w:rFonts w:ascii="Times" w:hAnsi="Times" w:cs="Times New Roman"/>
                            <w:sz w:val="20"/>
                            <w:szCs w:val="20"/>
                            <w:lang w:val="en-AU"/>
                          </w:rPr>
                          <w:br/>
                          <w:t> </w:t>
                        </w:r>
                        <w:r w:rsidRPr="00A429FE">
                          <w:rPr>
                            <w:rFonts w:ascii="Times" w:hAnsi="Times" w:cs="Times New Roman"/>
                            <w:sz w:val="20"/>
                            <w:szCs w:val="20"/>
                            <w:lang w:val="en-AU"/>
                          </w:rPr>
                          <w:br/>
                          <w:t>The full text of this judgment is available at:</w:t>
                        </w:r>
                        <w:r w:rsidRPr="00A429FE">
                          <w:rPr>
                            <w:rFonts w:ascii="Times" w:hAnsi="Times" w:cs="Times New Roman"/>
                            <w:sz w:val="20"/>
                            <w:szCs w:val="20"/>
                            <w:lang w:val="en-AU"/>
                          </w:rPr>
                          <w:br/>
                        </w:r>
                        <w:r w:rsidRPr="00A429FE">
                          <w:rPr>
                            <w:rFonts w:ascii="Times" w:hAnsi="Times" w:cs="Times New Roman"/>
                            <w:sz w:val="20"/>
                            <w:szCs w:val="20"/>
                            <w:lang w:val="en-AU"/>
                          </w:rPr>
                          <w:br/>
                        </w:r>
                        <w:r w:rsidRPr="00A429FE">
                          <w:rPr>
                            <w:rFonts w:ascii="Times" w:hAnsi="Times" w:cs="Times New Roman"/>
                            <w:sz w:val="20"/>
                            <w:szCs w:val="20"/>
                            <w:lang w:val="en-AU"/>
                          </w:rPr>
                          <w:fldChar w:fldCharType="begin"/>
                        </w:r>
                        <w:r w:rsidRPr="00A429FE">
                          <w:rPr>
                            <w:rFonts w:ascii="Times" w:hAnsi="Times" w:cs="Times New Roman"/>
                            <w:sz w:val="20"/>
                            <w:szCs w:val="20"/>
                            <w:lang w:val="en-AU"/>
                          </w:rPr>
                          <w:instrText xml:space="preserve"> HYPERLINK "http://www.austlii.edu.au/au/cases/vic/VSC/2010/399.html" \t "_new" </w:instrText>
                        </w:r>
                        <w:r w:rsidRPr="00A429FE">
                          <w:rPr>
                            <w:rFonts w:ascii="Times" w:hAnsi="Times" w:cs="Times New Roman"/>
                            <w:sz w:val="20"/>
                            <w:szCs w:val="20"/>
                            <w:lang w:val="en-AU"/>
                          </w:rPr>
                        </w:r>
                        <w:r w:rsidRPr="00A429FE">
                          <w:rPr>
                            <w:rFonts w:ascii="Times" w:hAnsi="Times" w:cs="Times New Roman"/>
                            <w:sz w:val="20"/>
                            <w:szCs w:val="20"/>
                            <w:lang w:val="en-AU"/>
                          </w:rPr>
                          <w:fldChar w:fldCharType="separate"/>
                        </w:r>
                        <w:r w:rsidRPr="00A429FE">
                          <w:rPr>
                            <w:rFonts w:ascii="Times" w:hAnsi="Times" w:cs="Times New Roman"/>
                            <w:color w:val="0000FF"/>
                            <w:sz w:val="20"/>
                            <w:szCs w:val="20"/>
                            <w:u w:val="single"/>
                            <w:lang w:val="en-AU"/>
                          </w:rPr>
                          <w:t>http://www.austlii.edu.au/au/cases/vic/VSC/2010/399.html</w:t>
                        </w:r>
                        <w:r w:rsidRPr="00A429FE">
                          <w:rPr>
                            <w:rFonts w:ascii="Times" w:hAnsi="Times" w:cs="Times New Roman"/>
                            <w:sz w:val="20"/>
                            <w:szCs w:val="20"/>
                            <w:lang w:val="en-AU"/>
                          </w:rPr>
                          <w:fldChar w:fldCharType="end"/>
                        </w:r>
                        <w:r w:rsidRPr="00A429FE">
                          <w:rPr>
                            <w:rFonts w:ascii="Times" w:hAnsi="Times" w:cs="Times New Roman"/>
                            <w:sz w:val="20"/>
                            <w:szCs w:val="20"/>
                            <w:lang w:val="en-AU"/>
                          </w:rPr>
                          <w:br/>
                          <w:t> </w:t>
                        </w:r>
                        <w:r w:rsidRPr="00A429FE">
                          <w:rPr>
                            <w:rFonts w:ascii="Times" w:hAnsi="Times" w:cs="Times New Roman"/>
                            <w:sz w:val="20"/>
                            <w:szCs w:val="20"/>
                            <w:lang w:val="en-AU"/>
                          </w:rPr>
                          <w:br/>
                        </w:r>
                        <w:r w:rsidRPr="00A429FE">
                          <w:rPr>
                            <w:rFonts w:ascii="Times" w:hAnsi="Times" w:cs="Times New Roman"/>
                            <w:b/>
                            <w:bCs/>
                            <w:sz w:val="20"/>
                            <w:szCs w:val="20"/>
                            <w:lang w:val="en-AU"/>
                          </w:rPr>
                          <w:t>(a) Summary</w:t>
                        </w:r>
                        <w:r w:rsidRPr="00A429FE">
                          <w:rPr>
                            <w:rFonts w:ascii="Times" w:hAnsi="Times" w:cs="Times New Roman"/>
                            <w:b/>
                            <w:bCs/>
                            <w:sz w:val="20"/>
                            <w:szCs w:val="20"/>
                            <w:lang w:val="en-AU"/>
                          </w:rPr>
                          <w:br/>
                        </w:r>
                        <w:r w:rsidRPr="00A429FE">
                          <w:rPr>
                            <w:rFonts w:ascii="Times" w:hAnsi="Times" w:cs="Times New Roman"/>
                            <w:sz w:val="20"/>
                            <w:szCs w:val="20"/>
                            <w:lang w:val="en-AU"/>
                          </w:rPr>
                          <w:t> </w:t>
                        </w:r>
                        <w:r w:rsidRPr="00A429FE">
                          <w:rPr>
                            <w:rFonts w:ascii="Times" w:hAnsi="Times" w:cs="Times New Roman"/>
                            <w:sz w:val="20"/>
                            <w:szCs w:val="20"/>
                            <w:lang w:val="en-AU"/>
                          </w:rPr>
                          <w:br/>
                          <w:t xml:space="preserve">In this case, Judd J in the Supreme Court of Victoria found that unitholders were entitled to proceed with a meeting to consider whether to remove the Responsible Entity of the managed investment funds. On the balance of convenience, it was held that the unitholders should meet, as their interests were paramount.  </w:t>
                        </w:r>
                        <w:r w:rsidRPr="00A429FE">
                          <w:rPr>
                            <w:rFonts w:ascii="Times" w:hAnsi="Times" w:cs="Times New Roman"/>
                            <w:sz w:val="20"/>
                            <w:szCs w:val="20"/>
                            <w:lang w:val="en-AU"/>
                          </w:rPr>
                          <w:br/>
                          <w:t> </w:t>
                        </w:r>
                        <w:r w:rsidRPr="00A429FE">
                          <w:rPr>
                            <w:rFonts w:ascii="Times" w:hAnsi="Times" w:cs="Times New Roman"/>
                            <w:sz w:val="20"/>
                            <w:szCs w:val="20"/>
                            <w:lang w:val="en-AU"/>
                          </w:rPr>
                          <w:br/>
                          <w:t>The plaintiff, Lachlan Reit Limited, was the responsible entity of two managed investment funds, Becton Office Fund No 2 and Becton Diversified Direct Property Fund.   The plaintiff sought declarations and permanent injunctions in the Supreme Court of Victoria to restrain the first defendant, financial adviser Mr Garnaut, from convening meetings with the unitholders to remove the plaintiff from its role as responsible entity of the funds, and replace the plaintiff with the second defendant, Century Funds Management Ltd (Century) as the responsible entity.</w:t>
                        </w:r>
                        <w:r w:rsidRPr="00A429FE">
                          <w:rPr>
                            <w:rFonts w:ascii="Times" w:hAnsi="Times" w:cs="Times New Roman"/>
                            <w:sz w:val="20"/>
                            <w:szCs w:val="20"/>
                            <w:lang w:val="en-AU"/>
                          </w:rPr>
                          <w:br/>
                          <w:t> </w:t>
                        </w:r>
                        <w:r w:rsidRPr="00A429FE">
                          <w:rPr>
                            <w:rFonts w:ascii="Times" w:hAnsi="Times" w:cs="Times New Roman"/>
                            <w:sz w:val="20"/>
                            <w:szCs w:val="20"/>
                            <w:lang w:val="en-AU"/>
                          </w:rPr>
                          <w:br/>
                        </w:r>
                        <w:r w:rsidRPr="00A429FE">
                          <w:rPr>
                            <w:rFonts w:ascii="Times" w:hAnsi="Times" w:cs="Times New Roman"/>
                            <w:b/>
                            <w:bCs/>
                            <w:sz w:val="20"/>
                            <w:szCs w:val="20"/>
                            <w:lang w:val="en-AU"/>
                          </w:rPr>
                          <w:t xml:space="preserve">(b) Facts   </w:t>
                        </w:r>
                        <w:r w:rsidRPr="00A429FE">
                          <w:rPr>
                            <w:rFonts w:ascii="Times" w:hAnsi="Times" w:cs="Times New Roman"/>
                            <w:b/>
                            <w:bCs/>
                            <w:sz w:val="20"/>
                            <w:szCs w:val="20"/>
                            <w:lang w:val="en-AU"/>
                          </w:rPr>
                          <w:br/>
                        </w:r>
                        <w:r w:rsidRPr="00A429FE">
                          <w:rPr>
                            <w:rFonts w:ascii="Times" w:hAnsi="Times" w:cs="Times New Roman"/>
                            <w:sz w:val="20"/>
                            <w:szCs w:val="20"/>
                            <w:lang w:val="en-AU"/>
                          </w:rPr>
                          <w:t> </w:t>
                        </w:r>
                        <w:r w:rsidRPr="00A429FE">
                          <w:rPr>
                            <w:rFonts w:ascii="Times" w:hAnsi="Times" w:cs="Times New Roman"/>
                            <w:sz w:val="20"/>
                            <w:szCs w:val="20"/>
                            <w:lang w:val="en-AU"/>
                          </w:rPr>
                          <w:br/>
                          <w:t xml:space="preserve">Mr Garnaut, the first defendant, was a director of Garnaut Client Private Advisors, whose clients held approximately 27% of the units in Becton Office Fund No 2 and 19% of the units in Becton Diversified Direct Property Fund.  Mr Garnaut, as attorney for fund members, requisitioned the meeting, in order to remove the plaintiff as responsible entity, and replace it with Century Funds Management Ltd ("Century").  </w:t>
                        </w:r>
                        <w:r w:rsidRPr="00A429FE">
                          <w:rPr>
                            <w:rFonts w:ascii="Times" w:hAnsi="Times" w:cs="Times New Roman"/>
                            <w:sz w:val="20"/>
                            <w:szCs w:val="20"/>
                            <w:lang w:val="en-AU"/>
                          </w:rPr>
                          <w:br/>
                          <w:t> </w:t>
                        </w:r>
                        <w:r w:rsidRPr="00A429FE">
                          <w:rPr>
                            <w:rFonts w:ascii="Times" w:hAnsi="Times" w:cs="Times New Roman"/>
                            <w:sz w:val="20"/>
                            <w:szCs w:val="20"/>
                            <w:lang w:val="en-AU"/>
                          </w:rPr>
                          <w:br/>
                          <w:t xml:space="preserve">Mr Garnaut's rationale for the removal of the plaintiff was his concern over the uncertain financial position of the Becton Group.  The plaintiff's ultimate holding company is the Becton Property Group, and the plaintiff and its parent company, Becton Investment Management Ltd, control just under 20% of the units in the two managed investment funds.   </w:t>
                        </w:r>
                        <w:r w:rsidRPr="00A429FE">
                          <w:rPr>
                            <w:rFonts w:ascii="Times" w:hAnsi="Times" w:cs="Times New Roman"/>
                            <w:sz w:val="20"/>
                            <w:szCs w:val="20"/>
                            <w:lang w:val="en-AU"/>
                          </w:rPr>
                          <w:br/>
                          <w:t> </w:t>
                        </w:r>
                        <w:r w:rsidRPr="00A429FE">
                          <w:rPr>
                            <w:rFonts w:ascii="Times" w:hAnsi="Times" w:cs="Times New Roman"/>
                            <w:sz w:val="20"/>
                            <w:szCs w:val="20"/>
                            <w:lang w:val="en-AU"/>
                          </w:rPr>
                          <w:br/>
                          <w:t>The plaintiff challenged the validity of the meeting on various grounds, including:</w:t>
                        </w:r>
                      </w:p>
                      <w:p w:rsidR="00A429FE" w:rsidRPr="00A429FE" w:rsidRDefault="00A429FE" w:rsidP="00A429FE">
                        <w:pPr>
                          <w:tabs>
                            <w:tab w:val="num" w:pos="720"/>
                          </w:tabs>
                          <w:spacing w:before="100" w:beforeAutospacing="1" w:after="100" w:afterAutospacing="1"/>
                          <w:ind w:left="720" w:hanging="360"/>
                          <w:rPr>
                            <w:rFonts w:ascii="Times" w:eastAsia="Times New Roman" w:hAnsi="Times" w:cs="Times New Roman"/>
                            <w:sz w:val="20"/>
                            <w:szCs w:val="20"/>
                            <w:lang w:val="en-AU"/>
                          </w:rPr>
                        </w:pPr>
                        <w:r w:rsidRPr="00A429FE">
                          <w:rPr>
                            <w:rFonts w:ascii="Times" w:eastAsia="Times New Roman" w:hAnsi="Times" w:cs="Times New Roman"/>
                            <w:sz w:val="20"/>
                            <w:szCs w:val="20"/>
                            <w:lang w:val="en-AU"/>
                          </w:rPr>
                          <w:t xml:space="preserve">that the information provided to unitholders was (or was likely to be) misleading or deceptive under section 12DA of the </w:t>
                        </w:r>
                        <w:r w:rsidRPr="00A429FE">
                          <w:rPr>
                            <w:rFonts w:ascii="Times" w:eastAsia="Times New Roman" w:hAnsi="Times" w:cs="Times New Roman"/>
                            <w:sz w:val="20"/>
                            <w:szCs w:val="20"/>
                            <w:lang w:val="en-AU"/>
                          </w:rPr>
                          <w:fldChar w:fldCharType="begin"/>
                        </w:r>
                        <w:r w:rsidRPr="00A429FE">
                          <w:rPr>
                            <w:rFonts w:ascii="Times" w:eastAsia="Times New Roman" w:hAnsi="Times" w:cs="Times New Roman"/>
                            <w:sz w:val="20"/>
                            <w:szCs w:val="20"/>
                            <w:lang w:val="en-AU"/>
                          </w:rPr>
                          <w:instrText xml:space="preserve"> HYPERLINK "http://my.lawlex.com.au/index.asp?pact=coredoc&amp;nav=col&amp;cid=56481" \t "Default" </w:instrText>
                        </w:r>
                        <w:r w:rsidRPr="00A429FE">
                          <w:rPr>
                            <w:rFonts w:ascii="Times" w:eastAsia="Times New Roman" w:hAnsi="Times" w:cs="Times New Roman"/>
                            <w:sz w:val="20"/>
                            <w:szCs w:val="20"/>
                            <w:lang w:val="en-AU"/>
                          </w:rPr>
                        </w:r>
                        <w:r w:rsidRPr="00A429FE">
                          <w:rPr>
                            <w:rFonts w:ascii="Times" w:eastAsia="Times New Roman" w:hAnsi="Times" w:cs="Times New Roman"/>
                            <w:sz w:val="20"/>
                            <w:szCs w:val="20"/>
                            <w:lang w:val="en-AU"/>
                          </w:rPr>
                          <w:fldChar w:fldCharType="separate"/>
                        </w:r>
                        <w:r w:rsidRPr="00A429FE">
                          <w:rPr>
                            <w:rFonts w:ascii="Times" w:eastAsia="Times New Roman" w:hAnsi="Times" w:cs="Times New Roman"/>
                            <w:color w:val="0000FF"/>
                            <w:sz w:val="20"/>
                            <w:szCs w:val="20"/>
                            <w:u w:val="single"/>
                            <w:lang w:val="en-AU"/>
                          </w:rPr>
                          <w:t>Australian Securities and Investments Commission Act 2001 (Cth)</w:t>
                        </w:r>
                        <w:r w:rsidRPr="00A429FE">
                          <w:rPr>
                            <w:rFonts w:ascii="Times" w:eastAsia="Times New Roman" w:hAnsi="Times" w:cs="Times New Roman"/>
                            <w:sz w:val="20"/>
                            <w:szCs w:val="20"/>
                            <w:lang w:val="en-AU"/>
                          </w:rPr>
                          <w:fldChar w:fldCharType="end"/>
                        </w:r>
                        <w:r w:rsidRPr="00A429FE">
                          <w:rPr>
                            <w:rFonts w:ascii="Times" w:eastAsia="Times New Roman" w:hAnsi="Times" w:cs="Times New Roman"/>
                            <w:sz w:val="20"/>
                            <w:szCs w:val="20"/>
                            <w:lang w:val="en-AU"/>
                          </w:rPr>
                          <w:t xml:space="preserve">, section 1041 of the </w:t>
                        </w:r>
                        <w:r w:rsidRPr="00A429FE">
                          <w:rPr>
                            <w:rFonts w:ascii="Times" w:eastAsia="Times New Roman" w:hAnsi="Times" w:cs="Times New Roman"/>
                            <w:sz w:val="20"/>
                            <w:szCs w:val="20"/>
                            <w:lang w:val="en-AU"/>
                          </w:rPr>
                          <w:fldChar w:fldCharType="begin"/>
                        </w:r>
                        <w:r w:rsidRPr="00A429FE">
                          <w:rPr>
                            <w:rFonts w:ascii="Times" w:eastAsia="Times New Roman" w:hAnsi="Times" w:cs="Times New Roman"/>
                            <w:sz w:val="20"/>
                            <w:szCs w:val="20"/>
                            <w:lang w:val="en-AU"/>
                          </w:rPr>
                          <w:instrText xml:space="preserve"> HYPERLINK "http://my.lawlex.com.au/index.asp?pact=coredoc&amp;nav=col&amp;cid=56482" \t "Default" </w:instrText>
                        </w:r>
                        <w:r w:rsidRPr="00A429FE">
                          <w:rPr>
                            <w:rFonts w:ascii="Times" w:eastAsia="Times New Roman" w:hAnsi="Times" w:cs="Times New Roman"/>
                            <w:sz w:val="20"/>
                            <w:szCs w:val="20"/>
                            <w:lang w:val="en-AU"/>
                          </w:rPr>
                        </w:r>
                        <w:r w:rsidRPr="00A429FE">
                          <w:rPr>
                            <w:rFonts w:ascii="Times" w:eastAsia="Times New Roman" w:hAnsi="Times" w:cs="Times New Roman"/>
                            <w:sz w:val="20"/>
                            <w:szCs w:val="20"/>
                            <w:lang w:val="en-AU"/>
                          </w:rPr>
                          <w:fldChar w:fldCharType="separate"/>
                        </w:r>
                        <w:r w:rsidRPr="00A429FE">
                          <w:rPr>
                            <w:rFonts w:ascii="Times" w:eastAsia="Times New Roman" w:hAnsi="Times" w:cs="Times New Roman"/>
                            <w:color w:val="0000FF"/>
                            <w:sz w:val="20"/>
                            <w:szCs w:val="20"/>
                            <w:u w:val="single"/>
                            <w:lang w:val="en-AU"/>
                          </w:rPr>
                          <w:t>Corporations Act 2001 (Cth)</w:t>
                        </w:r>
                        <w:r w:rsidRPr="00A429FE">
                          <w:rPr>
                            <w:rFonts w:ascii="Times" w:eastAsia="Times New Roman" w:hAnsi="Times" w:cs="Times New Roman"/>
                            <w:sz w:val="20"/>
                            <w:szCs w:val="20"/>
                            <w:lang w:val="en-AU"/>
                          </w:rPr>
                          <w:fldChar w:fldCharType="end"/>
                        </w:r>
                        <w:r w:rsidRPr="00A429FE">
                          <w:rPr>
                            <w:rFonts w:ascii="Times" w:eastAsia="Times New Roman" w:hAnsi="Times" w:cs="Times New Roman"/>
                            <w:sz w:val="20"/>
                            <w:szCs w:val="20"/>
                            <w:lang w:val="en-AU"/>
                          </w:rPr>
                          <w:t xml:space="preserve"> and section 52 of the </w:t>
                        </w:r>
                        <w:r w:rsidRPr="00A429FE">
                          <w:rPr>
                            <w:rFonts w:ascii="Times" w:eastAsia="Times New Roman" w:hAnsi="Times" w:cs="Times New Roman"/>
                            <w:sz w:val="20"/>
                            <w:szCs w:val="20"/>
                            <w:lang w:val="en-AU"/>
                          </w:rPr>
                          <w:fldChar w:fldCharType="begin"/>
                        </w:r>
                        <w:r w:rsidRPr="00A429FE">
                          <w:rPr>
                            <w:rFonts w:ascii="Times" w:eastAsia="Times New Roman" w:hAnsi="Times" w:cs="Times New Roman"/>
                            <w:sz w:val="20"/>
                            <w:szCs w:val="20"/>
                            <w:lang w:val="en-AU"/>
                          </w:rPr>
                          <w:instrText xml:space="preserve"> HYPERLINK "http://my.lawlex.com.au/index.asp?pact=coredoc&amp;nav=col&amp;cid=6426" \t "Default" </w:instrText>
                        </w:r>
                        <w:r w:rsidRPr="00A429FE">
                          <w:rPr>
                            <w:rFonts w:ascii="Times" w:eastAsia="Times New Roman" w:hAnsi="Times" w:cs="Times New Roman"/>
                            <w:sz w:val="20"/>
                            <w:szCs w:val="20"/>
                            <w:lang w:val="en-AU"/>
                          </w:rPr>
                        </w:r>
                        <w:r w:rsidRPr="00A429FE">
                          <w:rPr>
                            <w:rFonts w:ascii="Times" w:eastAsia="Times New Roman" w:hAnsi="Times" w:cs="Times New Roman"/>
                            <w:sz w:val="20"/>
                            <w:szCs w:val="20"/>
                            <w:lang w:val="en-AU"/>
                          </w:rPr>
                          <w:fldChar w:fldCharType="separate"/>
                        </w:r>
                        <w:r w:rsidRPr="00A429FE">
                          <w:rPr>
                            <w:rFonts w:ascii="Times" w:eastAsia="Times New Roman" w:hAnsi="Times" w:cs="Times New Roman"/>
                            <w:color w:val="0000FF"/>
                            <w:sz w:val="20"/>
                            <w:szCs w:val="20"/>
                            <w:u w:val="single"/>
                            <w:lang w:val="en-AU"/>
                          </w:rPr>
                          <w:t>Trade Practices Act 1974 (Cth)</w:t>
                        </w:r>
                        <w:r w:rsidRPr="00A429FE">
                          <w:rPr>
                            <w:rFonts w:ascii="Times" w:eastAsia="Times New Roman" w:hAnsi="Times" w:cs="Times New Roman"/>
                            <w:sz w:val="20"/>
                            <w:szCs w:val="20"/>
                            <w:lang w:val="en-AU"/>
                          </w:rPr>
                          <w:fldChar w:fldCharType="end"/>
                        </w:r>
                        <w:r w:rsidRPr="00A429FE">
                          <w:rPr>
                            <w:rFonts w:ascii="Times" w:eastAsia="Times New Roman" w:hAnsi="Times" w:cs="Times New Roman"/>
                            <w:sz w:val="20"/>
                            <w:szCs w:val="20"/>
                            <w:lang w:val="en-AU"/>
                          </w:rPr>
                          <w:t xml:space="preserve"> and/or section 9 of the </w:t>
                        </w:r>
                        <w:r w:rsidRPr="00A429FE">
                          <w:rPr>
                            <w:rFonts w:ascii="Times" w:eastAsia="Times New Roman" w:hAnsi="Times" w:cs="Times New Roman"/>
                            <w:sz w:val="20"/>
                            <w:szCs w:val="20"/>
                            <w:lang w:val="en-AU"/>
                          </w:rPr>
                          <w:fldChar w:fldCharType="begin"/>
                        </w:r>
                        <w:r w:rsidRPr="00A429FE">
                          <w:rPr>
                            <w:rFonts w:ascii="Times" w:eastAsia="Times New Roman" w:hAnsi="Times" w:cs="Times New Roman"/>
                            <w:sz w:val="20"/>
                            <w:szCs w:val="20"/>
                            <w:lang w:val="en-AU"/>
                          </w:rPr>
                          <w:instrText xml:space="preserve"> HYPERLINK "http://my.lawlex.com.au/index.asp?pact=coredoc&amp;nav=col&amp;cid=12938" \t "Default" </w:instrText>
                        </w:r>
                        <w:r w:rsidRPr="00A429FE">
                          <w:rPr>
                            <w:rFonts w:ascii="Times" w:eastAsia="Times New Roman" w:hAnsi="Times" w:cs="Times New Roman"/>
                            <w:sz w:val="20"/>
                            <w:szCs w:val="20"/>
                            <w:lang w:val="en-AU"/>
                          </w:rPr>
                        </w:r>
                        <w:r w:rsidRPr="00A429FE">
                          <w:rPr>
                            <w:rFonts w:ascii="Times" w:eastAsia="Times New Roman" w:hAnsi="Times" w:cs="Times New Roman"/>
                            <w:sz w:val="20"/>
                            <w:szCs w:val="20"/>
                            <w:lang w:val="en-AU"/>
                          </w:rPr>
                          <w:fldChar w:fldCharType="separate"/>
                        </w:r>
                        <w:r w:rsidRPr="00A429FE">
                          <w:rPr>
                            <w:rFonts w:ascii="Times" w:eastAsia="Times New Roman" w:hAnsi="Times" w:cs="Times New Roman"/>
                            <w:color w:val="0000FF"/>
                            <w:sz w:val="20"/>
                            <w:szCs w:val="20"/>
                            <w:u w:val="single"/>
                            <w:lang w:val="en-AU"/>
                          </w:rPr>
                          <w:t>Fair Trading Act 1999 (Vic)</w:t>
                        </w:r>
                        <w:r w:rsidRPr="00A429FE">
                          <w:rPr>
                            <w:rFonts w:ascii="Times" w:eastAsia="Times New Roman" w:hAnsi="Times" w:cs="Times New Roman"/>
                            <w:sz w:val="20"/>
                            <w:szCs w:val="20"/>
                            <w:lang w:val="en-AU"/>
                          </w:rPr>
                          <w:fldChar w:fldCharType="end"/>
                        </w:r>
                        <w:r w:rsidRPr="00A429FE">
                          <w:rPr>
                            <w:rFonts w:ascii="Times" w:eastAsia="Times New Roman" w:hAnsi="Times" w:cs="Times New Roman"/>
                            <w:sz w:val="20"/>
                            <w:szCs w:val="20"/>
                            <w:lang w:val="en-AU"/>
                          </w:rPr>
                          <w:t xml:space="preserve">; </w:t>
                        </w:r>
                      </w:p>
                      <w:p w:rsidR="00A429FE" w:rsidRPr="00A429FE" w:rsidRDefault="00A429FE" w:rsidP="00A429FE">
                        <w:pPr>
                          <w:tabs>
                            <w:tab w:val="num" w:pos="720"/>
                          </w:tabs>
                          <w:spacing w:before="100" w:beforeAutospacing="1" w:after="100" w:afterAutospacing="1"/>
                          <w:ind w:left="720" w:hanging="360"/>
                          <w:rPr>
                            <w:rFonts w:ascii="Times" w:eastAsia="Times New Roman" w:hAnsi="Times" w:cs="Times New Roman"/>
                            <w:sz w:val="20"/>
                            <w:szCs w:val="20"/>
                            <w:lang w:val="en-AU"/>
                          </w:rPr>
                        </w:pPr>
                        <w:r w:rsidRPr="00A429FE">
                          <w:rPr>
                            <w:rFonts w:ascii="Times" w:eastAsia="Times New Roman" w:hAnsi="Times" w:cs="Times New Roman"/>
                            <w:sz w:val="20"/>
                            <w:szCs w:val="20"/>
                            <w:lang w:val="en-AU"/>
                          </w:rPr>
                          <w:t xml:space="preserve">disparate communications to unitholders had corrupted the meeting process; </w:t>
                        </w:r>
                      </w:p>
                      <w:p w:rsidR="00A429FE" w:rsidRPr="00A429FE" w:rsidRDefault="00A429FE" w:rsidP="00A429FE">
                        <w:pPr>
                          <w:tabs>
                            <w:tab w:val="num" w:pos="720"/>
                          </w:tabs>
                          <w:spacing w:before="100" w:beforeAutospacing="1" w:after="100" w:afterAutospacing="1"/>
                          <w:ind w:left="720" w:hanging="360"/>
                          <w:rPr>
                            <w:rFonts w:ascii="Times" w:eastAsia="Times New Roman" w:hAnsi="Times" w:cs="Times New Roman"/>
                            <w:sz w:val="20"/>
                            <w:szCs w:val="20"/>
                            <w:lang w:val="en-AU"/>
                          </w:rPr>
                        </w:pPr>
                        <w:r w:rsidRPr="00A429FE">
                          <w:rPr>
                            <w:rFonts w:ascii="Times" w:eastAsia="Times New Roman" w:hAnsi="Times" w:cs="Times New Roman"/>
                            <w:sz w:val="20"/>
                            <w:szCs w:val="20"/>
                            <w:lang w:val="en-AU"/>
                          </w:rPr>
                          <w:t xml:space="preserve">Century's stated action proposals if it was appointed responsible entity had changed in the various material distributed to unitholders; </w:t>
                        </w:r>
                      </w:p>
                      <w:p w:rsidR="00A429FE" w:rsidRPr="00A429FE" w:rsidRDefault="00A429FE" w:rsidP="00A429FE">
                        <w:pPr>
                          <w:tabs>
                            <w:tab w:val="num" w:pos="720"/>
                          </w:tabs>
                          <w:spacing w:before="100" w:beforeAutospacing="1" w:after="100" w:afterAutospacing="1"/>
                          <w:ind w:left="720" w:hanging="360"/>
                          <w:rPr>
                            <w:rFonts w:ascii="Times" w:eastAsia="Times New Roman" w:hAnsi="Times" w:cs="Times New Roman"/>
                            <w:sz w:val="20"/>
                            <w:szCs w:val="20"/>
                            <w:lang w:val="en-AU"/>
                          </w:rPr>
                        </w:pPr>
                        <w:r w:rsidRPr="00A429FE">
                          <w:rPr>
                            <w:rFonts w:ascii="Times" w:eastAsia="Times New Roman" w:hAnsi="Times" w:cs="Times New Roman"/>
                            <w:sz w:val="20"/>
                            <w:szCs w:val="20"/>
                            <w:lang w:val="en-AU"/>
                          </w:rPr>
                          <w:t xml:space="preserve">Century had improperly attempted to coerce an investment adviser to influence his clients to vote in favour of the resolution; and </w:t>
                        </w:r>
                      </w:p>
                      <w:p w:rsidR="00A429FE" w:rsidRPr="00A429FE" w:rsidRDefault="00A429FE" w:rsidP="00A429FE">
                        <w:pPr>
                          <w:tabs>
                            <w:tab w:val="num" w:pos="720"/>
                          </w:tabs>
                          <w:spacing w:before="100" w:beforeAutospacing="1" w:after="100" w:afterAutospacing="1"/>
                          <w:ind w:left="720" w:hanging="360"/>
                          <w:rPr>
                            <w:rFonts w:ascii="Times" w:eastAsia="Times New Roman" w:hAnsi="Times" w:cs="Times New Roman"/>
                            <w:sz w:val="20"/>
                            <w:szCs w:val="20"/>
                            <w:lang w:val="en-AU"/>
                          </w:rPr>
                        </w:pPr>
                        <w:r w:rsidRPr="00A429FE">
                          <w:rPr>
                            <w:rFonts w:ascii="Times" w:eastAsia="Times New Roman" w:hAnsi="Times" w:cs="Times New Roman"/>
                            <w:sz w:val="20"/>
                            <w:szCs w:val="20"/>
                            <w:lang w:val="en-AU"/>
                          </w:rPr>
                          <w:t xml:space="preserve">the proxies had been directed to Computershare rather than the responsible entity.  </w:t>
                        </w:r>
                      </w:p>
                      <w:p w:rsidR="00A429FE" w:rsidRPr="00A429FE" w:rsidRDefault="00A429FE" w:rsidP="00A429FE">
                        <w:pPr>
                          <w:spacing w:before="100" w:beforeAutospacing="1" w:after="100" w:afterAutospacing="1"/>
                          <w:rPr>
                            <w:rFonts w:ascii="Times" w:hAnsi="Times" w:cs="Times New Roman"/>
                            <w:sz w:val="20"/>
                            <w:szCs w:val="20"/>
                            <w:lang w:val="en-AU"/>
                          </w:rPr>
                        </w:pPr>
                        <w:r w:rsidRPr="00A429FE">
                          <w:rPr>
                            <w:rFonts w:ascii="Times" w:hAnsi="Times" w:cs="Times New Roman"/>
                            <w:sz w:val="20"/>
                            <w:szCs w:val="20"/>
                            <w:lang w:val="en-AU"/>
                          </w:rPr>
                          <w:t>The main alleged misrepresentations relate to information circulated to unitholders regarding Century's ability to borrow funds on better terms than Becton, that Century would reduce fees charged by the responsible entity, and that the Becton Group and the responsible entity were insolvent.</w:t>
                        </w:r>
                        <w:r w:rsidRPr="00A429FE">
                          <w:rPr>
                            <w:rFonts w:ascii="Times" w:hAnsi="Times" w:cs="Times New Roman"/>
                            <w:sz w:val="20"/>
                            <w:szCs w:val="20"/>
                            <w:lang w:val="en-AU"/>
                          </w:rPr>
                          <w:br/>
                          <w:t> </w:t>
                        </w:r>
                        <w:r w:rsidRPr="00A429FE">
                          <w:rPr>
                            <w:rFonts w:ascii="Times" w:hAnsi="Times" w:cs="Times New Roman"/>
                            <w:sz w:val="20"/>
                            <w:szCs w:val="20"/>
                            <w:lang w:val="en-AU"/>
                          </w:rPr>
                          <w:br/>
                        </w:r>
                        <w:r w:rsidRPr="00A429FE">
                          <w:rPr>
                            <w:rFonts w:ascii="Times" w:hAnsi="Times" w:cs="Times New Roman"/>
                            <w:b/>
                            <w:bCs/>
                            <w:sz w:val="20"/>
                            <w:szCs w:val="20"/>
                            <w:lang w:val="en-AU"/>
                          </w:rPr>
                          <w:t xml:space="preserve">(c) Decision  </w:t>
                        </w:r>
                        <w:r w:rsidRPr="00A429FE">
                          <w:rPr>
                            <w:rFonts w:ascii="Times" w:hAnsi="Times" w:cs="Times New Roman"/>
                            <w:b/>
                            <w:bCs/>
                            <w:sz w:val="20"/>
                            <w:szCs w:val="20"/>
                            <w:lang w:val="en-AU"/>
                          </w:rPr>
                          <w:br/>
                        </w:r>
                        <w:r w:rsidRPr="00A429FE">
                          <w:rPr>
                            <w:rFonts w:ascii="Times" w:hAnsi="Times" w:cs="Times New Roman"/>
                            <w:sz w:val="20"/>
                            <w:szCs w:val="20"/>
                            <w:lang w:val="en-AU"/>
                          </w:rPr>
                          <w:t> </w:t>
                        </w:r>
                        <w:r w:rsidRPr="00A429FE">
                          <w:rPr>
                            <w:rFonts w:ascii="Times" w:hAnsi="Times" w:cs="Times New Roman"/>
                            <w:sz w:val="20"/>
                            <w:szCs w:val="20"/>
                            <w:lang w:val="en-AU"/>
                          </w:rPr>
                          <w:br/>
                          <w:t>In this case, Judd J recognised that the interests of unitholders was paramount, and dismissed the plaintiff's application.  The court found that any analysis of the information circulated to the unitholders regarding the alleged misrepresentations should include consideration of all the material provided, and that a proper analysis would only be complete once a vote was taken at a meeting.</w:t>
                        </w:r>
                        <w:r w:rsidRPr="00A429FE">
                          <w:rPr>
                            <w:rFonts w:ascii="Times" w:hAnsi="Times" w:cs="Times New Roman"/>
                            <w:sz w:val="20"/>
                            <w:szCs w:val="20"/>
                            <w:lang w:val="en-AU"/>
                          </w:rPr>
                          <w:br/>
                          <w:t> </w:t>
                        </w:r>
                        <w:r w:rsidRPr="00A429FE">
                          <w:rPr>
                            <w:rFonts w:ascii="Times" w:hAnsi="Times" w:cs="Times New Roman"/>
                            <w:sz w:val="20"/>
                            <w:szCs w:val="20"/>
                            <w:lang w:val="en-AU"/>
                          </w:rPr>
                          <w:br/>
                          <w:t xml:space="preserve">Judd J found that the situation concerned an attempt by investors to deal with a perceived risk to their investments, given the plaintiff's inseparable relationship with the Becton Group.  In his considerations, his Honour emphasised the particular context of the meeting with the plaintiff's conflict of interest, and contrasted the situation to where the fund manager is a neutral figure between disputing member groups.  </w:t>
                        </w:r>
                        <w:r w:rsidRPr="00A429FE">
                          <w:rPr>
                            <w:rFonts w:ascii="Times" w:hAnsi="Times" w:cs="Times New Roman"/>
                            <w:sz w:val="20"/>
                            <w:szCs w:val="20"/>
                            <w:lang w:val="en-AU"/>
                          </w:rPr>
                          <w:br/>
                          <w:t> </w:t>
                        </w:r>
                        <w:r w:rsidRPr="00A429FE">
                          <w:rPr>
                            <w:rFonts w:ascii="Times" w:hAnsi="Times" w:cs="Times New Roman"/>
                            <w:sz w:val="20"/>
                            <w:szCs w:val="20"/>
                            <w:lang w:val="en-AU"/>
                          </w:rPr>
                          <w:br/>
                          <w:t xml:space="preserve">Consequently, it was found that the meeting should go ahead, as Judd J decided that the balance of convenience "overwhelmingly favours" a rejection of the plaintiff's application.  Given the plaintiff's conflicted position, it was held that any future opportunity for a neutral process for the delivery of further information to unitholders was "illusory".  </w:t>
                        </w:r>
                        <w:r w:rsidRPr="00A429FE">
                          <w:rPr>
                            <w:rFonts w:ascii="Times" w:hAnsi="Times" w:cs="Times New Roman"/>
                            <w:sz w:val="20"/>
                            <w:szCs w:val="20"/>
                            <w:lang w:val="en-AU"/>
                          </w:rPr>
                          <w:br/>
                          <w:t> </w:t>
                        </w:r>
                        <w:r w:rsidRPr="00A429FE">
                          <w:rPr>
                            <w:rFonts w:ascii="Times" w:hAnsi="Times" w:cs="Times New Roman"/>
                            <w:sz w:val="20"/>
                            <w:szCs w:val="20"/>
                            <w:lang w:val="en-AU"/>
                          </w:rPr>
                          <w:br/>
                          <w:t>His Honour also noted that unitholders had not complained to the court about the adequacy of the information provided to them, nor any unfairness regarding the process.  Rather, Judd J found that by the time the meeting is due to commence, all information may be analysed and the plaintiff will then have a further opportunity to challenge the validity of any resolution removing it as responsible entity.</w:t>
                        </w:r>
                      </w:p>
                      <w:p w:rsidR="00A429FE" w:rsidRPr="00A429FE" w:rsidRDefault="00A429FE" w:rsidP="00A429F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7136" name="Picture 17136" descr="etailed Contents">
                                <a:hlinkClick xmlns:a="http://schemas.openxmlformats.org/drawingml/2006/main" r:id="rId1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36" descr="etailed Contents">
                                        <a:hlinkClick r:id="rId102"/>
                                      </pic:cNvPr>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A429FE" w:rsidRPr="00A429FE" w:rsidRDefault="00A429FE" w:rsidP="00A429FE">
                        <w:pPr>
                          <w:rPr>
                            <w:rFonts w:ascii="Times" w:eastAsia="Times New Roman" w:hAnsi="Times" w:cs="Times New Roman"/>
                            <w:sz w:val="20"/>
                            <w:szCs w:val="20"/>
                            <w:lang w:val="en-AU"/>
                          </w:rPr>
                        </w:pPr>
                        <w:r w:rsidRPr="00A429FE">
                          <w:rPr>
                            <w:rFonts w:ascii="Times" w:eastAsia="Times New Roman" w:hAnsi="Times" w:cs="Times New Roman"/>
                            <w:sz w:val="20"/>
                            <w:szCs w:val="20"/>
                            <w:lang w:val="en-AU"/>
                          </w:rPr>
                          <w:pict>
                            <v:rect id="_x0000_i18161" style="width:0;height:1.5pt" o:hralign="center" o:hrstd="t" o:hr="t" fillcolor="#aaa" stroked="f"/>
                          </w:pict>
                        </w:r>
                      </w:p>
                      <w:p w:rsidR="00A429FE" w:rsidRPr="00A429FE" w:rsidRDefault="00A429FE" w:rsidP="00A429FE">
                        <w:pPr>
                          <w:spacing w:before="100" w:beforeAutospacing="1" w:after="100" w:afterAutospacing="1"/>
                          <w:rPr>
                            <w:rFonts w:ascii="Times" w:hAnsi="Times" w:cs="Times New Roman"/>
                            <w:sz w:val="20"/>
                            <w:szCs w:val="20"/>
                            <w:lang w:val="en-AU"/>
                          </w:rPr>
                        </w:pPr>
                        <w:bookmarkStart w:id="60" w:name="057"/>
                        <w:bookmarkEnd w:id="60"/>
                        <w:r w:rsidRPr="00A429FE">
                          <w:rPr>
                            <w:rFonts w:ascii="Times" w:hAnsi="Times" w:cs="Times New Roman"/>
                            <w:b/>
                            <w:bCs/>
                            <w:sz w:val="20"/>
                            <w:szCs w:val="20"/>
                            <w:lang w:val="en-AU"/>
                          </w:rPr>
                          <w:t>5.7 Indemnification of corporate trustee for losses incurred after it becomes a bare trustee</w:t>
                        </w:r>
                        <w:r w:rsidRPr="00A429FE">
                          <w:rPr>
                            <w:rFonts w:ascii="Times" w:hAnsi="Times" w:cs="Times New Roman"/>
                            <w:b/>
                            <w:bCs/>
                            <w:sz w:val="20"/>
                            <w:szCs w:val="20"/>
                            <w:lang w:val="en-AU"/>
                          </w:rPr>
                          <w:br/>
                        </w:r>
                        <w:r w:rsidRPr="00A429FE">
                          <w:rPr>
                            <w:rFonts w:ascii="Times" w:hAnsi="Times" w:cs="Times New Roman"/>
                            <w:sz w:val="20"/>
                            <w:szCs w:val="20"/>
                            <w:lang w:val="en-AU"/>
                          </w:rPr>
                          <w:t> </w:t>
                        </w:r>
                        <w:r w:rsidRPr="00A429FE">
                          <w:rPr>
                            <w:rFonts w:ascii="Times" w:hAnsi="Times" w:cs="Times New Roman"/>
                            <w:sz w:val="20"/>
                            <w:szCs w:val="20"/>
                            <w:lang w:val="en-AU"/>
                          </w:rPr>
                          <w:br/>
                          <w:t>(By Steven Grant, Minter Ellison)</w:t>
                        </w:r>
                        <w:r w:rsidRPr="00A429FE">
                          <w:rPr>
                            <w:rFonts w:ascii="Times" w:hAnsi="Times" w:cs="Times New Roman"/>
                            <w:sz w:val="20"/>
                            <w:szCs w:val="20"/>
                            <w:lang w:val="en-AU"/>
                          </w:rPr>
                          <w:br/>
                          <w:t> </w:t>
                        </w:r>
                        <w:r w:rsidRPr="00A429FE">
                          <w:rPr>
                            <w:rFonts w:ascii="Times" w:hAnsi="Times" w:cs="Times New Roman"/>
                            <w:sz w:val="20"/>
                            <w:szCs w:val="20"/>
                            <w:lang w:val="en-AU"/>
                          </w:rPr>
                          <w:br/>
                          <w:t>Commissioner of Taxation v Bruton Holdings Pty Ltd (in liquidation) [2010] FCA 978, Federal Court of Australia, Graham J, 3 September 2010</w:t>
                        </w:r>
                        <w:r w:rsidRPr="00A429FE">
                          <w:rPr>
                            <w:rFonts w:ascii="Times" w:hAnsi="Times" w:cs="Times New Roman"/>
                            <w:sz w:val="20"/>
                            <w:szCs w:val="20"/>
                            <w:lang w:val="en-AU"/>
                          </w:rPr>
                          <w:br/>
                          <w:t> </w:t>
                        </w:r>
                        <w:r w:rsidRPr="00A429FE">
                          <w:rPr>
                            <w:rFonts w:ascii="Times" w:hAnsi="Times" w:cs="Times New Roman"/>
                            <w:sz w:val="20"/>
                            <w:szCs w:val="20"/>
                            <w:lang w:val="en-AU"/>
                          </w:rPr>
                          <w:br/>
                          <w:t>The full text of this judgment is available at:</w:t>
                        </w:r>
                      </w:p>
                      <w:p w:rsidR="00A429FE" w:rsidRPr="00A429FE" w:rsidRDefault="00A429FE" w:rsidP="00A429FE">
                        <w:pPr>
                          <w:spacing w:before="100" w:beforeAutospacing="1" w:after="100" w:afterAutospacing="1"/>
                          <w:rPr>
                            <w:rFonts w:ascii="Times" w:hAnsi="Times" w:cs="Times New Roman"/>
                            <w:sz w:val="20"/>
                            <w:szCs w:val="20"/>
                            <w:lang w:val="en-AU"/>
                          </w:rPr>
                        </w:pPr>
                        <w:r w:rsidRPr="00A429FE">
                          <w:rPr>
                            <w:rFonts w:ascii="Times" w:hAnsi="Times" w:cs="Times New Roman"/>
                            <w:sz w:val="20"/>
                            <w:szCs w:val="20"/>
                            <w:lang w:val="en-AU"/>
                          </w:rPr>
                          <w:fldChar w:fldCharType="begin"/>
                        </w:r>
                        <w:r w:rsidRPr="00A429FE">
                          <w:rPr>
                            <w:rFonts w:ascii="Times" w:hAnsi="Times" w:cs="Times New Roman"/>
                            <w:sz w:val="20"/>
                            <w:szCs w:val="20"/>
                            <w:lang w:val="en-AU"/>
                          </w:rPr>
                          <w:instrText xml:space="preserve"> HYPERLINK "http://www.austlii.edu.au/au/cases/cth/FCA/2010/978.html" \t "_new" </w:instrText>
                        </w:r>
                        <w:r w:rsidRPr="00A429FE">
                          <w:rPr>
                            <w:rFonts w:ascii="Times" w:hAnsi="Times" w:cs="Times New Roman"/>
                            <w:sz w:val="20"/>
                            <w:szCs w:val="20"/>
                            <w:lang w:val="en-AU"/>
                          </w:rPr>
                        </w:r>
                        <w:r w:rsidRPr="00A429FE">
                          <w:rPr>
                            <w:rFonts w:ascii="Times" w:hAnsi="Times" w:cs="Times New Roman"/>
                            <w:sz w:val="20"/>
                            <w:szCs w:val="20"/>
                            <w:lang w:val="en-AU"/>
                          </w:rPr>
                          <w:fldChar w:fldCharType="separate"/>
                        </w:r>
                        <w:r w:rsidRPr="00A429FE">
                          <w:rPr>
                            <w:rFonts w:ascii="Times" w:hAnsi="Times" w:cs="Times New Roman"/>
                            <w:color w:val="0000FF"/>
                            <w:sz w:val="20"/>
                            <w:szCs w:val="20"/>
                            <w:u w:val="single"/>
                            <w:lang w:val="en-AU"/>
                          </w:rPr>
                          <w:t>http://www.austlii.edu.au/au/cases/cth/FCA/2010/978.html</w:t>
                        </w:r>
                        <w:r w:rsidRPr="00A429FE">
                          <w:rPr>
                            <w:rFonts w:ascii="Times" w:hAnsi="Times" w:cs="Times New Roman"/>
                            <w:sz w:val="20"/>
                            <w:szCs w:val="20"/>
                            <w:lang w:val="en-AU"/>
                          </w:rPr>
                          <w:fldChar w:fldCharType="end"/>
                        </w:r>
                        <w:r w:rsidRPr="00A429FE">
                          <w:rPr>
                            <w:rFonts w:ascii="Times" w:hAnsi="Times" w:cs="Times New Roman"/>
                            <w:sz w:val="20"/>
                            <w:szCs w:val="20"/>
                            <w:lang w:val="en-AU"/>
                          </w:rPr>
                          <w:br/>
                          <w:t> </w:t>
                        </w:r>
                        <w:r w:rsidRPr="00A429FE">
                          <w:rPr>
                            <w:rFonts w:ascii="Times" w:hAnsi="Times" w:cs="Times New Roman"/>
                            <w:sz w:val="20"/>
                            <w:szCs w:val="20"/>
                            <w:lang w:val="en-AU"/>
                          </w:rPr>
                          <w:br/>
                        </w:r>
                        <w:r w:rsidRPr="00A429FE">
                          <w:rPr>
                            <w:rFonts w:ascii="Times" w:hAnsi="Times" w:cs="Times New Roman"/>
                            <w:b/>
                            <w:bCs/>
                            <w:sz w:val="20"/>
                            <w:szCs w:val="20"/>
                            <w:lang w:val="en-AU"/>
                          </w:rPr>
                          <w:t>(a) Summary</w:t>
                        </w:r>
                        <w:r w:rsidRPr="00A429FE">
                          <w:rPr>
                            <w:rFonts w:ascii="Times" w:hAnsi="Times" w:cs="Times New Roman"/>
                            <w:b/>
                            <w:bCs/>
                            <w:sz w:val="20"/>
                            <w:szCs w:val="20"/>
                            <w:lang w:val="en-AU"/>
                          </w:rPr>
                          <w:br/>
                        </w:r>
                        <w:r w:rsidRPr="00A429FE">
                          <w:rPr>
                            <w:rFonts w:ascii="Times" w:hAnsi="Times" w:cs="Times New Roman"/>
                            <w:sz w:val="20"/>
                            <w:szCs w:val="20"/>
                            <w:lang w:val="en-AU"/>
                          </w:rPr>
                          <w:t> </w:t>
                        </w:r>
                        <w:r w:rsidRPr="00A429FE">
                          <w:rPr>
                            <w:rFonts w:ascii="Times" w:hAnsi="Times" w:cs="Times New Roman"/>
                            <w:sz w:val="20"/>
                            <w:szCs w:val="20"/>
                            <w:lang w:val="en-AU"/>
                          </w:rPr>
                          <w:br/>
                          <w:t>The case concerned whether a corporate trustee was entitled to be indemnified out of the trust property for legal costs incurred after the corporate trustee became a bare trustee through commencement of a voluntary winding up.  A corporate trustee's right of exoneration is for liabilities properly incurred in the administration of the trust and extends to providing for its liability to pay remuneration to its liquidator and administrator, but only to the extent that work has been done in connection with the administration of the trust.  The liquidators were winding up a former trustee rather than a 'serving' trustee.  Accordingly the liquidators could not claim to have been performing the company's duties as trustee when incurring the legal costs.  Whilst the company still held trust property, it did so as a bare trustee whose duties, powers and rights were limited to protecting the trust assets and the liquidators' duties, powers and rights cannot be any greater than the company's.  As the legal costs were not properly incurred in connection with the trust, the corporate trustee was not entitled to be indemnified out of the trust property.</w:t>
                        </w:r>
                        <w:r w:rsidRPr="00A429FE">
                          <w:rPr>
                            <w:rFonts w:ascii="Times" w:hAnsi="Times" w:cs="Times New Roman"/>
                            <w:sz w:val="20"/>
                            <w:szCs w:val="20"/>
                            <w:lang w:val="en-AU"/>
                          </w:rPr>
                          <w:br/>
                          <w:t> </w:t>
                        </w:r>
                        <w:r w:rsidRPr="00A429FE">
                          <w:rPr>
                            <w:rFonts w:ascii="Times" w:hAnsi="Times" w:cs="Times New Roman"/>
                            <w:sz w:val="20"/>
                            <w:szCs w:val="20"/>
                            <w:lang w:val="en-AU"/>
                          </w:rPr>
                          <w:br/>
                        </w:r>
                        <w:r w:rsidRPr="00A429FE">
                          <w:rPr>
                            <w:rFonts w:ascii="Times" w:hAnsi="Times" w:cs="Times New Roman"/>
                            <w:b/>
                            <w:bCs/>
                            <w:sz w:val="20"/>
                            <w:szCs w:val="20"/>
                            <w:lang w:val="en-AU"/>
                          </w:rPr>
                          <w:t xml:space="preserve">(b) Facts   </w:t>
                        </w:r>
                        <w:r w:rsidRPr="00A429FE">
                          <w:rPr>
                            <w:rFonts w:ascii="Times" w:hAnsi="Times" w:cs="Times New Roman"/>
                            <w:b/>
                            <w:bCs/>
                            <w:sz w:val="20"/>
                            <w:szCs w:val="20"/>
                            <w:lang w:val="en-AU"/>
                          </w:rPr>
                          <w:br/>
                        </w:r>
                        <w:r w:rsidRPr="00A429FE">
                          <w:rPr>
                            <w:rFonts w:ascii="Times" w:hAnsi="Times" w:cs="Times New Roman"/>
                            <w:sz w:val="20"/>
                            <w:szCs w:val="20"/>
                            <w:lang w:val="en-AU"/>
                          </w:rPr>
                          <w:br/>
                          <w:t xml:space="preserve">Bruton Holdings Pty Ltd (Bruton) was incorporated on 27 May 1997.  On 8 July 1997 a Deed had been made between Michael Aitken and Bruton whereby the Bruton Educational Trust was constituted with Mr Aitken as the settlor and Bruton the corporate trustee of the Trust.  On 28 February 2007 Richard Albarran and Geoffrey McDonald were appointed as administrators of Bruton and on 30 April 2007 Bruton's creditors resolved that Bruton be wound up, with the consequence that it was taken to have passed a resolution on that day under the </w:t>
                        </w:r>
                        <w:r w:rsidRPr="00A429FE">
                          <w:rPr>
                            <w:rFonts w:ascii="Times" w:hAnsi="Times" w:cs="Times New Roman"/>
                            <w:sz w:val="20"/>
                            <w:szCs w:val="20"/>
                            <w:lang w:val="en-AU"/>
                          </w:rPr>
                          <w:fldChar w:fldCharType="begin"/>
                        </w:r>
                        <w:r w:rsidRPr="00A429FE">
                          <w:rPr>
                            <w:rFonts w:ascii="Times" w:hAnsi="Times" w:cs="Times New Roman"/>
                            <w:sz w:val="20"/>
                            <w:szCs w:val="20"/>
                            <w:lang w:val="en-AU"/>
                          </w:rPr>
                          <w:instrText xml:space="preserve"> HYPERLINK "http://my.lawlex.com.au/index.asp?pact=coredoc&amp;nav=col&amp;cid=56482" \t "Default" </w:instrText>
                        </w:r>
                        <w:r w:rsidRPr="00A429FE">
                          <w:rPr>
                            <w:rFonts w:ascii="Times" w:hAnsi="Times" w:cs="Times New Roman"/>
                            <w:sz w:val="20"/>
                            <w:szCs w:val="20"/>
                            <w:lang w:val="en-AU"/>
                          </w:rPr>
                        </w:r>
                        <w:r w:rsidRPr="00A429FE">
                          <w:rPr>
                            <w:rFonts w:ascii="Times" w:hAnsi="Times" w:cs="Times New Roman"/>
                            <w:sz w:val="20"/>
                            <w:szCs w:val="20"/>
                            <w:lang w:val="en-AU"/>
                          </w:rPr>
                          <w:fldChar w:fldCharType="separate"/>
                        </w:r>
                        <w:r w:rsidRPr="00A429FE">
                          <w:rPr>
                            <w:rFonts w:ascii="Times" w:hAnsi="Times" w:cs="Times New Roman"/>
                            <w:color w:val="0000FF"/>
                            <w:sz w:val="20"/>
                            <w:szCs w:val="20"/>
                            <w:u w:val="single"/>
                            <w:lang w:val="en-AU"/>
                          </w:rPr>
                          <w:t>Corporations Act 2001 (Cth)</w:t>
                        </w:r>
                        <w:r w:rsidRPr="00A429FE">
                          <w:rPr>
                            <w:rFonts w:ascii="Times" w:hAnsi="Times" w:cs="Times New Roman"/>
                            <w:sz w:val="20"/>
                            <w:szCs w:val="20"/>
                            <w:lang w:val="en-AU"/>
                          </w:rPr>
                          <w:fldChar w:fldCharType="end"/>
                        </w:r>
                        <w:r w:rsidRPr="00A429FE">
                          <w:rPr>
                            <w:rFonts w:ascii="Times" w:hAnsi="Times" w:cs="Times New Roman"/>
                            <w:sz w:val="20"/>
                            <w:szCs w:val="20"/>
                            <w:lang w:val="en-AU"/>
                          </w:rPr>
                          <w:t xml:space="preserve"> (Corporations Act), that it be wound up voluntarily, with the administrators becoming its liquidators.  By virtue of the Corporations Act the winding up was taken to have commenced on 28 February 2007.</w:t>
                        </w:r>
                        <w:r w:rsidRPr="00A429FE">
                          <w:rPr>
                            <w:rFonts w:ascii="Times" w:hAnsi="Times" w:cs="Times New Roman"/>
                            <w:sz w:val="20"/>
                            <w:szCs w:val="20"/>
                            <w:lang w:val="en-AU"/>
                          </w:rPr>
                          <w:br/>
                          <w:t> </w:t>
                        </w:r>
                        <w:r w:rsidRPr="00A429FE">
                          <w:rPr>
                            <w:rFonts w:ascii="Times" w:hAnsi="Times" w:cs="Times New Roman"/>
                            <w:sz w:val="20"/>
                            <w:szCs w:val="20"/>
                            <w:lang w:val="en-AU"/>
                          </w:rPr>
                          <w:br/>
                          <w:t xml:space="preserve">Bruton claimed to be a charitable entity entitled to be endorsed as exempt from income tax under the </w:t>
                        </w:r>
                        <w:r w:rsidRPr="00A429FE">
                          <w:rPr>
                            <w:rFonts w:ascii="Times" w:hAnsi="Times" w:cs="Times New Roman"/>
                            <w:sz w:val="20"/>
                            <w:szCs w:val="20"/>
                            <w:lang w:val="en-AU"/>
                          </w:rPr>
                          <w:fldChar w:fldCharType="begin"/>
                        </w:r>
                        <w:r w:rsidRPr="00A429FE">
                          <w:rPr>
                            <w:rFonts w:ascii="Times" w:hAnsi="Times" w:cs="Times New Roman"/>
                            <w:sz w:val="20"/>
                            <w:szCs w:val="20"/>
                            <w:lang w:val="en-AU"/>
                          </w:rPr>
                          <w:instrText xml:space="preserve"> HYPERLINK "http://my.lawlex.com.au/index.asp?pact=coredoc&amp;nav=col&amp;cid=5495" \t "Default" </w:instrText>
                        </w:r>
                        <w:r w:rsidRPr="00A429FE">
                          <w:rPr>
                            <w:rFonts w:ascii="Times" w:hAnsi="Times" w:cs="Times New Roman"/>
                            <w:sz w:val="20"/>
                            <w:szCs w:val="20"/>
                            <w:lang w:val="en-AU"/>
                          </w:rPr>
                        </w:r>
                        <w:r w:rsidRPr="00A429FE">
                          <w:rPr>
                            <w:rFonts w:ascii="Times" w:hAnsi="Times" w:cs="Times New Roman"/>
                            <w:sz w:val="20"/>
                            <w:szCs w:val="20"/>
                            <w:lang w:val="en-AU"/>
                          </w:rPr>
                          <w:fldChar w:fldCharType="separate"/>
                        </w:r>
                        <w:r w:rsidRPr="00A429FE">
                          <w:rPr>
                            <w:rFonts w:ascii="Times" w:hAnsi="Times" w:cs="Times New Roman"/>
                            <w:color w:val="0000FF"/>
                            <w:sz w:val="20"/>
                            <w:szCs w:val="20"/>
                            <w:u w:val="single"/>
                            <w:lang w:val="en-AU"/>
                          </w:rPr>
                          <w:t>Income Tax Assessment Act 1997 (Cth)</w:t>
                        </w:r>
                        <w:r w:rsidRPr="00A429FE">
                          <w:rPr>
                            <w:rFonts w:ascii="Times" w:hAnsi="Times" w:cs="Times New Roman"/>
                            <w:sz w:val="20"/>
                            <w:szCs w:val="20"/>
                            <w:lang w:val="en-AU"/>
                          </w:rPr>
                          <w:fldChar w:fldCharType="end"/>
                        </w:r>
                        <w:r w:rsidRPr="00A429FE">
                          <w:rPr>
                            <w:rFonts w:ascii="Times" w:hAnsi="Times" w:cs="Times New Roman"/>
                            <w:sz w:val="20"/>
                            <w:szCs w:val="20"/>
                            <w:lang w:val="en-AU"/>
                          </w:rPr>
                          <w:t xml:space="preserve"> and lodged an application with the Commissioner of Taxation (Commissioner), for endorsement as a tax exempt entity as from 1 July 2000.  That application was refused and Bruton lodged a Notice of Objection in respect of the Commissioner's decision, which was disallowed.  Bruton appealed against the objection decision of the Commissioner, however, the appeal was dismissed with costs. </w:t>
                        </w:r>
                        <w:r w:rsidRPr="00A429FE">
                          <w:rPr>
                            <w:rFonts w:ascii="Times" w:hAnsi="Times" w:cs="Times New Roman"/>
                            <w:sz w:val="20"/>
                            <w:szCs w:val="20"/>
                            <w:lang w:val="en-AU"/>
                          </w:rPr>
                          <w:br/>
                          <w:t> </w:t>
                        </w:r>
                        <w:r w:rsidRPr="00A429FE">
                          <w:rPr>
                            <w:rFonts w:ascii="Times" w:hAnsi="Times" w:cs="Times New Roman"/>
                            <w:sz w:val="20"/>
                            <w:szCs w:val="20"/>
                            <w:lang w:val="en-AU"/>
                          </w:rPr>
                          <w:br/>
                          <w:t>On 26 March 2007 the Commissioner of Taxation issued a Notice of Assessment directed to 'The trustee for Bruton Educational Trust' which recorded the taxpayer's taxable income for the year ended 30 June 2004 as $15,909,018 and called for payment of $7,715,873.73 by way of tax ($7,477,238.46) and Medicare levy ($238,635.27), which was said to be due on 30 April 2007.  Following the passage of the resolution for the winding up of Bruton on 30 April 2007, the Commissioner lodged a proof of debt directed to the liquidators of Bruton for $7,715,873.73.</w:t>
                        </w:r>
                        <w:r w:rsidRPr="00A429FE">
                          <w:rPr>
                            <w:rFonts w:ascii="Times" w:hAnsi="Times" w:cs="Times New Roman"/>
                            <w:sz w:val="20"/>
                            <w:szCs w:val="20"/>
                            <w:lang w:val="en-AU"/>
                          </w:rPr>
                          <w:br/>
                          <w:t> </w:t>
                        </w:r>
                        <w:r w:rsidRPr="00A429FE">
                          <w:rPr>
                            <w:rFonts w:ascii="Times" w:hAnsi="Times" w:cs="Times New Roman"/>
                            <w:sz w:val="20"/>
                            <w:szCs w:val="20"/>
                            <w:lang w:val="en-AU"/>
                          </w:rPr>
                          <w:br/>
                          <w:t xml:space="preserve">On 8 May 2007 the Commissioner of Taxation issued a notice to Piper Alderman requiring that firm (which had acted for Bruton in previous proceedings and held monies on Bruton's behalf in its trust account) to pay to the Commissioner the sum of $447,420.20.  The notice was said to have been given under section 260-5 of Schedule 1 of the </w:t>
                        </w:r>
                        <w:r w:rsidRPr="00A429FE">
                          <w:rPr>
                            <w:rFonts w:ascii="Times" w:hAnsi="Times" w:cs="Times New Roman"/>
                            <w:sz w:val="20"/>
                            <w:szCs w:val="20"/>
                            <w:lang w:val="en-AU"/>
                          </w:rPr>
                          <w:fldChar w:fldCharType="begin"/>
                        </w:r>
                        <w:r w:rsidRPr="00A429FE">
                          <w:rPr>
                            <w:rFonts w:ascii="Times" w:hAnsi="Times" w:cs="Times New Roman"/>
                            <w:sz w:val="20"/>
                            <w:szCs w:val="20"/>
                            <w:lang w:val="en-AU"/>
                          </w:rPr>
                          <w:instrText xml:space="preserve"> HYPERLINK "http://my.lawlex.com.au/index.asp?pact=coredoc&amp;nav=col&amp;cid=6441" \t "Default" </w:instrText>
                        </w:r>
                        <w:r w:rsidRPr="00A429FE">
                          <w:rPr>
                            <w:rFonts w:ascii="Times" w:hAnsi="Times" w:cs="Times New Roman"/>
                            <w:sz w:val="20"/>
                            <w:szCs w:val="20"/>
                            <w:lang w:val="en-AU"/>
                          </w:rPr>
                        </w:r>
                        <w:r w:rsidRPr="00A429FE">
                          <w:rPr>
                            <w:rFonts w:ascii="Times" w:hAnsi="Times" w:cs="Times New Roman"/>
                            <w:sz w:val="20"/>
                            <w:szCs w:val="20"/>
                            <w:lang w:val="en-AU"/>
                          </w:rPr>
                          <w:fldChar w:fldCharType="separate"/>
                        </w:r>
                        <w:r w:rsidRPr="00A429FE">
                          <w:rPr>
                            <w:rFonts w:ascii="Times" w:hAnsi="Times" w:cs="Times New Roman"/>
                            <w:color w:val="0000FF"/>
                            <w:sz w:val="20"/>
                            <w:szCs w:val="20"/>
                            <w:u w:val="single"/>
                            <w:lang w:val="en-AU"/>
                          </w:rPr>
                          <w:t>Taxation Administration Act 1953 (Cth)</w:t>
                        </w:r>
                        <w:r w:rsidRPr="00A429FE">
                          <w:rPr>
                            <w:rFonts w:ascii="Times" w:hAnsi="Times" w:cs="Times New Roman"/>
                            <w:sz w:val="20"/>
                            <w:szCs w:val="20"/>
                            <w:lang w:val="en-AU"/>
                          </w:rPr>
                          <w:fldChar w:fldCharType="end"/>
                        </w:r>
                        <w:r w:rsidRPr="00A429FE">
                          <w:rPr>
                            <w:rFonts w:ascii="Times" w:hAnsi="Times" w:cs="Times New Roman"/>
                            <w:sz w:val="20"/>
                            <w:szCs w:val="20"/>
                            <w:lang w:val="en-AU"/>
                          </w:rPr>
                          <w:t xml:space="preserve">.  On 30 May 2007 Bruton, then in liquidation, instituted the proceedings against the Commissioner and Piper Alderman seeking a declaration that the notice issued under section 260-5 was void by virtue of section 500(1) of the Corporations Act, which provides that any attachment, sequestration, distress or execution put in force against the property of the company after the passing of the resolution for voluntary winding up is void.  Allsop J made a declaration that the notice was void.  The Full Court of the Federal Court allowed an appeal by the Commissioner from that decision.  Bruton then appealed to the High Court from the judgment of the Full Court following a grant of special leave to do so.  The High Court ordered that the appeal be allowed with costs.  It set aside the orders of the Full Court made on 25 February 2009 and, in their place, ordered that the appeal to the Full Court be dismissed with costs.  </w:t>
                        </w:r>
                        <w:r w:rsidRPr="00A429FE">
                          <w:rPr>
                            <w:rFonts w:ascii="Times" w:hAnsi="Times" w:cs="Times New Roman"/>
                            <w:sz w:val="20"/>
                            <w:szCs w:val="20"/>
                            <w:lang w:val="en-AU"/>
                          </w:rPr>
                          <w:br/>
                          <w:t> </w:t>
                        </w:r>
                        <w:r w:rsidRPr="00A429FE">
                          <w:rPr>
                            <w:rFonts w:ascii="Times" w:hAnsi="Times" w:cs="Times New Roman"/>
                            <w:sz w:val="20"/>
                            <w:szCs w:val="20"/>
                            <w:lang w:val="en-AU"/>
                          </w:rPr>
                          <w:br/>
                          <w:t>On or about 18 February 2008 and 12 March 2008 the monies held on trust by Piper Alderman were transferred into an account in the name of Bruton.  According to the solicitor with the conduct of the matter for the Commissioner, on or about 25 March 2009 Bruton 'paid over the amounts remaining from the fund after certain drawings relating to legal fees of the costs of the first instance proceedings and the appeal [to the Full Court]' ($296,590.24).  Subsequently, the fund appeared to have been paid to Bruton's solicitors.</w:t>
                        </w:r>
                        <w:r w:rsidRPr="00A429FE">
                          <w:rPr>
                            <w:rFonts w:ascii="Times" w:hAnsi="Times" w:cs="Times New Roman"/>
                            <w:sz w:val="20"/>
                            <w:szCs w:val="20"/>
                            <w:lang w:val="en-AU"/>
                          </w:rPr>
                          <w:br/>
                          <w:t> </w:t>
                        </w:r>
                        <w:r w:rsidRPr="00A429FE">
                          <w:rPr>
                            <w:rFonts w:ascii="Times" w:hAnsi="Times" w:cs="Times New Roman"/>
                            <w:sz w:val="20"/>
                            <w:szCs w:val="20"/>
                            <w:lang w:val="en-AU"/>
                          </w:rPr>
                          <w:br/>
                          <w:t xml:space="preserve">The Commission then sought relief in these proceedings from Bruton, seeking inter alia, a declaration that Bruton was not entitled to indemnification by exoneration or recoupment out of the property of the Bruton Educational Trust for expenses incurred in the proceedings before Allsop J, the proceedings for special leave to appeal and on appeal to the High Court.  </w:t>
                        </w:r>
                        <w:r w:rsidRPr="00A429FE">
                          <w:rPr>
                            <w:rFonts w:ascii="Times" w:hAnsi="Times" w:cs="Times New Roman"/>
                            <w:sz w:val="20"/>
                            <w:szCs w:val="20"/>
                            <w:lang w:val="en-AU"/>
                          </w:rPr>
                          <w:br/>
                          <w:t> </w:t>
                        </w:r>
                        <w:r w:rsidRPr="00A429FE">
                          <w:rPr>
                            <w:rFonts w:ascii="Times" w:hAnsi="Times" w:cs="Times New Roman"/>
                            <w:sz w:val="20"/>
                            <w:szCs w:val="20"/>
                            <w:lang w:val="en-AU"/>
                          </w:rPr>
                          <w:br/>
                        </w:r>
                        <w:r w:rsidRPr="00A429FE">
                          <w:rPr>
                            <w:rFonts w:ascii="Times" w:hAnsi="Times" w:cs="Times New Roman"/>
                            <w:b/>
                            <w:bCs/>
                            <w:sz w:val="20"/>
                            <w:szCs w:val="20"/>
                            <w:lang w:val="en-AU"/>
                          </w:rPr>
                          <w:t xml:space="preserve">(c) Decision  </w:t>
                        </w:r>
                        <w:r w:rsidRPr="00A429FE">
                          <w:rPr>
                            <w:rFonts w:ascii="Times" w:hAnsi="Times" w:cs="Times New Roman"/>
                            <w:b/>
                            <w:bCs/>
                            <w:sz w:val="20"/>
                            <w:szCs w:val="20"/>
                            <w:lang w:val="en-AU"/>
                          </w:rPr>
                          <w:br/>
                        </w:r>
                        <w:r w:rsidRPr="00A429FE">
                          <w:rPr>
                            <w:rFonts w:ascii="Times" w:hAnsi="Times" w:cs="Times New Roman"/>
                            <w:sz w:val="20"/>
                            <w:szCs w:val="20"/>
                            <w:lang w:val="en-AU"/>
                          </w:rPr>
                          <w:br/>
                          <w:t>All of the expenses in respect of which declaratory relief was sought were incurred in proceedings instituted on 30 May 2007, three months after the termination of Bruton's office as trustee of the Bruton Educational Trust, by virtue of the entry of Bruton into administration on 28 February 2007, and after the deemed passage of a special resolution under the Corporations Act that Bruton be wound up voluntarily.</w:t>
                        </w:r>
                        <w:r w:rsidRPr="00A429FE">
                          <w:rPr>
                            <w:rFonts w:ascii="Times" w:hAnsi="Times" w:cs="Times New Roman"/>
                            <w:sz w:val="20"/>
                            <w:szCs w:val="20"/>
                            <w:lang w:val="en-AU"/>
                          </w:rPr>
                          <w:br/>
                          <w:t> </w:t>
                        </w:r>
                        <w:r w:rsidRPr="00A429FE">
                          <w:rPr>
                            <w:rFonts w:ascii="Times" w:hAnsi="Times" w:cs="Times New Roman"/>
                            <w:sz w:val="20"/>
                            <w:szCs w:val="20"/>
                            <w:lang w:val="en-AU"/>
                          </w:rPr>
                          <w:br/>
                          <w:t>As orders for costs were made against the Commission in those proceedings, it was acknowledged that, from a practical point of view, the Commissioner's case was in respect of the difference between Bruton's solicitor and client and party and party costs referable to those proceedings.  The Commissioner's case was that that difference should not be paid out of the remainder of the trust fund monies.</w:t>
                        </w:r>
                        <w:r w:rsidRPr="00A429FE">
                          <w:rPr>
                            <w:rFonts w:ascii="Times" w:hAnsi="Times" w:cs="Times New Roman"/>
                            <w:sz w:val="20"/>
                            <w:szCs w:val="20"/>
                            <w:lang w:val="en-AU"/>
                          </w:rPr>
                          <w:br/>
                          <w:t> </w:t>
                        </w:r>
                        <w:r w:rsidRPr="00A429FE">
                          <w:rPr>
                            <w:rFonts w:ascii="Times" w:hAnsi="Times" w:cs="Times New Roman"/>
                            <w:sz w:val="20"/>
                            <w:szCs w:val="20"/>
                            <w:lang w:val="en-AU"/>
                          </w:rPr>
                          <w:br/>
                          <w:t xml:space="preserve">A trustee who, in discharge of the position of trustee, enters into business transactions is personally liable for any debts that are incurred in the course of those transactions.  However, the trustee is entitled to be indemnified against those liabilities from the trust property held by the trustee and for the purpose of enforcing the indemnity the trustee possesses a charge or right of lien over those assets. </w:t>
                        </w:r>
                        <w:r w:rsidRPr="00A429FE">
                          <w:rPr>
                            <w:rFonts w:ascii="Times" w:hAnsi="Times" w:cs="Times New Roman"/>
                            <w:sz w:val="20"/>
                            <w:szCs w:val="20"/>
                            <w:lang w:val="en-AU"/>
                          </w:rPr>
                          <w:br/>
                          <w:t> </w:t>
                        </w:r>
                        <w:r w:rsidRPr="00A429FE">
                          <w:rPr>
                            <w:rFonts w:ascii="Times" w:hAnsi="Times" w:cs="Times New Roman"/>
                            <w:sz w:val="20"/>
                            <w:szCs w:val="20"/>
                            <w:lang w:val="en-AU"/>
                          </w:rPr>
                          <w:br/>
                          <w:t>Where a trustee company has a duty to incur debts for the purposes of the trust business, it also has a duty to pay those debts.  If the company's obligation as trustee to pay the debts incurred in carrying out the trust cannot be performed unless the liquidation of the trustee company proceeds, the liquidator's costs, expenses and remuneration should be regarded as debts of the trustee company incurred in discharging the duties imposed by the trust and as covered by the trustee's right of indemnity.  However, the indemnity only extends to work done in connection with the administration of the trust.</w:t>
                        </w:r>
                        <w:r w:rsidRPr="00A429FE">
                          <w:rPr>
                            <w:rFonts w:ascii="Times" w:hAnsi="Times" w:cs="Times New Roman"/>
                            <w:sz w:val="20"/>
                            <w:szCs w:val="20"/>
                            <w:lang w:val="en-AU"/>
                          </w:rPr>
                          <w:br/>
                          <w:t> </w:t>
                        </w:r>
                        <w:r w:rsidRPr="00A429FE">
                          <w:rPr>
                            <w:rFonts w:ascii="Times" w:hAnsi="Times" w:cs="Times New Roman"/>
                            <w:sz w:val="20"/>
                            <w:szCs w:val="20"/>
                            <w:lang w:val="en-AU"/>
                          </w:rPr>
                          <w:br/>
                          <w:t xml:space="preserve">Bruton submitted that the litigation expenses incurred by Bruton as a bare trustee in this case were 'properly incurred' in preserving, realising or getting in property of the company.  However, Graham J held that the proceedings were not proceedings in which the involvement of Bruton could be said to have been at the request of the court and the expenses were not 'properly incurred' in preserving, realising or getting in property of Bruton.  Graham J noted that the liquidators were winding up a former trustee rather than a 'serving' trustee.  Accordingly the liquidators could not claim to have been performing Bruton's duties as trustee.  Whilst Bruton may have still held trust property, it did so as a bare trustee whose duties, powers and rights were limited to protecting the trust assets and the liquidators' duties, powers and rights cannot be any greater than Bruton's. </w:t>
                        </w:r>
                        <w:r w:rsidRPr="00A429FE">
                          <w:rPr>
                            <w:rFonts w:ascii="Times" w:hAnsi="Times" w:cs="Times New Roman"/>
                            <w:sz w:val="20"/>
                            <w:szCs w:val="20"/>
                            <w:lang w:val="en-AU"/>
                          </w:rPr>
                          <w:br/>
                          <w:t> </w:t>
                        </w:r>
                        <w:r w:rsidRPr="00A429FE">
                          <w:rPr>
                            <w:rFonts w:ascii="Times" w:hAnsi="Times" w:cs="Times New Roman"/>
                            <w:sz w:val="20"/>
                            <w:szCs w:val="20"/>
                            <w:lang w:val="en-AU"/>
                          </w:rPr>
                          <w:br/>
                          <w:t xml:space="preserve">As a bare trustee of the assets comprising the trust fund as from 28 February 2007, it was no part of Bruton's functions or responsibilities to institute the current proceedings as it did on 30 May 2007.  The costs incurred were not 'properly incurred' by Bruton in the administration of the trust fund.  The action taken, albeit successfully, was not the action of a trustee in the discharge of its then trust obligations.  The liabilities that Bruton incurred in relation to the proceedings were not incurred in the proper performance of Bruton's duties or exercise of its powers.  </w:t>
                        </w:r>
                        <w:r w:rsidRPr="00A429FE">
                          <w:rPr>
                            <w:rFonts w:ascii="Times" w:hAnsi="Times" w:cs="Times New Roman"/>
                            <w:sz w:val="20"/>
                            <w:szCs w:val="20"/>
                            <w:lang w:val="en-AU"/>
                          </w:rPr>
                          <w:br/>
                          <w:t> </w:t>
                        </w:r>
                        <w:r w:rsidRPr="00A429FE">
                          <w:rPr>
                            <w:rFonts w:ascii="Times" w:hAnsi="Times" w:cs="Times New Roman"/>
                            <w:sz w:val="20"/>
                            <w:szCs w:val="20"/>
                            <w:lang w:val="en-AU"/>
                          </w:rPr>
                          <w:br/>
                          <w:t xml:space="preserve">Accordingly, Graham J declared that Bruton was not entitled to indemnification by exoneration or recoupment out of the property of the Bruton Educational Trust for expenses in the proceedings and made a declaration and awarded costs against Bruton. </w:t>
                        </w:r>
                      </w:p>
                      <w:p w:rsidR="00A429FE" w:rsidRPr="00A429FE" w:rsidRDefault="00A429FE" w:rsidP="00A429F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7138" name="Picture 17138" descr="etailed Contents">
                                <a:hlinkClick xmlns:a="http://schemas.openxmlformats.org/drawingml/2006/main" r:id="rId1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38" descr="etailed Contents">
                                        <a:hlinkClick r:id="rId102"/>
                                      </pic:cNvPr>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A429FE" w:rsidRPr="00A429FE" w:rsidRDefault="00A429FE" w:rsidP="00A429FE">
                        <w:pPr>
                          <w:rPr>
                            <w:rFonts w:ascii="Times" w:eastAsia="Times New Roman" w:hAnsi="Times" w:cs="Times New Roman"/>
                            <w:sz w:val="20"/>
                            <w:szCs w:val="20"/>
                            <w:lang w:val="en-AU"/>
                          </w:rPr>
                        </w:pPr>
                        <w:r w:rsidRPr="00A429FE">
                          <w:rPr>
                            <w:rFonts w:ascii="Times" w:eastAsia="Times New Roman" w:hAnsi="Times" w:cs="Times New Roman"/>
                            <w:sz w:val="20"/>
                            <w:szCs w:val="20"/>
                            <w:lang w:val="en-AU"/>
                          </w:rPr>
                          <w:pict>
                            <v:rect id="_x0000_i18163" style="width:0;height:1.5pt" o:hralign="center" o:hrstd="t" o:hr="t" fillcolor="#aaa" stroked="f"/>
                          </w:pict>
                        </w:r>
                      </w:p>
                      <w:p w:rsidR="00A429FE" w:rsidRPr="00A429FE" w:rsidRDefault="00A429FE" w:rsidP="00A429FE">
                        <w:pPr>
                          <w:spacing w:before="100" w:beforeAutospacing="1" w:after="100" w:afterAutospacing="1"/>
                          <w:rPr>
                            <w:rFonts w:ascii="Times" w:hAnsi="Times" w:cs="Times New Roman"/>
                            <w:sz w:val="20"/>
                            <w:szCs w:val="20"/>
                            <w:lang w:val="en-AU"/>
                          </w:rPr>
                        </w:pPr>
                        <w:bookmarkStart w:id="61" w:name="058"/>
                        <w:bookmarkEnd w:id="61"/>
                        <w:r w:rsidRPr="00A429FE">
                          <w:rPr>
                            <w:rFonts w:ascii="Times" w:hAnsi="Times" w:cs="Times New Roman"/>
                            <w:b/>
                            <w:bCs/>
                            <w:sz w:val="20"/>
                            <w:szCs w:val="20"/>
                            <w:lang w:val="en-AU"/>
                          </w:rPr>
                          <w:t xml:space="preserve">5.8 The objectives of Part 5.3D are vital to an application under section 440C of the Corporations Act </w:t>
                        </w:r>
                        <w:r w:rsidRPr="00A429FE">
                          <w:rPr>
                            <w:rFonts w:ascii="Times" w:hAnsi="Times" w:cs="Times New Roman"/>
                            <w:b/>
                            <w:bCs/>
                            <w:sz w:val="20"/>
                            <w:szCs w:val="20"/>
                            <w:lang w:val="en-AU"/>
                          </w:rPr>
                          <w:br/>
                        </w:r>
                        <w:r w:rsidRPr="00A429FE">
                          <w:rPr>
                            <w:rFonts w:ascii="Times" w:hAnsi="Times" w:cs="Times New Roman"/>
                            <w:sz w:val="20"/>
                            <w:szCs w:val="20"/>
                            <w:lang w:val="en-AU"/>
                          </w:rPr>
                          <w:t> </w:t>
                        </w:r>
                        <w:r w:rsidRPr="00A429FE">
                          <w:rPr>
                            <w:rFonts w:ascii="Times" w:hAnsi="Times" w:cs="Times New Roman"/>
                            <w:sz w:val="20"/>
                            <w:szCs w:val="20"/>
                            <w:lang w:val="en-AU"/>
                          </w:rPr>
                          <w:br/>
                          <w:t>(By Laura Keily and Olivia Draudins, Corrs Chambers Westgarth)</w:t>
                        </w:r>
                        <w:r w:rsidRPr="00A429FE">
                          <w:rPr>
                            <w:rFonts w:ascii="Times" w:hAnsi="Times" w:cs="Times New Roman"/>
                            <w:sz w:val="20"/>
                            <w:szCs w:val="20"/>
                            <w:lang w:val="en-AU"/>
                          </w:rPr>
                          <w:br/>
                          <w:t> </w:t>
                        </w:r>
                        <w:r w:rsidRPr="00A429FE">
                          <w:rPr>
                            <w:rFonts w:ascii="Times" w:hAnsi="Times" w:cs="Times New Roman"/>
                            <w:sz w:val="20"/>
                            <w:szCs w:val="20"/>
                            <w:lang w:val="en-AU"/>
                          </w:rPr>
                          <w:br/>
                          <w:t>Rewards Land Pty Ltd (administrators appointed) (receivers and managers appointed) v Jones [2010] WASC 233, Supreme Court of Western Australia, Le Miere J, 2 September 2010</w:t>
                        </w:r>
                        <w:r w:rsidRPr="00A429FE">
                          <w:rPr>
                            <w:rFonts w:ascii="Times" w:hAnsi="Times" w:cs="Times New Roman"/>
                            <w:sz w:val="20"/>
                            <w:szCs w:val="20"/>
                            <w:lang w:val="en-AU"/>
                          </w:rPr>
                          <w:br/>
                          <w:t> </w:t>
                        </w:r>
                        <w:r w:rsidRPr="00A429FE">
                          <w:rPr>
                            <w:rFonts w:ascii="Times" w:hAnsi="Times" w:cs="Times New Roman"/>
                            <w:sz w:val="20"/>
                            <w:szCs w:val="20"/>
                            <w:lang w:val="en-AU"/>
                          </w:rPr>
                          <w:br/>
                          <w:t>The full text of this judgment is available at:</w:t>
                        </w:r>
                      </w:p>
                      <w:p w:rsidR="00A429FE" w:rsidRPr="00A429FE" w:rsidRDefault="00A429FE" w:rsidP="00A429FE">
                        <w:pPr>
                          <w:spacing w:before="100" w:beforeAutospacing="1" w:after="100" w:afterAutospacing="1"/>
                          <w:rPr>
                            <w:rFonts w:ascii="Times" w:hAnsi="Times" w:cs="Times New Roman"/>
                            <w:sz w:val="20"/>
                            <w:szCs w:val="20"/>
                            <w:lang w:val="en-AU"/>
                          </w:rPr>
                        </w:pPr>
                        <w:r w:rsidRPr="00A429FE">
                          <w:rPr>
                            <w:rFonts w:ascii="Times" w:hAnsi="Times" w:cs="Times New Roman"/>
                            <w:sz w:val="20"/>
                            <w:szCs w:val="20"/>
                            <w:lang w:val="en-AU"/>
                          </w:rPr>
                          <w:fldChar w:fldCharType="begin"/>
                        </w:r>
                        <w:r w:rsidRPr="00A429FE">
                          <w:rPr>
                            <w:rFonts w:ascii="Times" w:hAnsi="Times" w:cs="Times New Roman"/>
                            <w:sz w:val="20"/>
                            <w:szCs w:val="20"/>
                            <w:lang w:val="en-AU"/>
                          </w:rPr>
                          <w:instrText xml:space="preserve"> HYPERLINK "http://www.austlii.edu.au/au/cases/wa/WASC/2010/233.html" \t "_new" </w:instrText>
                        </w:r>
                        <w:r w:rsidRPr="00A429FE">
                          <w:rPr>
                            <w:rFonts w:ascii="Times" w:hAnsi="Times" w:cs="Times New Roman"/>
                            <w:sz w:val="20"/>
                            <w:szCs w:val="20"/>
                            <w:lang w:val="en-AU"/>
                          </w:rPr>
                        </w:r>
                        <w:r w:rsidRPr="00A429FE">
                          <w:rPr>
                            <w:rFonts w:ascii="Times" w:hAnsi="Times" w:cs="Times New Roman"/>
                            <w:sz w:val="20"/>
                            <w:szCs w:val="20"/>
                            <w:lang w:val="en-AU"/>
                          </w:rPr>
                          <w:fldChar w:fldCharType="separate"/>
                        </w:r>
                        <w:r w:rsidRPr="00A429FE">
                          <w:rPr>
                            <w:rFonts w:ascii="Times" w:hAnsi="Times" w:cs="Times New Roman"/>
                            <w:color w:val="0000FF"/>
                            <w:sz w:val="20"/>
                            <w:szCs w:val="20"/>
                            <w:u w:val="single"/>
                            <w:lang w:val="en-AU"/>
                          </w:rPr>
                          <w:t>http://www.austlii.edu.au/au/cases/wa/WASC/2010/233.html</w:t>
                        </w:r>
                        <w:r w:rsidRPr="00A429FE">
                          <w:rPr>
                            <w:rFonts w:ascii="Times" w:hAnsi="Times" w:cs="Times New Roman"/>
                            <w:sz w:val="20"/>
                            <w:szCs w:val="20"/>
                            <w:lang w:val="en-AU"/>
                          </w:rPr>
                          <w:fldChar w:fldCharType="end"/>
                        </w:r>
                        <w:r w:rsidRPr="00A429FE">
                          <w:rPr>
                            <w:rFonts w:ascii="Times" w:hAnsi="Times" w:cs="Times New Roman"/>
                            <w:sz w:val="20"/>
                            <w:szCs w:val="20"/>
                            <w:lang w:val="en-AU"/>
                          </w:rPr>
                          <w:br/>
                          <w:t> </w:t>
                        </w:r>
                        <w:r w:rsidRPr="00A429FE">
                          <w:rPr>
                            <w:rFonts w:ascii="Times" w:hAnsi="Times" w:cs="Times New Roman"/>
                            <w:sz w:val="20"/>
                            <w:szCs w:val="20"/>
                            <w:lang w:val="en-AU"/>
                          </w:rPr>
                          <w:br/>
                        </w:r>
                        <w:r w:rsidRPr="00A429FE">
                          <w:rPr>
                            <w:rFonts w:ascii="Times" w:hAnsi="Times" w:cs="Times New Roman"/>
                            <w:b/>
                            <w:bCs/>
                            <w:sz w:val="20"/>
                            <w:szCs w:val="20"/>
                            <w:lang w:val="en-AU"/>
                          </w:rPr>
                          <w:t>(a) Summary</w:t>
                        </w:r>
                        <w:r w:rsidRPr="00A429FE">
                          <w:rPr>
                            <w:rFonts w:ascii="Times" w:hAnsi="Times" w:cs="Times New Roman"/>
                            <w:b/>
                            <w:bCs/>
                            <w:sz w:val="20"/>
                            <w:szCs w:val="20"/>
                            <w:lang w:val="en-AU"/>
                          </w:rPr>
                          <w:br/>
                        </w:r>
                        <w:r w:rsidRPr="00A429FE">
                          <w:rPr>
                            <w:rFonts w:ascii="Times" w:hAnsi="Times" w:cs="Times New Roman"/>
                            <w:sz w:val="20"/>
                            <w:szCs w:val="20"/>
                            <w:lang w:val="en-AU"/>
                          </w:rPr>
                          <w:t> </w:t>
                        </w:r>
                        <w:r w:rsidRPr="00A429FE">
                          <w:rPr>
                            <w:rFonts w:ascii="Times" w:hAnsi="Times" w:cs="Times New Roman"/>
                            <w:sz w:val="20"/>
                            <w:szCs w:val="20"/>
                            <w:lang w:val="en-AU"/>
                          </w:rPr>
                          <w:br/>
                          <w:t xml:space="preserve">Section 440C of the </w:t>
                        </w:r>
                        <w:r w:rsidRPr="00A429FE">
                          <w:rPr>
                            <w:rFonts w:ascii="Times" w:hAnsi="Times" w:cs="Times New Roman"/>
                            <w:sz w:val="20"/>
                            <w:szCs w:val="20"/>
                            <w:lang w:val="en-AU"/>
                          </w:rPr>
                          <w:fldChar w:fldCharType="begin"/>
                        </w:r>
                        <w:r w:rsidRPr="00A429FE">
                          <w:rPr>
                            <w:rFonts w:ascii="Times" w:hAnsi="Times" w:cs="Times New Roman"/>
                            <w:sz w:val="20"/>
                            <w:szCs w:val="20"/>
                            <w:lang w:val="en-AU"/>
                          </w:rPr>
                          <w:instrText xml:space="preserve"> HYPERLINK "http://my.lawlex.com.au/index.asp?pact=coredoc&amp;nav=col&amp;cid=56482" \t "Default" </w:instrText>
                        </w:r>
                        <w:r w:rsidRPr="00A429FE">
                          <w:rPr>
                            <w:rFonts w:ascii="Times" w:hAnsi="Times" w:cs="Times New Roman"/>
                            <w:sz w:val="20"/>
                            <w:szCs w:val="20"/>
                            <w:lang w:val="en-AU"/>
                          </w:rPr>
                        </w:r>
                        <w:r w:rsidRPr="00A429FE">
                          <w:rPr>
                            <w:rFonts w:ascii="Times" w:hAnsi="Times" w:cs="Times New Roman"/>
                            <w:sz w:val="20"/>
                            <w:szCs w:val="20"/>
                            <w:lang w:val="en-AU"/>
                          </w:rPr>
                          <w:fldChar w:fldCharType="separate"/>
                        </w:r>
                        <w:r w:rsidRPr="00A429FE">
                          <w:rPr>
                            <w:rFonts w:ascii="Times" w:hAnsi="Times" w:cs="Times New Roman"/>
                            <w:color w:val="0000FF"/>
                            <w:sz w:val="20"/>
                            <w:szCs w:val="20"/>
                            <w:u w:val="single"/>
                            <w:lang w:val="en-AU"/>
                          </w:rPr>
                          <w:t>Corporations Act 2001 (Cth)</w:t>
                        </w:r>
                        <w:r w:rsidRPr="00A429FE">
                          <w:rPr>
                            <w:rFonts w:ascii="Times" w:hAnsi="Times" w:cs="Times New Roman"/>
                            <w:sz w:val="20"/>
                            <w:szCs w:val="20"/>
                            <w:lang w:val="en-AU"/>
                          </w:rPr>
                          <w:fldChar w:fldCharType="end"/>
                        </w:r>
                        <w:r w:rsidRPr="00A429FE">
                          <w:rPr>
                            <w:rFonts w:ascii="Times" w:hAnsi="Times" w:cs="Times New Roman"/>
                            <w:sz w:val="20"/>
                            <w:szCs w:val="20"/>
                            <w:lang w:val="en-AU"/>
                          </w:rPr>
                          <w:t xml:space="preserve"> (the Act) provides that during the administration of a company, the owner or lessor of property that is used or occupied by or is in the possession of the company, cannot take possession of the property or otherwise recover it except with the administrator's written consent or with the leave of the court.  The plaintiffs in this case, two entities that had leased land to the defendants for the purposes of a managed investment scheme, sought to recover possession of these properties after the defendant companies were put into administration.</w:t>
                        </w:r>
                        <w:r w:rsidRPr="00A429FE">
                          <w:rPr>
                            <w:rFonts w:ascii="Times" w:hAnsi="Times" w:cs="Times New Roman"/>
                            <w:sz w:val="20"/>
                            <w:szCs w:val="20"/>
                            <w:lang w:val="en-AU"/>
                          </w:rPr>
                          <w:br/>
                          <w:t> </w:t>
                        </w:r>
                        <w:r w:rsidRPr="00A429FE">
                          <w:rPr>
                            <w:rFonts w:ascii="Times" w:hAnsi="Times" w:cs="Times New Roman"/>
                            <w:sz w:val="20"/>
                            <w:szCs w:val="20"/>
                            <w:lang w:val="en-AU"/>
                          </w:rPr>
                          <w:br/>
                          <w:t>Le Miere J found that the interests of the property owners must be balanced against the interests of the company in administration, with regard also paid to the interests of members of the company and its creditors.  It was held that the evidence lead by the plaintiffs had not adequately established that it should be allowed to take possession of the properties to prevent them from being damaged and devalued due to a lack of proper maintenance.  It was also held that if the plaintiffs were allowed to take possession of the properties, it would be difficult, if not impossible, for the company that was in administration to enter into a deed of company arrangement that had been proposed, the prospects of which were to be assessed by the company's creditors.</w:t>
                        </w:r>
                        <w:r w:rsidRPr="00A429FE">
                          <w:rPr>
                            <w:rFonts w:ascii="Times" w:hAnsi="Times" w:cs="Times New Roman"/>
                            <w:sz w:val="20"/>
                            <w:szCs w:val="20"/>
                            <w:lang w:val="en-AU"/>
                          </w:rPr>
                          <w:br/>
                          <w:t> </w:t>
                        </w:r>
                        <w:r w:rsidRPr="00A429FE">
                          <w:rPr>
                            <w:rFonts w:ascii="Times" w:hAnsi="Times" w:cs="Times New Roman"/>
                            <w:sz w:val="20"/>
                            <w:szCs w:val="20"/>
                            <w:lang w:val="en-AU"/>
                          </w:rPr>
                          <w:br/>
                          <w:t>The plaintiff's application for leave to take possession of the leased properties under section 440C of the Act was therefore refused.</w:t>
                        </w:r>
                        <w:r w:rsidRPr="00A429FE">
                          <w:rPr>
                            <w:rFonts w:ascii="Times" w:hAnsi="Times" w:cs="Times New Roman"/>
                            <w:sz w:val="20"/>
                            <w:szCs w:val="20"/>
                            <w:lang w:val="en-AU"/>
                          </w:rPr>
                          <w:br/>
                          <w:t> </w:t>
                        </w:r>
                        <w:r w:rsidRPr="00A429FE">
                          <w:rPr>
                            <w:rFonts w:ascii="Times" w:hAnsi="Times" w:cs="Times New Roman"/>
                            <w:sz w:val="20"/>
                            <w:szCs w:val="20"/>
                            <w:lang w:val="en-AU"/>
                          </w:rPr>
                          <w:br/>
                        </w:r>
                        <w:r w:rsidRPr="00A429FE">
                          <w:rPr>
                            <w:rFonts w:ascii="Times" w:hAnsi="Times" w:cs="Times New Roman"/>
                            <w:b/>
                            <w:bCs/>
                            <w:sz w:val="20"/>
                            <w:szCs w:val="20"/>
                            <w:lang w:val="en-AU"/>
                          </w:rPr>
                          <w:t xml:space="preserve">(b) Facts </w:t>
                        </w:r>
                        <w:r w:rsidRPr="00A429FE">
                          <w:rPr>
                            <w:rFonts w:ascii="Times" w:hAnsi="Times" w:cs="Times New Roman"/>
                            <w:b/>
                            <w:bCs/>
                            <w:sz w:val="20"/>
                            <w:szCs w:val="20"/>
                            <w:lang w:val="en-AU"/>
                          </w:rPr>
                          <w:br/>
                        </w:r>
                        <w:r w:rsidRPr="00A429FE">
                          <w:rPr>
                            <w:rFonts w:ascii="Times" w:hAnsi="Times" w:cs="Times New Roman"/>
                            <w:sz w:val="20"/>
                            <w:szCs w:val="20"/>
                            <w:lang w:val="en-AU"/>
                          </w:rPr>
                          <w:t> </w:t>
                        </w:r>
                        <w:r w:rsidRPr="00A429FE">
                          <w:rPr>
                            <w:rFonts w:ascii="Times" w:hAnsi="Times" w:cs="Times New Roman"/>
                            <w:sz w:val="20"/>
                            <w:szCs w:val="20"/>
                            <w:lang w:val="en-AU"/>
                          </w:rPr>
                          <w:br/>
                          <w:t>Rewards Projects was the responsible entity of a large number of managed investment schemes for the commercial cultivation of fruit or timber (the Schemes).  The Schemes were registered under the Act and carried out on behalf of the members of the Schemes.  Each Scheme was carried out on land owned by Rewards Land Pty Ltd (Rewards Lands) and The ARK Fund Ltd (ARK), which had been leased to Rewards Projects.  Rewards Projects was the wholly owned subsidiary of Rewards Group Ltd and was responsible for the operation and administration of the Schemes.  Rewards Management (another wholly owned subsidiary of Rewards Group Ltd) was responsible for establishing, managing, harvesting and selling the fruit or timber produced under the projects by way of a contract with Rewards Projects.</w:t>
                        </w:r>
                        <w:r w:rsidRPr="00A429FE">
                          <w:rPr>
                            <w:rFonts w:ascii="Times" w:hAnsi="Times" w:cs="Times New Roman"/>
                            <w:sz w:val="20"/>
                            <w:szCs w:val="20"/>
                            <w:lang w:val="en-AU"/>
                          </w:rPr>
                          <w:br/>
                          <w:t> </w:t>
                        </w:r>
                        <w:r w:rsidRPr="00A429FE">
                          <w:rPr>
                            <w:rFonts w:ascii="Times" w:hAnsi="Times" w:cs="Times New Roman"/>
                            <w:sz w:val="20"/>
                            <w:szCs w:val="20"/>
                            <w:lang w:val="en-AU"/>
                          </w:rPr>
                          <w:br/>
                          <w:t>Administrators for Rewards Group Ltd and its subsidiaries, including Rewards Projects, Rewards Land and Rewards Management, were appointed on 16 May 2010.  Receivers and managers were appointed for the Rewards Group Ltd, Rewards Lands, Rewards Management and ARK on 1 June 2010 and 2 June 2010.  The plaintiffs in this case, Rewards Land, ARK and their receivers and managers (the Plaintiffs) sought an order under section 440C of the Act for leave to take possession of the properties that had been leased to Rewards Projects.  The administrators of Rewards Land, ARK, Rewards Group Ltd and its subsidiaries, Rewards Projects and Rewards Management (the Defendants) had taken possession of the leased properties after Rewards Projects had been put into administration.</w:t>
                        </w:r>
                        <w:r w:rsidRPr="00A429FE">
                          <w:rPr>
                            <w:rFonts w:ascii="Times" w:hAnsi="Times" w:cs="Times New Roman"/>
                            <w:sz w:val="20"/>
                            <w:szCs w:val="20"/>
                            <w:lang w:val="en-AU"/>
                          </w:rPr>
                          <w:br/>
                          <w:t> </w:t>
                        </w:r>
                        <w:r w:rsidRPr="00A429FE">
                          <w:rPr>
                            <w:rFonts w:ascii="Times" w:hAnsi="Times" w:cs="Times New Roman"/>
                            <w:sz w:val="20"/>
                            <w:szCs w:val="20"/>
                            <w:lang w:val="en-AU"/>
                          </w:rPr>
                          <w:br/>
                          <w:t>Le Miere J first had to determine whether an application under section 440C of the Act was an interlocutory proceeding when a dispute about the admissibility of evidence arose.  Le Miere J then considered whether leave should be granted to allow the Plaintiffs to take possession of the properties that were in the possession of the Defendants.</w:t>
                        </w:r>
                        <w:r w:rsidRPr="00A429FE">
                          <w:rPr>
                            <w:rFonts w:ascii="Times" w:hAnsi="Times" w:cs="Times New Roman"/>
                            <w:sz w:val="20"/>
                            <w:szCs w:val="20"/>
                            <w:lang w:val="en-AU"/>
                          </w:rPr>
                          <w:br/>
                          <w:t> </w:t>
                        </w:r>
                        <w:r w:rsidRPr="00A429FE">
                          <w:rPr>
                            <w:rFonts w:ascii="Times" w:hAnsi="Times" w:cs="Times New Roman"/>
                            <w:sz w:val="20"/>
                            <w:szCs w:val="20"/>
                            <w:lang w:val="en-AU"/>
                          </w:rPr>
                          <w:br/>
                        </w:r>
                        <w:r w:rsidRPr="00A429FE">
                          <w:rPr>
                            <w:rFonts w:ascii="Times" w:hAnsi="Times" w:cs="Times New Roman"/>
                            <w:b/>
                            <w:bCs/>
                            <w:sz w:val="20"/>
                            <w:szCs w:val="20"/>
                            <w:lang w:val="en-AU"/>
                          </w:rPr>
                          <w:t>(c) Decision</w:t>
                        </w:r>
                        <w:r w:rsidRPr="00A429FE">
                          <w:rPr>
                            <w:rFonts w:ascii="Times" w:hAnsi="Times" w:cs="Times New Roman"/>
                            <w:b/>
                            <w:bCs/>
                            <w:sz w:val="20"/>
                            <w:szCs w:val="20"/>
                            <w:lang w:val="en-AU"/>
                          </w:rPr>
                          <w:br/>
                        </w:r>
                        <w:r w:rsidRPr="00A429FE">
                          <w:rPr>
                            <w:rFonts w:ascii="Times" w:hAnsi="Times" w:cs="Times New Roman"/>
                            <w:sz w:val="20"/>
                            <w:szCs w:val="20"/>
                            <w:lang w:val="en-AU"/>
                          </w:rPr>
                          <w:t> </w:t>
                        </w:r>
                        <w:r w:rsidRPr="00A429FE">
                          <w:rPr>
                            <w:rFonts w:ascii="Times" w:hAnsi="Times" w:cs="Times New Roman"/>
                            <w:sz w:val="20"/>
                            <w:szCs w:val="20"/>
                            <w:lang w:val="en-AU"/>
                          </w:rPr>
                          <w:br/>
                        </w:r>
                        <w:r w:rsidRPr="00A429FE">
                          <w:rPr>
                            <w:rFonts w:ascii="Times" w:hAnsi="Times" w:cs="Times New Roman"/>
                            <w:b/>
                            <w:bCs/>
                            <w:sz w:val="20"/>
                            <w:szCs w:val="20"/>
                            <w:lang w:val="en-AU"/>
                          </w:rPr>
                          <w:t>(i) Interlocutory proceeding?</w:t>
                        </w:r>
                        <w:r w:rsidRPr="00A429FE">
                          <w:rPr>
                            <w:rFonts w:ascii="Times" w:hAnsi="Times" w:cs="Times New Roman"/>
                            <w:b/>
                            <w:bCs/>
                            <w:sz w:val="20"/>
                            <w:szCs w:val="20"/>
                            <w:lang w:val="en-AU"/>
                          </w:rPr>
                          <w:br/>
                        </w:r>
                        <w:r w:rsidRPr="00A429FE">
                          <w:rPr>
                            <w:rFonts w:ascii="Times" w:hAnsi="Times" w:cs="Times New Roman"/>
                            <w:sz w:val="20"/>
                            <w:szCs w:val="20"/>
                            <w:lang w:val="en-AU"/>
                          </w:rPr>
                          <w:t> </w:t>
                        </w:r>
                        <w:r w:rsidRPr="00A429FE">
                          <w:rPr>
                            <w:rFonts w:ascii="Times" w:hAnsi="Times" w:cs="Times New Roman"/>
                            <w:sz w:val="20"/>
                            <w:szCs w:val="20"/>
                            <w:lang w:val="en-AU"/>
                          </w:rPr>
                          <w:br/>
                          <w:t xml:space="preserve">Whether an application under section 440C of the Act is interlocutory or final needed to be determined as the Defendants argued an affidavit submitted by the Plaintiffs was inadmissible on the basis of hearsay.  The Plaintiffs submitted that the proceeding was interlocutory and therefore hearsay is admissible. Under Order 37 rule 6(2) of the </w:t>
                        </w:r>
                        <w:r w:rsidRPr="00A429FE">
                          <w:rPr>
                            <w:rFonts w:ascii="Times" w:hAnsi="Times" w:cs="Times New Roman"/>
                            <w:sz w:val="20"/>
                            <w:szCs w:val="20"/>
                            <w:lang w:val="en-AU"/>
                          </w:rPr>
                          <w:fldChar w:fldCharType="begin"/>
                        </w:r>
                        <w:r w:rsidRPr="00A429FE">
                          <w:rPr>
                            <w:rFonts w:ascii="Times" w:hAnsi="Times" w:cs="Times New Roman"/>
                            <w:sz w:val="20"/>
                            <w:szCs w:val="20"/>
                            <w:lang w:val="en-AU"/>
                          </w:rPr>
                          <w:instrText xml:space="preserve"> HYPERLINK "http://my.lawlex.com.au/index.asp?pact=coredoc&amp;nav=col&amp;cid=16410" \t "Default" </w:instrText>
                        </w:r>
                        <w:r w:rsidRPr="00A429FE">
                          <w:rPr>
                            <w:rFonts w:ascii="Times" w:hAnsi="Times" w:cs="Times New Roman"/>
                            <w:sz w:val="20"/>
                            <w:szCs w:val="20"/>
                            <w:lang w:val="en-AU"/>
                          </w:rPr>
                        </w:r>
                        <w:r w:rsidRPr="00A429FE">
                          <w:rPr>
                            <w:rFonts w:ascii="Times" w:hAnsi="Times" w:cs="Times New Roman"/>
                            <w:sz w:val="20"/>
                            <w:szCs w:val="20"/>
                            <w:lang w:val="en-AU"/>
                          </w:rPr>
                          <w:fldChar w:fldCharType="separate"/>
                        </w:r>
                        <w:r w:rsidRPr="00A429FE">
                          <w:rPr>
                            <w:rFonts w:ascii="Times" w:hAnsi="Times" w:cs="Times New Roman"/>
                            <w:color w:val="0000FF"/>
                            <w:sz w:val="20"/>
                            <w:szCs w:val="20"/>
                            <w:u w:val="single"/>
                            <w:lang w:val="en-AU"/>
                          </w:rPr>
                          <w:t>Rules of the Supreme Court 1971 (WA)</w:t>
                        </w:r>
                        <w:r w:rsidRPr="00A429FE">
                          <w:rPr>
                            <w:rFonts w:ascii="Times" w:hAnsi="Times" w:cs="Times New Roman"/>
                            <w:sz w:val="20"/>
                            <w:szCs w:val="20"/>
                            <w:lang w:val="en-AU"/>
                          </w:rPr>
                          <w:fldChar w:fldCharType="end"/>
                        </w:r>
                        <w:r w:rsidRPr="00A429FE">
                          <w:rPr>
                            <w:rFonts w:ascii="Times" w:hAnsi="Times" w:cs="Times New Roman"/>
                            <w:sz w:val="20"/>
                            <w:szCs w:val="20"/>
                            <w:lang w:val="en-AU"/>
                          </w:rPr>
                          <w:t>, an affidavit may contain statements of information or belief when used for the purposes of an interlocutory proceeding.</w:t>
                        </w:r>
                        <w:r w:rsidRPr="00A429FE">
                          <w:rPr>
                            <w:rFonts w:ascii="Times" w:hAnsi="Times" w:cs="Times New Roman"/>
                            <w:sz w:val="20"/>
                            <w:szCs w:val="20"/>
                            <w:lang w:val="en-AU"/>
                          </w:rPr>
                          <w:br/>
                          <w:t> </w:t>
                        </w:r>
                        <w:r w:rsidRPr="00A429FE">
                          <w:rPr>
                            <w:rFonts w:ascii="Times" w:hAnsi="Times" w:cs="Times New Roman"/>
                            <w:sz w:val="20"/>
                            <w:szCs w:val="20"/>
                            <w:lang w:val="en-AU"/>
                          </w:rPr>
                          <w:br/>
                          <w:t xml:space="preserve">Le Miere J noted that there can be difficulty in determining whether a proceeding is interlocutory or final, but cited Gibbs J in the High Court case of Licul v Corney (1976) 180 CLR 213 to find that the ultimate test to resolve this question is whether the judgment or order, as made, finally disposes of the rights of the parties.  </w:t>
                        </w:r>
                        <w:r w:rsidRPr="00A429FE">
                          <w:rPr>
                            <w:rFonts w:ascii="Times" w:hAnsi="Times" w:cs="Times New Roman"/>
                            <w:sz w:val="20"/>
                            <w:szCs w:val="20"/>
                            <w:lang w:val="en-AU"/>
                          </w:rPr>
                          <w:br/>
                          <w:t> </w:t>
                        </w:r>
                        <w:r w:rsidRPr="00A429FE">
                          <w:rPr>
                            <w:rFonts w:ascii="Times" w:hAnsi="Times" w:cs="Times New Roman"/>
                            <w:sz w:val="20"/>
                            <w:szCs w:val="20"/>
                            <w:lang w:val="en-AU"/>
                          </w:rPr>
                          <w:br/>
                          <w:t>The Plaintiffs argued that an application under section 440C of the Act is incidental to the subsequent substantive proceedings in which the Defendants might seek to recover possession of the property of the Plaintiffs following the grant of leave under section 440C of the Act.  Le Miere J did not accept this argument and found that section 440C of the Act only imposes a moratorium on the recovery of property from a company in administration, which ends where leave is granted.  As the owner of the property does not have to commence any further proceedings to assert their rights, applications under section 440C of the Act are final.  The Plaintiffs' hearsay evidence was therefore inadmissible.</w:t>
                        </w:r>
                        <w:r w:rsidRPr="00A429FE">
                          <w:rPr>
                            <w:rFonts w:ascii="Times" w:hAnsi="Times" w:cs="Times New Roman"/>
                            <w:sz w:val="20"/>
                            <w:szCs w:val="20"/>
                            <w:lang w:val="en-AU"/>
                          </w:rPr>
                          <w:br/>
                          <w:t> </w:t>
                        </w:r>
                        <w:r w:rsidRPr="00A429FE">
                          <w:rPr>
                            <w:rFonts w:ascii="Times" w:hAnsi="Times" w:cs="Times New Roman"/>
                            <w:sz w:val="20"/>
                            <w:szCs w:val="20"/>
                            <w:lang w:val="en-AU"/>
                          </w:rPr>
                          <w:br/>
                        </w:r>
                        <w:r w:rsidRPr="00A429FE">
                          <w:rPr>
                            <w:rFonts w:ascii="Times" w:hAnsi="Times" w:cs="Times New Roman"/>
                            <w:b/>
                            <w:bCs/>
                            <w:sz w:val="20"/>
                            <w:szCs w:val="20"/>
                            <w:lang w:val="en-AU"/>
                          </w:rPr>
                          <w:t>(ii) Leave to take possession?</w:t>
                        </w:r>
                        <w:r w:rsidRPr="00A429FE">
                          <w:rPr>
                            <w:rFonts w:ascii="Times" w:hAnsi="Times" w:cs="Times New Roman"/>
                            <w:b/>
                            <w:bCs/>
                            <w:sz w:val="20"/>
                            <w:szCs w:val="20"/>
                            <w:lang w:val="en-AU"/>
                          </w:rPr>
                          <w:br/>
                        </w:r>
                        <w:r w:rsidRPr="00A429FE">
                          <w:rPr>
                            <w:rFonts w:ascii="Times" w:hAnsi="Times" w:cs="Times New Roman"/>
                            <w:sz w:val="20"/>
                            <w:szCs w:val="20"/>
                            <w:lang w:val="en-AU"/>
                          </w:rPr>
                          <w:t> </w:t>
                        </w:r>
                        <w:r w:rsidRPr="00A429FE">
                          <w:rPr>
                            <w:rFonts w:ascii="Times" w:hAnsi="Times" w:cs="Times New Roman"/>
                            <w:sz w:val="20"/>
                            <w:szCs w:val="20"/>
                            <w:lang w:val="en-AU"/>
                          </w:rPr>
                          <w:br/>
                          <w:t>Le Miere J assessed whether the Plaintiffs' application for leave to take possession of the properties that had been leased to Rewards Projects should be granted having regard to the objects of Part 5.3A of the Act, in which section 440C is found.  The focus of the application was placed on whether granting leave would:</w:t>
                        </w:r>
                      </w:p>
                      <w:p w:rsidR="00A429FE" w:rsidRPr="00A429FE" w:rsidRDefault="00A429FE" w:rsidP="00A429FE">
                        <w:pPr>
                          <w:tabs>
                            <w:tab w:val="num" w:pos="720"/>
                          </w:tabs>
                          <w:spacing w:before="100" w:beforeAutospacing="1" w:after="100" w:afterAutospacing="1"/>
                          <w:ind w:left="720" w:hanging="360"/>
                          <w:rPr>
                            <w:rFonts w:ascii="Times" w:eastAsia="Times New Roman" w:hAnsi="Times" w:cs="Times New Roman"/>
                            <w:sz w:val="20"/>
                            <w:szCs w:val="20"/>
                            <w:lang w:val="en-AU"/>
                          </w:rPr>
                        </w:pPr>
                        <w:r w:rsidRPr="00A429FE">
                          <w:rPr>
                            <w:rFonts w:ascii="Times" w:eastAsia="Times New Roman" w:hAnsi="Times" w:cs="Times New Roman"/>
                            <w:sz w:val="20"/>
                            <w:szCs w:val="20"/>
                            <w:lang w:val="en-AU"/>
                          </w:rPr>
                          <w:t xml:space="preserve">detrimentally affect the chance of the company in administration continuing to exist; or </w:t>
                        </w:r>
                      </w:p>
                      <w:p w:rsidR="00A429FE" w:rsidRPr="00A429FE" w:rsidRDefault="00A429FE" w:rsidP="00A429FE">
                        <w:pPr>
                          <w:tabs>
                            <w:tab w:val="num" w:pos="720"/>
                          </w:tabs>
                          <w:spacing w:before="100" w:beforeAutospacing="1" w:after="100" w:afterAutospacing="1"/>
                          <w:ind w:left="720" w:hanging="360"/>
                          <w:rPr>
                            <w:rFonts w:ascii="Times" w:eastAsia="Times New Roman" w:hAnsi="Times" w:cs="Times New Roman"/>
                            <w:sz w:val="20"/>
                            <w:szCs w:val="20"/>
                            <w:lang w:val="en-AU"/>
                          </w:rPr>
                        </w:pPr>
                        <w:r w:rsidRPr="00A429FE">
                          <w:rPr>
                            <w:rFonts w:ascii="Times" w:eastAsia="Times New Roman" w:hAnsi="Times" w:cs="Times New Roman"/>
                            <w:sz w:val="20"/>
                            <w:szCs w:val="20"/>
                            <w:lang w:val="en-AU"/>
                          </w:rPr>
                          <w:t xml:space="preserve">where the company could not continue to exist, whether the potential return for its creditors and members would be detrimentally affected.  </w:t>
                        </w:r>
                      </w:p>
                      <w:p w:rsidR="00A429FE" w:rsidRPr="00A429FE" w:rsidRDefault="00A429FE" w:rsidP="00A429FE">
                        <w:pPr>
                          <w:spacing w:before="100" w:beforeAutospacing="1" w:after="100" w:afterAutospacing="1"/>
                          <w:rPr>
                            <w:rFonts w:ascii="Times" w:hAnsi="Times" w:cs="Times New Roman"/>
                            <w:sz w:val="20"/>
                            <w:szCs w:val="20"/>
                            <w:lang w:val="en-AU"/>
                          </w:rPr>
                        </w:pPr>
                        <w:r w:rsidRPr="00A429FE">
                          <w:rPr>
                            <w:rFonts w:ascii="Times" w:hAnsi="Times" w:cs="Times New Roman"/>
                            <w:sz w:val="20"/>
                            <w:szCs w:val="20"/>
                            <w:lang w:val="en-AU"/>
                          </w:rPr>
                          <w:t xml:space="preserve">In addition, particular focus was placed on the fact that the Explanatory Memorandum to the </w:t>
                        </w:r>
                        <w:r w:rsidRPr="00A429FE">
                          <w:rPr>
                            <w:rFonts w:ascii="Times" w:hAnsi="Times" w:cs="Times New Roman"/>
                            <w:i/>
                            <w:iCs/>
                            <w:sz w:val="20"/>
                            <w:szCs w:val="20"/>
                            <w:lang w:val="en-AU"/>
                          </w:rPr>
                          <w:t>Corporate Law Reform Bill 1992</w:t>
                        </w:r>
                        <w:r w:rsidRPr="00A429FE">
                          <w:rPr>
                            <w:rFonts w:ascii="Times" w:hAnsi="Times" w:cs="Times New Roman"/>
                            <w:sz w:val="20"/>
                            <w:szCs w:val="20"/>
                            <w:lang w:val="en-AU"/>
                          </w:rPr>
                          <w:t>, under which Part 5.3A was inserted into the Act, provided that the proposed Part 5.3A is intended to provide for an administrator to take over the affairs of a company, with a view to developing a deed of company arrangement, under which the company might be restored to financial health.</w:t>
                        </w:r>
                        <w:r w:rsidRPr="00A429FE">
                          <w:rPr>
                            <w:rFonts w:ascii="Times" w:hAnsi="Times" w:cs="Times New Roman"/>
                            <w:sz w:val="20"/>
                            <w:szCs w:val="20"/>
                            <w:lang w:val="en-AU"/>
                          </w:rPr>
                          <w:br/>
                          <w:t> </w:t>
                        </w:r>
                        <w:r w:rsidRPr="00A429FE">
                          <w:rPr>
                            <w:rFonts w:ascii="Times" w:hAnsi="Times" w:cs="Times New Roman"/>
                            <w:sz w:val="20"/>
                            <w:szCs w:val="20"/>
                            <w:lang w:val="en-AU"/>
                          </w:rPr>
                          <w:br/>
                          <w:t>In determining whether the company, its creditors or its members would be detrimentally affected if leave under section 440C of the Act was granted, an analysis of previous case law indicated that regard must be paid to the legitimate interests of the party applying for leave on the one hand and the legitimate interests of the company, its creditors and its members on the other.  Le Miere J acknowledged that weight must be given to the proprietary interests of Rewards Land and ARK.  The detriment to Rewards Land and ARK if leave was not granted must be also be weighed against the detriment to the members and other creditors of Rewards Projects, and the effect on the chances of Rewards Projects continuing to exist if leave was granted.</w:t>
                        </w:r>
                        <w:r w:rsidRPr="00A429FE">
                          <w:rPr>
                            <w:rFonts w:ascii="Times" w:hAnsi="Times" w:cs="Times New Roman"/>
                            <w:sz w:val="20"/>
                            <w:szCs w:val="20"/>
                            <w:lang w:val="en-AU"/>
                          </w:rPr>
                          <w:br/>
                          <w:t> </w:t>
                        </w:r>
                        <w:r w:rsidRPr="00A429FE">
                          <w:rPr>
                            <w:rFonts w:ascii="Times" w:hAnsi="Times" w:cs="Times New Roman"/>
                            <w:sz w:val="20"/>
                            <w:szCs w:val="20"/>
                            <w:lang w:val="en-AU"/>
                          </w:rPr>
                          <w:br/>
                          <w:t>The Plaintiffs led evidence that the properties had not been properly maintained and were at risk of deteriorating further.  Allowing the Plaintiffs to take possession was argued to be necessary to prevent continuing loss and damage and to mitigate the damage that had already occurred.  In response, the Defendants led evidence that various loan agreements had been entered into and argued that this funding would allow the proper maintenance of the properties to be carried out.</w:t>
                        </w:r>
                        <w:r w:rsidRPr="00A429FE">
                          <w:rPr>
                            <w:rFonts w:ascii="Times" w:hAnsi="Times" w:cs="Times New Roman"/>
                            <w:sz w:val="20"/>
                            <w:szCs w:val="20"/>
                            <w:lang w:val="en-AU"/>
                          </w:rPr>
                          <w:br/>
                          <w:t> </w:t>
                        </w:r>
                        <w:r w:rsidRPr="00A429FE">
                          <w:rPr>
                            <w:rFonts w:ascii="Times" w:hAnsi="Times" w:cs="Times New Roman"/>
                            <w:sz w:val="20"/>
                            <w:szCs w:val="20"/>
                            <w:lang w:val="en-AU"/>
                          </w:rPr>
                          <w:br/>
                          <w:t xml:space="preserve">In noting that the Plaintiffs must satisfy the court that leave should be granted, Le Miere J found that the evidence did not establish that all the leased properties were unprotected and deteriorating due to non-performance of required maintenance, nor that the value of the leased land had deteriorated so that if it remained in the possession of Defendants, it was likely that the realisable value of the land would be less.  </w:t>
                        </w:r>
                        <w:r w:rsidRPr="00A429FE">
                          <w:rPr>
                            <w:rFonts w:ascii="Times" w:hAnsi="Times" w:cs="Times New Roman"/>
                            <w:sz w:val="20"/>
                            <w:szCs w:val="20"/>
                            <w:lang w:val="en-AU"/>
                          </w:rPr>
                          <w:br/>
                          <w:t> </w:t>
                        </w:r>
                        <w:r w:rsidRPr="00A429FE">
                          <w:rPr>
                            <w:rFonts w:ascii="Times" w:hAnsi="Times" w:cs="Times New Roman"/>
                            <w:sz w:val="20"/>
                            <w:szCs w:val="20"/>
                            <w:lang w:val="en-AU"/>
                          </w:rPr>
                          <w:br/>
                          <w:t xml:space="preserve">The Defendants also submitted that if the Plaintiffs retake possession of the leased land, it would be practically impossible for the Defendants to propound a deed of company arrangement that had been proposed by the company with significant forestry holdings and would enable the Schemes to continue in some form.  The Plaintiffs argued that the evidence to support this contention was insufficient.  Upon noting that the ability of a company to enter into a deed of company arrangement was of particular importance in </w:t>
                        </w:r>
                        <w:r w:rsidRPr="00A429FE">
                          <w:rPr>
                            <w:rFonts w:ascii="Times" w:hAnsi="Times" w:cs="Times New Roman"/>
                            <w:i/>
                            <w:iCs/>
                            <w:sz w:val="20"/>
                            <w:szCs w:val="20"/>
                            <w:lang w:val="en-AU"/>
                          </w:rPr>
                          <w:t>Re Java 452 Pty Ltd (Admin Appointed)</w:t>
                        </w:r>
                        <w:r w:rsidRPr="00A429FE">
                          <w:rPr>
                            <w:rFonts w:ascii="Times" w:hAnsi="Times" w:cs="Times New Roman"/>
                            <w:sz w:val="20"/>
                            <w:szCs w:val="20"/>
                            <w:lang w:val="en-AU"/>
                          </w:rPr>
                          <w:t xml:space="preserve">; </w:t>
                        </w:r>
                        <w:r w:rsidRPr="00A429FE">
                          <w:rPr>
                            <w:rFonts w:ascii="Times" w:hAnsi="Times" w:cs="Times New Roman"/>
                            <w:i/>
                            <w:iCs/>
                            <w:sz w:val="20"/>
                            <w:szCs w:val="20"/>
                            <w:lang w:val="en-AU"/>
                          </w:rPr>
                          <w:t>Permanent Trustee Australia Ltd (as trustee of Advanced Property Fund) v Stout</w:t>
                        </w:r>
                        <w:r w:rsidRPr="00A429FE">
                          <w:rPr>
                            <w:rFonts w:ascii="Times" w:hAnsi="Times" w:cs="Times New Roman"/>
                            <w:sz w:val="20"/>
                            <w:szCs w:val="20"/>
                            <w:lang w:val="en-AU"/>
                          </w:rPr>
                          <w:t xml:space="preserve"> (1999) 32 ACSR 507 and </w:t>
                        </w:r>
                        <w:r w:rsidRPr="00A429FE">
                          <w:rPr>
                            <w:rFonts w:ascii="Times" w:hAnsi="Times" w:cs="Times New Roman"/>
                            <w:i/>
                            <w:iCs/>
                            <w:sz w:val="20"/>
                            <w:szCs w:val="20"/>
                            <w:lang w:val="en-AU"/>
                          </w:rPr>
                          <w:t>Canberra International Airport Pty Ltd v Ansett Australia Ltd</w:t>
                        </w:r>
                        <w:r w:rsidRPr="00A429FE">
                          <w:rPr>
                            <w:rFonts w:ascii="Times" w:hAnsi="Times" w:cs="Times New Roman"/>
                            <w:sz w:val="20"/>
                            <w:szCs w:val="20"/>
                            <w:lang w:val="en-AU"/>
                          </w:rPr>
                          <w:t xml:space="preserve"> (2002) 41 ACSR 309, Le Miere J found that the evidence had established it was inherently plausible that a deed of company arrangement will not be able to be pursued if the Defendants did not remain in possession of the leased land.</w:t>
                        </w:r>
                        <w:r w:rsidRPr="00A429FE">
                          <w:rPr>
                            <w:rFonts w:ascii="Times" w:hAnsi="Times" w:cs="Times New Roman"/>
                            <w:sz w:val="20"/>
                            <w:szCs w:val="20"/>
                            <w:lang w:val="en-AU"/>
                          </w:rPr>
                          <w:br/>
                          <w:t> </w:t>
                        </w:r>
                        <w:r w:rsidRPr="00A429FE">
                          <w:rPr>
                            <w:rFonts w:ascii="Times" w:hAnsi="Times" w:cs="Times New Roman"/>
                            <w:sz w:val="20"/>
                            <w:szCs w:val="20"/>
                            <w:lang w:val="en-AU"/>
                          </w:rPr>
                          <w:br/>
                          <w:t xml:space="preserve">For both these reasons, it was held that granting leave would not advance the objects of Part 5.3A of the Act, as set out in section 435A of the Act and would impede the chances of Rewards Projects, or as much as possible of its business, to continue to exist.  This would be to the detriment of Rewards Projects, as well as its members and creditors.  Refusing leave would advance the objectives of Part 5.3A of the Act, as the creditors will have an opportunity to assess their options, including whether a deed of company arrangement should be entered into.  </w:t>
                        </w:r>
                        <w:r w:rsidRPr="00A429FE">
                          <w:rPr>
                            <w:rFonts w:ascii="Times" w:hAnsi="Times" w:cs="Times New Roman"/>
                            <w:sz w:val="20"/>
                            <w:szCs w:val="20"/>
                            <w:lang w:val="en-AU"/>
                          </w:rPr>
                          <w:br/>
                          <w:t> </w:t>
                        </w:r>
                        <w:r w:rsidRPr="00A429FE">
                          <w:rPr>
                            <w:rFonts w:ascii="Times" w:hAnsi="Times" w:cs="Times New Roman"/>
                            <w:sz w:val="20"/>
                            <w:szCs w:val="20"/>
                            <w:lang w:val="en-AU"/>
                          </w:rPr>
                          <w:br/>
                          <w:t xml:space="preserve">Further, once the period of administration ends, the Plaintiffs have the ability to exercise their rights to take possession of the leased properties at general law.  </w:t>
                        </w:r>
                      </w:p>
                      <w:p w:rsidR="00A429FE" w:rsidRPr="00A429FE" w:rsidRDefault="00A429FE" w:rsidP="00A429FE">
                        <w:pPr>
                          <w:spacing w:before="100" w:beforeAutospacing="1" w:after="100" w:afterAutospacing="1"/>
                          <w:rPr>
                            <w:rFonts w:ascii="Times" w:hAnsi="Times" w:cs="Times New Roman"/>
                            <w:sz w:val="20"/>
                            <w:szCs w:val="20"/>
                            <w:lang w:val="en-AU"/>
                          </w:rPr>
                        </w:pPr>
                        <w:r w:rsidRPr="00A429FE">
                          <w:rPr>
                            <w:rFonts w:ascii="Times" w:hAnsi="Times" w:cs="Times New Roman"/>
                            <w:sz w:val="20"/>
                            <w:szCs w:val="20"/>
                            <w:lang w:val="en-AU"/>
                          </w:rPr>
                          <w:t>The Plaintiffs' application for leave under section 440C of the Act was therefore refused.</w:t>
                        </w:r>
                      </w:p>
                      <w:p w:rsidR="00A429FE" w:rsidRPr="00A429FE" w:rsidRDefault="00A429FE" w:rsidP="00A429F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7140" name="Picture 17140" descr="etailed Contents">
                                <a:hlinkClick xmlns:a="http://schemas.openxmlformats.org/drawingml/2006/main" r:id="rId1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40" descr="etailed Contents">
                                        <a:hlinkClick r:id="rId102"/>
                                      </pic:cNvPr>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A429FE" w:rsidRPr="00A429FE" w:rsidRDefault="00A429FE" w:rsidP="00A429FE">
                        <w:pPr>
                          <w:rPr>
                            <w:rFonts w:ascii="Times" w:eastAsia="Times New Roman" w:hAnsi="Times" w:cs="Times New Roman"/>
                            <w:sz w:val="20"/>
                            <w:szCs w:val="20"/>
                            <w:lang w:val="en-AU"/>
                          </w:rPr>
                        </w:pPr>
                        <w:r w:rsidRPr="00A429FE">
                          <w:rPr>
                            <w:rFonts w:ascii="Times" w:eastAsia="Times New Roman" w:hAnsi="Times" w:cs="Times New Roman"/>
                            <w:sz w:val="20"/>
                            <w:szCs w:val="20"/>
                            <w:lang w:val="en-AU"/>
                          </w:rPr>
                          <w:pict>
                            <v:rect id="_x0000_i18165" style="width:0;height:1.5pt" o:hralign="center" o:hrstd="t" o:hr="t" fillcolor="#aaa" stroked="f"/>
                          </w:pict>
                        </w:r>
                      </w:p>
                      <w:p w:rsidR="00A429FE" w:rsidRPr="00A429FE" w:rsidRDefault="00A429FE" w:rsidP="00A429FE">
                        <w:pPr>
                          <w:spacing w:before="100" w:beforeAutospacing="1" w:after="100" w:afterAutospacing="1"/>
                          <w:rPr>
                            <w:rFonts w:ascii="Times" w:hAnsi="Times" w:cs="Times New Roman"/>
                            <w:sz w:val="20"/>
                            <w:szCs w:val="20"/>
                            <w:lang w:val="en-AU"/>
                          </w:rPr>
                        </w:pPr>
                        <w:bookmarkStart w:id="62" w:name="059"/>
                        <w:bookmarkEnd w:id="62"/>
                        <w:r w:rsidRPr="00A429FE">
                          <w:rPr>
                            <w:rFonts w:ascii="Times" w:hAnsi="Times" w:cs="Times New Roman"/>
                            <w:b/>
                            <w:bCs/>
                            <w:sz w:val="20"/>
                            <w:szCs w:val="20"/>
                            <w:lang w:val="en-AU"/>
                          </w:rPr>
                          <w:t>5.9 Variations to charges and ASIC registration requirements</w:t>
                        </w:r>
                        <w:r w:rsidRPr="00A429FE">
                          <w:rPr>
                            <w:rFonts w:ascii="Times" w:hAnsi="Times" w:cs="Times New Roman"/>
                            <w:b/>
                            <w:bCs/>
                            <w:sz w:val="20"/>
                            <w:szCs w:val="20"/>
                            <w:lang w:val="en-AU"/>
                          </w:rPr>
                          <w:br/>
                        </w:r>
                        <w:r w:rsidRPr="00A429FE">
                          <w:rPr>
                            <w:rFonts w:ascii="Times" w:hAnsi="Times" w:cs="Times New Roman"/>
                            <w:sz w:val="20"/>
                            <w:szCs w:val="20"/>
                            <w:lang w:val="en-AU"/>
                          </w:rPr>
                          <w:t> </w:t>
                        </w:r>
                        <w:r w:rsidRPr="00A429FE">
                          <w:rPr>
                            <w:rFonts w:ascii="Times" w:hAnsi="Times" w:cs="Times New Roman"/>
                            <w:sz w:val="20"/>
                            <w:szCs w:val="20"/>
                            <w:lang w:val="en-AU"/>
                          </w:rPr>
                          <w:br/>
                          <w:t>(By Katrina Sleiman and Tristan Blom, Corrs Chambers Westgarth)</w:t>
                        </w:r>
                        <w:r w:rsidRPr="00A429FE">
                          <w:rPr>
                            <w:rFonts w:ascii="Times" w:hAnsi="Times" w:cs="Times New Roman"/>
                            <w:sz w:val="20"/>
                            <w:szCs w:val="20"/>
                            <w:lang w:val="en-AU"/>
                          </w:rPr>
                          <w:br/>
                          <w:t> </w:t>
                        </w:r>
                        <w:r w:rsidRPr="00A429FE">
                          <w:rPr>
                            <w:rFonts w:ascii="Times" w:hAnsi="Times" w:cs="Times New Roman"/>
                            <w:sz w:val="20"/>
                            <w:szCs w:val="20"/>
                            <w:lang w:val="en-AU"/>
                          </w:rPr>
                          <w:br/>
                          <w:t xml:space="preserve">Public Trustee of Queensland v Fortress Credit Corporation (Aus) 11 Pty Ltd [2010] HCA 29, High Court of Australia, French CJ, Gummow, Hayne, Kiefel and Bell JJ, 1 September 2010 </w:t>
                        </w:r>
                        <w:r w:rsidRPr="00A429FE">
                          <w:rPr>
                            <w:rFonts w:ascii="Times" w:hAnsi="Times" w:cs="Times New Roman"/>
                            <w:sz w:val="20"/>
                            <w:szCs w:val="20"/>
                            <w:lang w:val="en-AU"/>
                          </w:rPr>
                          <w:br/>
                          <w:t> </w:t>
                        </w:r>
                        <w:r w:rsidRPr="00A429FE">
                          <w:rPr>
                            <w:rFonts w:ascii="Times" w:hAnsi="Times" w:cs="Times New Roman"/>
                            <w:sz w:val="20"/>
                            <w:szCs w:val="20"/>
                            <w:lang w:val="en-AU"/>
                          </w:rPr>
                          <w:br/>
                          <w:t xml:space="preserve">The full text of this judgment is available at: </w:t>
                        </w:r>
                      </w:p>
                      <w:p w:rsidR="00A429FE" w:rsidRPr="00A429FE" w:rsidRDefault="00A429FE" w:rsidP="00A429FE">
                        <w:pPr>
                          <w:spacing w:before="100" w:beforeAutospacing="1" w:after="100" w:afterAutospacing="1"/>
                          <w:rPr>
                            <w:rFonts w:ascii="Times" w:hAnsi="Times" w:cs="Times New Roman"/>
                            <w:sz w:val="20"/>
                            <w:szCs w:val="20"/>
                            <w:lang w:val="en-AU"/>
                          </w:rPr>
                        </w:pPr>
                        <w:r w:rsidRPr="00A429FE">
                          <w:rPr>
                            <w:rFonts w:ascii="Times" w:hAnsi="Times" w:cs="Times New Roman"/>
                            <w:sz w:val="20"/>
                            <w:szCs w:val="20"/>
                            <w:lang w:val="en-AU"/>
                          </w:rPr>
                          <w:fldChar w:fldCharType="begin"/>
                        </w:r>
                        <w:r w:rsidRPr="00A429FE">
                          <w:rPr>
                            <w:rFonts w:ascii="Times" w:hAnsi="Times" w:cs="Times New Roman"/>
                            <w:sz w:val="20"/>
                            <w:szCs w:val="20"/>
                            <w:lang w:val="en-AU"/>
                          </w:rPr>
                          <w:instrText xml:space="preserve"> HYPERLINK "http://www.austlii.edu.au/au/cases/cth/HCA/2010/29.html" \t "_new" </w:instrText>
                        </w:r>
                        <w:r w:rsidRPr="00A429FE">
                          <w:rPr>
                            <w:rFonts w:ascii="Times" w:hAnsi="Times" w:cs="Times New Roman"/>
                            <w:sz w:val="20"/>
                            <w:szCs w:val="20"/>
                            <w:lang w:val="en-AU"/>
                          </w:rPr>
                        </w:r>
                        <w:r w:rsidRPr="00A429FE">
                          <w:rPr>
                            <w:rFonts w:ascii="Times" w:hAnsi="Times" w:cs="Times New Roman"/>
                            <w:sz w:val="20"/>
                            <w:szCs w:val="20"/>
                            <w:lang w:val="en-AU"/>
                          </w:rPr>
                          <w:fldChar w:fldCharType="separate"/>
                        </w:r>
                        <w:r w:rsidRPr="00A429FE">
                          <w:rPr>
                            <w:rFonts w:ascii="Times" w:hAnsi="Times" w:cs="Times New Roman"/>
                            <w:color w:val="0000FF"/>
                            <w:sz w:val="20"/>
                            <w:szCs w:val="20"/>
                            <w:u w:val="single"/>
                            <w:lang w:val="en-AU"/>
                          </w:rPr>
                          <w:t>http://www.austlii.edu.au/au/cases/cth/HCA/2010/29.html</w:t>
                        </w:r>
                        <w:r w:rsidRPr="00A429FE">
                          <w:rPr>
                            <w:rFonts w:ascii="Times" w:hAnsi="Times" w:cs="Times New Roman"/>
                            <w:sz w:val="20"/>
                            <w:szCs w:val="20"/>
                            <w:lang w:val="en-AU"/>
                          </w:rPr>
                          <w:fldChar w:fldCharType="end"/>
                        </w:r>
                        <w:r w:rsidRPr="00A429FE">
                          <w:rPr>
                            <w:rFonts w:ascii="Times" w:hAnsi="Times" w:cs="Times New Roman"/>
                            <w:sz w:val="20"/>
                            <w:szCs w:val="20"/>
                            <w:lang w:val="en-AU"/>
                          </w:rPr>
                          <w:t xml:space="preserve"> </w:t>
                        </w:r>
                        <w:r w:rsidRPr="00A429FE">
                          <w:rPr>
                            <w:rFonts w:ascii="Times" w:hAnsi="Times" w:cs="Times New Roman"/>
                            <w:sz w:val="20"/>
                            <w:szCs w:val="20"/>
                            <w:lang w:val="en-AU"/>
                          </w:rPr>
                          <w:br/>
                          <w:t> </w:t>
                        </w:r>
                        <w:r w:rsidRPr="00A429FE">
                          <w:rPr>
                            <w:rFonts w:ascii="Times" w:hAnsi="Times" w:cs="Times New Roman"/>
                            <w:sz w:val="20"/>
                            <w:szCs w:val="20"/>
                            <w:lang w:val="en-AU"/>
                          </w:rPr>
                          <w:br/>
                        </w:r>
                        <w:r w:rsidRPr="00A429FE">
                          <w:rPr>
                            <w:rFonts w:ascii="Times" w:hAnsi="Times" w:cs="Times New Roman"/>
                            <w:b/>
                            <w:bCs/>
                            <w:sz w:val="20"/>
                            <w:szCs w:val="20"/>
                            <w:lang w:val="en-AU"/>
                          </w:rPr>
                          <w:t>(a) Summary</w:t>
                        </w:r>
                        <w:r w:rsidRPr="00A429FE">
                          <w:rPr>
                            <w:rFonts w:ascii="Times" w:hAnsi="Times" w:cs="Times New Roman"/>
                            <w:sz w:val="20"/>
                            <w:szCs w:val="20"/>
                            <w:lang w:val="en-AU"/>
                          </w:rPr>
                          <w:br/>
                          <w:t> </w:t>
                        </w:r>
                        <w:r w:rsidRPr="00A429FE">
                          <w:rPr>
                            <w:rFonts w:ascii="Times" w:hAnsi="Times" w:cs="Times New Roman"/>
                            <w:sz w:val="20"/>
                            <w:szCs w:val="20"/>
                            <w:lang w:val="en-AU"/>
                          </w:rPr>
                          <w:br/>
                          <w:t xml:space="preserve">This case involved an appeal by the Public Trustee of Queensland (the "Trustee") asserting that a variation to a company charge had occurred, invoking the registration requirements under sections 261-282 of the </w:t>
                        </w:r>
                        <w:r w:rsidRPr="00A429FE">
                          <w:rPr>
                            <w:rFonts w:ascii="Times" w:hAnsi="Times" w:cs="Times New Roman"/>
                            <w:sz w:val="20"/>
                            <w:szCs w:val="20"/>
                            <w:lang w:val="en-AU"/>
                          </w:rPr>
                          <w:fldChar w:fldCharType="begin"/>
                        </w:r>
                        <w:r w:rsidRPr="00A429FE">
                          <w:rPr>
                            <w:rFonts w:ascii="Times" w:hAnsi="Times" w:cs="Times New Roman"/>
                            <w:sz w:val="20"/>
                            <w:szCs w:val="20"/>
                            <w:lang w:val="en-AU"/>
                          </w:rPr>
                          <w:instrText xml:space="preserve"> HYPERLINK "http://my.lawlex.com.au/index.asp?pact=coredoc&amp;nav=col&amp;cid=56482" \t "Default" </w:instrText>
                        </w:r>
                        <w:r w:rsidRPr="00A429FE">
                          <w:rPr>
                            <w:rFonts w:ascii="Times" w:hAnsi="Times" w:cs="Times New Roman"/>
                            <w:sz w:val="20"/>
                            <w:szCs w:val="20"/>
                            <w:lang w:val="en-AU"/>
                          </w:rPr>
                        </w:r>
                        <w:r w:rsidRPr="00A429FE">
                          <w:rPr>
                            <w:rFonts w:ascii="Times" w:hAnsi="Times" w:cs="Times New Roman"/>
                            <w:sz w:val="20"/>
                            <w:szCs w:val="20"/>
                            <w:lang w:val="en-AU"/>
                          </w:rPr>
                          <w:fldChar w:fldCharType="separate"/>
                        </w:r>
                        <w:r w:rsidRPr="00A429FE">
                          <w:rPr>
                            <w:rFonts w:ascii="Times" w:hAnsi="Times" w:cs="Times New Roman"/>
                            <w:color w:val="0000FF"/>
                            <w:sz w:val="20"/>
                            <w:szCs w:val="20"/>
                            <w:u w:val="single"/>
                            <w:lang w:val="en-AU"/>
                          </w:rPr>
                          <w:t>Corporations Act 2001 (Cth)</w:t>
                        </w:r>
                        <w:r w:rsidRPr="00A429FE">
                          <w:rPr>
                            <w:rFonts w:ascii="Times" w:hAnsi="Times" w:cs="Times New Roman"/>
                            <w:sz w:val="20"/>
                            <w:szCs w:val="20"/>
                            <w:lang w:val="en-AU"/>
                          </w:rPr>
                          <w:fldChar w:fldCharType="end"/>
                        </w:r>
                        <w:r w:rsidRPr="00A429FE">
                          <w:rPr>
                            <w:rFonts w:ascii="Times" w:hAnsi="Times" w:cs="Times New Roman"/>
                            <w:sz w:val="20"/>
                            <w:szCs w:val="20"/>
                            <w:lang w:val="en-AU"/>
                          </w:rPr>
                          <w:t xml:space="preserve"> (the "Act"). If a variation was established and registration had not occurred, this would render the charge void against the administrator of the company under section 266(3) of the Act.</w:t>
                        </w:r>
                        <w:r w:rsidRPr="00A429FE">
                          <w:rPr>
                            <w:rFonts w:ascii="Times" w:hAnsi="Times" w:cs="Times New Roman"/>
                            <w:sz w:val="20"/>
                            <w:szCs w:val="20"/>
                            <w:lang w:val="en-AU"/>
                          </w:rPr>
                          <w:br/>
                          <w:t> </w:t>
                        </w:r>
                        <w:r w:rsidRPr="00A429FE">
                          <w:rPr>
                            <w:rFonts w:ascii="Times" w:hAnsi="Times" w:cs="Times New Roman"/>
                            <w:sz w:val="20"/>
                            <w:szCs w:val="20"/>
                            <w:lang w:val="en-AU"/>
                          </w:rPr>
                          <w:br/>
                          <w:t xml:space="preserve">In a unanimous decision by the High Court, French CJ, Gummow, Hayne, Kiefel and Bell JJ held that a variation in the factual operation of a charge does not require registration, as it is not a variation to the terms of the charge. Only a document which varies a definition or an actual term of an agreement requires registration. This is consistent with previous industry understanding of variations. </w:t>
                        </w:r>
                        <w:r w:rsidRPr="00A429FE">
                          <w:rPr>
                            <w:rFonts w:ascii="Times" w:hAnsi="Times" w:cs="Times New Roman"/>
                            <w:sz w:val="20"/>
                            <w:szCs w:val="20"/>
                            <w:lang w:val="en-AU"/>
                          </w:rPr>
                          <w:br/>
                          <w:t> </w:t>
                        </w:r>
                        <w:r w:rsidRPr="00A429FE">
                          <w:rPr>
                            <w:rFonts w:ascii="Times" w:hAnsi="Times" w:cs="Times New Roman"/>
                            <w:sz w:val="20"/>
                            <w:szCs w:val="20"/>
                            <w:lang w:val="en-AU"/>
                          </w:rPr>
                          <w:br/>
                        </w:r>
                        <w:r w:rsidRPr="00A429FE">
                          <w:rPr>
                            <w:rFonts w:ascii="Times" w:hAnsi="Times" w:cs="Times New Roman"/>
                            <w:b/>
                            <w:bCs/>
                            <w:sz w:val="20"/>
                            <w:szCs w:val="20"/>
                            <w:lang w:val="en-AU"/>
                          </w:rPr>
                          <w:t xml:space="preserve">(b) Facts   </w:t>
                        </w:r>
                        <w:r w:rsidRPr="00A429FE">
                          <w:rPr>
                            <w:rFonts w:ascii="Times" w:hAnsi="Times" w:cs="Times New Roman"/>
                            <w:b/>
                            <w:bCs/>
                            <w:sz w:val="20"/>
                            <w:szCs w:val="20"/>
                            <w:lang w:val="en-AU"/>
                          </w:rPr>
                          <w:br/>
                        </w:r>
                        <w:r w:rsidRPr="00A429FE">
                          <w:rPr>
                            <w:rFonts w:ascii="Times" w:hAnsi="Times" w:cs="Times New Roman"/>
                            <w:sz w:val="20"/>
                            <w:szCs w:val="20"/>
                            <w:lang w:val="en-AU"/>
                          </w:rPr>
                          <w:t> </w:t>
                        </w:r>
                        <w:r w:rsidRPr="00A429FE">
                          <w:rPr>
                            <w:rFonts w:ascii="Times" w:hAnsi="Times" w:cs="Times New Roman"/>
                            <w:sz w:val="20"/>
                            <w:szCs w:val="20"/>
                            <w:lang w:val="en-AU"/>
                          </w:rPr>
                          <w:br/>
                          <w:t>Conceptually, this case involved two separate loan agreements and securities for these agreements becoming interlinked by way of a Deed.</w:t>
                        </w:r>
                        <w:r w:rsidRPr="00A429FE">
                          <w:rPr>
                            <w:rFonts w:ascii="Times" w:hAnsi="Times" w:cs="Times New Roman"/>
                            <w:sz w:val="20"/>
                            <w:szCs w:val="20"/>
                            <w:lang w:val="en-AU"/>
                          </w:rPr>
                          <w:br/>
                          <w:t> </w:t>
                        </w:r>
                        <w:r w:rsidRPr="00A429FE">
                          <w:rPr>
                            <w:rFonts w:ascii="Times" w:hAnsi="Times" w:cs="Times New Roman"/>
                            <w:sz w:val="20"/>
                            <w:szCs w:val="20"/>
                            <w:lang w:val="en-AU"/>
                          </w:rPr>
                          <w:br/>
                          <w:t>The first loan agreement was entered into on 31 May 2007. Fortress Credit Corporation (Australia) 11 Pty Ltd ("Fortress") entered into a loan agreement (the "Facility Agreement") with Octaviar Castle Pty Limited ("Octaviar Castle"), guaranteed by Octaviar Limited ("Octaviar"). This Facility Agreement was secured by a fixed and floating charge (the "Charge") from Octaviar in favour of Fortress, dated 1 June 2007. The Charge was registered in accordance with sections 262 and 263 of the Act on 6 June 2007.</w:t>
                        </w:r>
                        <w:r w:rsidRPr="00A429FE">
                          <w:rPr>
                            <w:rFonts w:ascii="Times" w:hAnsi="Times" w:cs="Times New Roman"/>
                            <w:sz w:val="20"/>
                            <w:szCs w:val="20"/>
                            <w:lang w:val="en-AU"/>
                          </w:rPr>
                          <w:br/>
                          <w:t> </w:t>
                        </w:r>
                        <w:r w:rsidRPr="00A429FE">
                          <w:rPr>
                            <w:rFonts w:ascii="Times" w:hAnsi="Times" w:cs="Times New Roman"/>
                            <w:sz w:val="20"/>
                            <w:szCs w:val="20"/>
                            <w:lang w:val="en-AU"/>
                          </w:rPr>
                          <w:br/>
                          <w:t xml:space="preserve">The second loan agreement was signed on or about the same time as the Facility Agreement. Fortress entered into an agreement with Young Village Estates Pty Limited ("YVE"). Octaviar provided a guarantee for YVE's liabilities (the "YVE Guarantee") under this loan agreement. However, Octaviar did not secure the YVE Guarantee with a charge. </w:t>
                        </w:r>
                        <w:r w:rsidRPr="00A429FE">
                          <w:rPr>
                            <w:rFonts w:ascii="Times" w:hAnsi="Times" w:cs="Times New Roman"/>
                            <w:sz w:val="20"/>
                            <w:szCs w:val="20"/>
                            <w:lang w:val="en-AU"/>
                          </w:rPr>
                          <w:br/>
                          <w:t> </w:t>
                        </w:r>
                        <w:r w:rsidRPr="00A429FE">
                          <w:rPr>
                            <w:rFonts w:ascii="Times" w:hAnsi="Times" w:cs="Times New Roman"/>
                            <w:sz w:val="20"/>
                            <w:szCs w:val="20"/>
                            <w:lang w:val="en-AU"/>
                          </w:rPr>
                          <w:br/>
                          <w:t xml:space="preserve">On 22 January 2008, Fortress, Octaviar and Octaviar Castle entered into a deed (the "January 2008 Deed") which provided that "the YVE Guarantee is a Transaction Document for the purposes of the Facility Agreement." The Facility Agreement defined "Transaction Document" to include every document that Fortress and Octaviar agreed in writing was a Transaction Document. This immediately extended a nexus between the YVE Guarantee and the Charge, as the Charge secured "all money, obligations and liabilities of any kind that are or may in the future become due, owing or payable... [by Octaviar to Fortress Credit] under or in relation to a Transaction Document." </w:t>
                        </w:r>
                        <w:r w:rsidRPr="00A429FE">
                          <w:rPr>
                            <w:rFonts w:ascii="Times" w:hAnsi="Times" w:cs="Times New Roman"/>
                            <w:sz w:val="20"/>
                            <w:szCs w:val="20"/>
                            <w:lang w:val="en-AU"/>
                          </w:rPr>
                          <w:br/>
                          <w:t xml:space="preserve">                                             </w:t>
                        </w:r>
                        <w:r w:rsidRPr="00A429FE">
                          <w:rPr>
                            <w:rFonts w:ascii="Times" w:hAnsi="Times" w:cs="Times New Roman"/>
                            <w:sz w:val="20"/>
                            <w:szCs w:val="20"/>
                            <w:lang w:val="en-AU"/>
                          </w:rPr>
                          <w:br/>
                          <w:t>In September 2008, Octaviar entered into Administration. The company later attempted to execute a Deed of Company Arrangement ("DOCA") under Part 5.3A of the Act. On 19 February 2008, the Trustee applied to the Supreme Court of Queensland for orders terminating the DOCA. The Trustee contended that the DOCA was premised upon the Charge being valid, and in actual fact it did not secure the YVE Guarantee. The question of the validity of the Charge was then brought before McMurdo J in the Queensland Supreme Court.</w:t>
                        </w:r>
                        <w:r w:rsidRPr="00A429FE">
                          <w:rPr>
                            <w:rFonts w:ascii="Times" w:hAnsi="Times" w:cs="Times New Roman"/>
                            <w:sz w:val="20"/>
                            <w:szCs w:val="20"/>
                            <w:lang w:val="en-AU"/>
                          </w:rPr>
                          <w:br/>
                          <w:t> </w:t>
                        </w:r>
                        <w:r w:rsidRPr="00A429FE">
                          <w:rPr>
                            <w:rFonts w:ascii="Times" w:hAnsi="Times" w:cs="Times New Roman"/>
                            <w:sz w:val="20"/>
                            <w:szCs w:val="20"/>
                            <w:lang w:val="en-AU"/>
                          </w:rPr>
                          <w:br/>
                          <w:t xml:space="preserve">At first instance, McMurdo J found that a variation in the charge had occurred, as the January 2008 Deed increased the liability of the charge. To be effective in liquidation, the charge required registration with ASIC under section 266(3) of the Act. The Queensland Court of Appeal overturned this decision, stating that there must be a variation to the terms of a charge, not merely an increase in liabilities secured, which had already been contemplated in the original Charge document. </w:t>
                        </w:r>
                        <w:r w:rsidRPr="00A429FE">
                          <w:rPr>
                            <w:rFonts w:ascii="Times" w:hAnsi="Times" w:cs="Times New Roman"/>
                            <w:sz w:val="20"/>
                            <w:szCs w:val="20"/>
                            <w:lang w:val="en-AU"/>
                          </w:rPr>
                          <w:br/>
                          <w:t> </w:t>
                        </w:r>
                        <w:r w:rsidRPr="00A429FE">
                          <w:rPr>
                            <w:rFonts w:ascii="Times" w:hAnsi="Times" w:cs="Times New Roman"/>
                            <w:sz w:val="20"/>
                            <w:szCs w:val="20"/>
                            <w:lang w:val="en-AU"/>
                          </w:rPr>
                          <w:br/>
                        </w:r>
                        <w:r w:rsidRPr="00A429FE">
                          <w:rPr>
                            <w:rFonts w:ascii="Times" w:hAnsi="Times" w:cs="Times New Roman"/>
                            <w:b/>
                            <w:bCs/>
                            <w:sz w:val="20"/>
                            <w:szCs w:val="20"/>
                            <w:lang w:val="en-AU"/>
                          </w:rPr>
                          <w:t>(c) Decision</w:t>
                        </w:r>
                        <w:r w:rsidRPr="00A429FE">
                          <w:rPr>
                            <w:rFonts w:ascii="Times" w:hAnsi="Times" w:cs="Times New Roman"/>
                            <w:b/>
                            <w:bCs/>
                            <w:sz w:val="20"/>
                            <w:szCs w:val="20"/>
                            <w:lang w:val="en-AU"/>
                          </w:rPr>
                          <w:br/>
                        </w:r>
                        <w:r w:rsidRPr="00A429FE">
                          <w:rPr>
                            <w:rFonts w:ascii="Times" w:hAnsi="Times" w:cs="Times New Roman"/>
                            <w:sz w:val="20"/>
                            <w:szCs w:val="20"/>
                            <w:lang w:val="en-AU"/>
                          </w:rPr>
                          <w:t> </w:t>
                        </w:r>
                        <w:r w:rsidRPr="00A429FE">
                          <w:rPr>
                            <w:rFonts w:ascii="Times" w:hAnsi="Times" w:cs="Times New Roman"/>
                            <w:sz w:val="20"/>
                            <w:szCs w:val="20"/>
                            <w:lang w:val="en-AU"/>
                          </w:rPr>
                          <w:br/>
                          <w:t xml:space="preserve">The High Court was called upon to answer two questions. First, did the January 2008 Deed constitute a "variation in the terms" of the Charge, to which section 268(2) of the Act would then apply? Second, did the January 2008 Deed create a new charge, invoking the provisions of sections 262 and 263 of the Act? The court answered both of these questions in the negative. </w:t>
                        </w:r>
                        <w:r w:rsidRPr="00A429FE">
                          <w:rPr>
                            <w:rFonts w:ascii="Times" w:hAnsi="Times" w:cs="Times New Roman"/>
                            <w:sz w:val="20"/>
                            <w:szCs w:val="20"/>
                            <w:lang w:val="en-AU"/>
                          </w:rPr>
                          <w:br/>
                          <w:t> </w:t>
                        </w:r>
                        <w:r w:rsidRPr="00A429FE">
                          <w:rPr>
                            <w:rFonts w:ascii="Times" w:hAnsi="Times" w:cs="Times New Roman"/>
                            <w:sz w:val="20"/>
                            <w:szCs w:val="20"/>
                            <w:lang w:val="en-AU"/>
                          </w:rPr>
                          <w:br/>
                          <w:t>To answer the first question, the court held that the critical phrase in section 266(3) was "a variation in the terms of a registrable charge ... having the effect of".  As the Charge always encompassed a prospective liability (i.e. "all money, obligations and liabilities ... that are or may in the future become due, owing or payable"), the January 2008 Deed did not vary the terms of the Charge. The terms already envisaged that the Charge secured a class of liabilities that could become owing in the future. This is precisely what occurred when the YVE Guarantee was brought under the umbrella term of "Transaction Document." Hence, this was not a variation in the "terms of the charge."</w:t>
                        </w:r>
                        <w:r w:rsidRPr="00A429FE">
                          <w:rPr>
                            <w:rFonts w:ascii="Times" w:hAnsi="Times" w:cs="Times New Roman"/>
                            <w:sz w:val="20"/>
                            <w:szCs w:val="20"/>
                            <w:lang w:val="en-AU"/>
                          </w:rPr>
                          <w:br/>
                          <w:t> </w:t>
                        </w:r>
                        <w:r w:rsidRPr="00A429FE">
                          <w:rPr>
                            <w:rFonts w:ascii="Times" w:hAnsi="Times" w:cs="Times New Roman"/>
                            <w:sz w:val="20"/>
                            <w:szCs w:val="20"/>
                            <w:lang w:val="en-AU"/>
                          </w:rPr>
                          <w:br/>
                          <w:t>Further, the court held that section 268 was inapplicable to this scenario. If the parties had deliberately created a charge that was variable in its factual operation, then there is no variation every time a matter of fact is altered. The court offered a 'variable rate of interest' clause by way of analogy.</w:t>
                        </w:r>
                        <w:r w:rsidRPr="00A429FE">
                          <w:rPr>
                            <w:rFonts w:ascii="Times" w:hAnsi="Times" w:cs="Times New Roman"/>
                            <w:sz w:val="20"/>
                            <w:szCs w:val="20"/>
                            <w:lang w:val="en-AU"/>
                          </w:rPr>
                          <w:br/>
                          <w:t> </w:t>
                        </w:r>
                        <w:r w:rsidRPr="00A429FE">
                          <w:rPr>
                            <w:rFonts w:ascii="Times" w:hAnsi="Times" w:cs="Times New Roman"/>
                            <w:sz w:val="20"/>
                            <w:szCs w:val="20"/>
                            <w:lang w:val="en-AU"/>
                          </w:rPr>
                          <w:br/>
                          <w:t xml:space="preserve">In answering the second question in the negative, the court considered that if there was no variation within the meaning of section 268(2), then a new charge could not have been created. </w:t>
                        </w:r>
                        <w:r w:rsidRPr="00A429FE">
                          <w:rPr>
                            <w:rFonts w:ascii="Times" w:hAnsi="Times" w:cs="Times New Roman"/>
                            <w:sz w:val="20"/>
                            <w:szCs w:val="20"/>
                            <w:lang w:val="en-AU"/>
                          </w:rPr>
                          <w:br/>
                          <w:t> </w:t>
                        </w:r>
                        <w:r w:rsidRPr="00A429FE">
                          <w:rPr>
                            <w:rFonts w:ascii="Times" w:hAnsi="Times" w:cs="Times New Roman"/>
                            <w:sz w:val="20"/>
                            <w:szCs w:val="20"/>
                            <w:lang w:val="en-AU"/>
                          </w:rPr>
                          <w:br/>
                          <w:t xml:space="preserve">The court chose to address other arguments raised by the Trustee. The Trustee contended that it would be contrary to the scope and purpose of the registration system established by Chapter 2K of the Act if registration was not required. Otherwise, those dealing with companies would be unaware of the terms, effect and magnitude of a charge. This argument was rejected. In citing Wilde v Australian Trade Equipment Co Pty Ltd (1981) 145 CLR 590, the court held that the register was designed merely to put a prospective dealer on notice whether property is encumbered or not. To discover the terms and effect of a charge, one must look to the charge itself. The court noted that, upon initial establishment, a copy of the Charge had already been lodged as required under section 263(1) of the Act, and anyone searching the register would be on notice to perform further investigations to determine the nature of the liabilities secured. </w:t>
                        </w:r>
                        <w:r w:rsidRPr="00A429FE">
                          <w:rPr>
                            <w:rFonts w:ascii="Times" w:hAnsi="Times" w:cs="Times New Roman"/>
                            <w:sz w:val="20"/>
                            <w:szCs w:val="20"/>
                            <w:lang w:val="en-AU"/>
                          </w:rPr>
                          <w:br/>
                          <w:t> </w:t>
                        </w:r>
                        <w:r w:rsidRPr="00A429FE">
                          <w:rPr>
                            <w:rFonts w:ascii="Times" w:hAnsi="Times" w:cs="Times New Roman"/>
                            <w:sz w:val="20"/>
                            <w:szCs w:val="20"/>
                            <w:lang w:val="en-AU"/>
                          </w:rPr>
                          <w:br/>
                          <w:t xml:space="preserve">In upholding the Court of Appeal's decision, the High Court quelled significant industry unrest stoked by the first instance decision. Had this decision stood, many lenders could have found themselves in an unsecured situation that they previously thought secured. </w:t>
                        </w:r>
                      </w:p>
                      <w:p w:rsidR="00A429FE" w:rsidRPr="00A429FE" w:rsidRDefault="00A429FE" w:rsidP="00A429F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7142" name="Picture 17142" descr="etailed Contents">
                                <a:hlinkClick xmlns:a="http://schemas.openxmlformats.org/drawingml/2006/main" r:id="rId1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42" descr="etailed Contents">
                                        <a:hlinkClick r:id="rId102"/>
                                      </pic:cNvPr>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A429FE" w:rsidRPr="00A429FE" w:rsidRDefault="00A429FE" w:rsidP="00A429FE">
                        <w:pPr>
                          <w:rPr>
                            <w:rFonts w:ascii="Times" w:eastAsia="Times New Roman" w:hAnsi="Times" w:cs="Times New Roman"/>
                            <w:sz w:val="20"/>
                            <w:szCs w:val="20"/>
                            <w:lang w:val="en-AU"/>
                          </w:rPr>
                        </w:pPr>
                        <w:r w:rsidRPr="00A429FE">
                          <w:rPr>
                            <w:rFonts w:ascii="Times" w:eastAsia="Times New Roman" w:hAnsi="Times" w:cs="Times New Roman"/>
                            <w:sz w:val="20"/>
                            <w:szCs w:val="20"/>
                            <w:lang w:val="en-AU"/>
                          </w:rPr>
                          <w:pict>
                            <v:rect id="_x0000_i18167" style="width:0;height:1.5pt" o:hralign="center" o:hrstd="t" o:hr="t" fillcolor="#aaa" stroked="f"/>
                          </w:pict>
                        </w:r>
                      </w:p>
                      <w:p w:rsidR="00A429FE" w:rsidRPr="00A429FE" w:rsidRDefault="00A429FE" w:rsidP="00A429FE">
                        <w:pPr>
                          <w:spacing w:before="100" w:beforeAutospacing="1" w:after="100" w:afterAutospacing="1"/>
                          <w:rPr>
                            <w:rFonts w:ascii="Times" w:hAnsi="Times" w:cs="Times New Roman"/>
                            <w:sz w:val="20"/>
                            <w:szCs w:val="20"/>
                            <w:lang w:val="en-AU"/>
                          </w:rPr>
                        </w:pPr>
                        <w:bookmarkStart w:id="63" w:name="0510"/>
                        <w:bookmarkEnd w:id="63"/>
                        <w:r w:rsidRPr="00A429FE">
                          <w:rPr>
                            <w:rFonts w:ascii="Times" w:hAnsi="Times" w:cs="Times New Roman"/>
                            <w:b/>
                            <w:bCs/>
                            <w:sz w:val="20"/>
                            <w:szCs w:val="20"/>
                            <w:lang w:val="en-AU"/>
                          </w:rPr>
                          <w:t xml:space="preserve">5.10 The scope of the court's statutory jurisdiction to inquire into a liquidator's conduct under section 536 of the Corporations Act </w:t>
                        </w:r>
                        <w:r w:rsidRPr="00A429FE">
                          <w:rPr>
                            <w:rFonts w:ascii="Times" w:hAnsi="Times" w:cs="Times New Roman"/>
                            <w:b/>
                            <w:bCs/>
                            <w:sz w:val="20"/>
                            <w:szCs w:val="20"/>
                            <w:lang w:val="en-AU"/>
                          </w:rPr>
                          <w:br/>
                        </w:r>
                        <w:r w:rsidRPr="00A429FE">
                          <w:rPr>
                            <w:rFonts w:ascii="Times" w:hAnsi="Times" w:cs="Times New Roman"/>
                            <w:sz w:val="20"/>
                            <w:szCs w:val="20"/>
                            <w:lang w:val="en-AU"/>
                          </w:rPr>
                          <w:br/>
                          <w:t>(By David Saunders, Blake Dawson)</w:t>
                        </w:r>
                        <w:r w:rsidRPr="00A429FE">
                          <w:rPr>
                            <w:rFonts w:ascii="Times" w:hAnsi="Times" w:cs="Times New Roman"/>
                            <w:sz w:val="20"/>
                            <w:szCs w:val="20"/>
                            <w:lang w:val="en-AU"/>
                          </w:rPr>
                          <w:br/>
                          <w:t> </w:t>
                        </w:r>
                        <w:r w:rsidRPr="00A429FE">
                          <w:rPr>
                            <w:rFonts w:ascii="Times" w:hAnsi="Times" w:cs="Times New Roman"/>
                            <w:sz w:val="20"/>
                            <w:szCs w:val="20"/>
                            <w:lang w:val="en-AU"/>
                          </w:rPr>
                          <w:br/>
                          <w:t>BL &amp; GY International Co Ltd v Hypec Electronics Pty Ltd [2010] NSWSC 959, Supreme Court of New South Wales, Barrett J, 31 August 2010</w:t>
                        </w:r>
                        <w:r w:rsidRPr="00A429FE">
                          <w:rPr>
                            <w:rFonts w:ascii="Times" w:hAnsi="Times" w:cs="Times New Roman"/>
                            <w:sz w:val="20"/>
                            <w:szCs w:val="20"/>
                            <w:lang w:val="en-AU"/>
                          </w:rPr>
                          <w:br/>
                          <w:t> </w:t>
                        </w:r>
                        <w:r w:rsidRPr="00A429FE">
                          <w:rPr>
                            <w:rFonts w:ascii="Times" w:hAnsi="Times" w:cs="Times New Roman"/>
                            <w:sz w:val="20"/>
                            <w:szCs w:val="20"/>
                            <w:lang w:val="en-AU"/>
                          </w:rPr>
                          <w:br/>
                          <w:t xml:space="preserve">The full text of this judgment is available at: </w:t>
                        </w:r>
                      </w:p>
                      <w:p w:rsidR="00A429FE" w:rsidRPr="00A429FE" w:rsidRDefault="00A429FE" w:rsidP="00A429FE">
                        <w:pPr>
                          <w:spacing w:before="100" w:beforeAutospacing="1" w:after="100" w:afterAutospacing="1"/>
                          <w:rPr>
                            <w:rFonts w:ascii="Times" w:hAnsi="Times" w:cs="Times New Roman"/>
                            <w:sz w:val="20"/>
                            <w:szCs w:val="20"/>
                            <w:lang w:val="en-AU"/>
                          </w:rPr>
                        </w:pPr>
                        <w:r w:rsidRPr="00A429FE">
                          <w:rPr>
                            <w:rFonts w:ascii="Times" w:hAnsi="Times" w:cs="Times New Roman"/>
                            <w:sz w:val="20"/>
                            <w:szCs w:val="20"/>
                            <w:lang w:val="en-AU"/>
                          </w:rPr>
                          <w:fldChar w:fldCharType="begin"/>
                        </w:r>
                        <w:r w:rsidRPr="00A429FE">
                          <w:rPr>
                            <w:rFonts w:ascii="Times" w:hAnsi="Times" w:cs="Times New Roman"/>
                            <w:sz w:val="20"/>
                            <w:szCs w:val="20"/>
                            <w:lang w:val="en-AU"/>
                          </w:rPr>
                          <w:instrText xml:space="preserve"> HYPERLINK "http://www.austlii.edu.au/au/cases/nsw/NSWSC/2010/959.html" \t "_new" </w:instrText>
                        </w:r>
                        <w:r w:rsidRPr="00A429FE">
                          <w:rPr>
                            <w:rFonts w:ascii="Times" w:hAnsi="Times" w:cs="Times New Roman"/>
                            <w:sz w:val="20"/>
                            <w:szCs w:val="20"/>
                            <w:lang w:val="en-AU"/>
                          </w:rPr>
                        </w:r>
                        <w:r w:rsidRPr="00A429FE">
                          <w:rPr>
                            <w:rFonts w:ascii="Times" w:hAnsi="Times" w:cs="Times New Roman"/>
                            <w:sz w:val="20"/>
                            <w:szCs w:val="20"/>
                            <w:lang w:val="en-AU"/>
                          </w:rPr>
                          <w:fldChar w:fldCharType="separate"/>
                        </w:r>
                        <w:r w:rsidRPr="00A429FE">
                          <w:rPr>
                            <w:rFonts w:ascii="Times" w:hAnsi="Times" w:cs="Times New Roman"/>
                            <w:color w:val="0000FF"/>
                            <w:sz w:val="20"/>
                            <w:szCs w:val="20"/>
                            <w:u w:val="single"/>
                            <w:lang w:val="en-AU"/>
                          </w:rPr>
                          <w:t>http://www.austlii.edu.au/au/cases/nsw/NSWSC/2010/959.html</w:t>
                        </w:r>
                        <w:r w:rsidRPr="00A429FE">
                          <w:rPr>
                            <w:rFonts w:ascii="Times" w:hAnsi="Times" w:cs="Times New Roman"/>
                            <w:sz w:val="20"/>
                            <w:szCs w:val="20"/>
                            <w:lang w:val="en-AU"/>
                          </w:rPr>
                          <w:fldChar w:fldCharType="end"/>
                        </w:r>
                        <w:r w:rsidRPr="00A429FE">
                          <w:rPr>
                            <w:rFonts w:ascii="Times" w:hAnsi="Times" w:cs="Times New Roman"/>
                            <w:sz w:val="20"/>
                            <w:szCs w:val="20"/>
                            <w:lang w:val="en-AU"/>
                          </w:rPr>
                          <w:br/>
                          <w:t> </w:t>
                        </w:r>
                        <w:r w:rsidRPr="00A429FE">
                          <w:rPr>
                            <w:rFonts w:ascii="Times" w:hAnsi="Times" w:cs="Times New Roman"/>
                            <w:sz w:val="20"/>
                            <w:szCs w:val="20"/>
                            <w:lang w:val="en-AU"/>
                          </w:rPr>
                          <w:br/>
                        </w:r>
                        <w:r w:rsidRPr="00A429FE">
                          <w:rPr>
                            <w:rFonts w:ascii="Times" w:hAnsi="Times" w:cs="Times New Roman"/>
                            <w:b/>
                            <w:bCs/>
                            <w:sz w:val="20"/>
                            <w:szCs w:val="20"/>
                            <w:lang w:val="en-AU"/>
                          </w:rPr>
                          <w:t>(a) Summary</w:t>
                        </w:r>
                        <w:r w:rsidRPr="00A429FE">
                          <w:rPr>
                            <w:rFonts w:ascii="Times" w:hAnsi="Times" w:cs="Times New Roman"/>
                            <w:b/>
                            <w:bCs/>
                            <w:sz w:val="20"/>
                            <w:szCs w:val="20"/>
                            <w:lang w:val="en-AU"/>
                          </w:rPr>
                          <w:br/>
                        </w:r>
                        <w:r w:rsidRPr="00A429FE">
                          <w:rPr>
                            <w:rFonts w:ascii="Times" w:hAnsi="Times" w:cs="Times New Roman"/>
                            <w:sz w:val="20"/>
                            <w:szCs w:val="20"/>
                            <w:lang w:val="en-AU"/>
                          </w:rPr>
                          <w:t> </w:t>
                        </w:r>
                        <w:r w:rsidRPr="00A429FE">
                          <w:rPr>
                            <w:rFonts w:ascii="Times" w:hAnsi="Times" w:cs="Times New Roman"/>
                            <w:sz w:val="20"/>
                            <w:szCs w:val="20"/>
                            <w:lang w:val="en-AU"/>
                          </w:rPr>
                          <w:br/>
                          <w:t xml:space="preserve">This case examined the scope and intent of section 536 of the </w:t>
                        </w:r>
                        <w:r w:rsidRPr="00A429FE">
                          <w:rPr>
                            <w:rFonts w:ascii="Times" w:hAnsi="Times" w:cs="Times New Roman"/>
                            <w:sz w:val="20"/>
                            <w:szCs w:val="20"/>
                            <w:lang w:val="en-AU"/>
                          </w:rPr>
                          <w:fldChar w:fldCharType="begin"/>
                        </w:r>
                        <w:r w:rsidRPr="00A429FE">
                          <w:rPr>
                            <w:rFonts w:ascii="Times" w:hAnsi="Times" w:cs="Times New Roman"/>
                            <w:sz w:val="20"/>
                            <w:szCs w:val="20"/>
                            <w:lang w:val="en-AU"/>
                          </w:rPr>
                          <w:instrText xml:space="preserve"> HYPERLINK "http://my.lawlex.com.au/index.asp?pact=coredoc&amp;nav=col&amp;cid=56482" \t "Default" </w:instrText>
                        </w:r>
                        <w:r w:rsidRPr="00A429FE">
                          <w:rPr>
                            <w:rFonts w:ascii="Times" w:hAnsi="Times" w:cs="Times New Roman"/>
                            <w:sz w:val="20"/>
                            <w:szCs w:val="20"/>
                            <w:lang w:val="en-AU"/>
                          </w:rPr>
                        </w:r>
                        <w:r w:rsidRPr="00A429FE">
                          <w:rPr>
                            <w:rFonts w:ascii="Times" w:hAnsi="Times" w:cs="Times New Roman"/>
                            <w:sz w:val="20"/>
                            <w:szCs w:val="20"/>
                            <w:lang w:val="en-AU"/>
                          </w:rPr>
                          <w:fldChar w:fldCharType="separate"/>
                        </w:r>
                        <w:r w:rsidRPr="00A429FE">
                          <w:rPr>
                            <w:rFonts w:ascii="Times" w:hAnsi="Times" w:cs="Times New Roman"/>
                            <w:color w:val="0000FF"/>
                            <w:sz w:val="20"/>
                            <w:szCs w:val="20"/>
                            <w:u w:val="single"/>
                            <w:lang w:val="en-AU"/>
                          </w:rPr>
                          <w:t>Corporations Act 2001 (Cth)</w:t>
                        </w:r>
                        <w:r w:rsidRPr="00A429FE">
                          <w:rPr>
                            <w:rFonts w:ascii="Times" w:hAnsi="Times" w:cs="Times New Roman"/>
                            <w:sz w:val="20"/>
                            <w:szCs w:val="20"/>
                            <w:lang w:val="en-AU"/>
                          </w:rPr>
                          <w:fldChar w:fldCharType="end"/>
                        </w:r>
                        <w:r w:rsidRPr="00A429FE">
                          <w:rPr>
                            <w:rFonts w:ascii="Times" w:hAnsi="Times" w:cs="Times New Roman"/>
                            <w:sz w:val="20"/>
                            <w:szCs w:val="20"/>
                            <w:lang w:val="en-AU"/>
                          </w:rPr>
                          <w:t xml:space="preserve"> (Act), which gives courts the power to conduct an inquiry into alleged misconduct by liquidators.  At issue in this case was whether the section was applicable in the particular circumstances of this case, which involved the conduct of a liquidator who had been removed and subsequently died.  In particular it considered whether or not orders made by the Supreme Court of New South Wales pursuant to section 536 should stand and whether the scope of the inquiry should be extended or whether it should be permanently stayed.  </w:t>
                        </w:r>
                        <w:r w:rsidRPr="00A429FE">
                          <w:rPr>
                            <w:rFonts w:ascii="Times" w:hAnsi="Times" w:cs="Times New Roman"/>
                            <w:sz w:val="20"/>
                            <w:szCs w:val="20"/>
                            <w:lang w:val="en-AU"/>
                          </w:rPr>
                          <w:br/>
                          <w:t> </w:t>
                        </w:r>
                        <w:r w:rsidRPr="00A429FE">
                          <w:rPr>
                            <w:rFonts w:ascii="Times" w:hAnsi="Times" w:cs="Times New Roman"/>
                            <w:sz w:val="20"/>
                            <w:szCs w:val="20"/>
                            <w:lang w:val="en-AU"/>
                          </w:rPr>
                          <w:br/>
                        </w:r>
                        <w:r w:rsidRPr="00A429FE">
                          <w:rPr>
                            <w:rFonts w:ascii="Times" w:hAnsi="Times" w:cs="Times New Roman"/>
                            <w:b/>
                            <w:bCs/>
                            <w:sz w:val="20"/>
                            <w:szCs w:val="20"/>
                            <w:lang w:val="en-AU"/>
                          </w:rPr>
                          <w:t xml:space="preserve">(b) Facts   </w:t>
                        </w:r>
                        <w:r w:rsidRPr="00A429FE">
                          <w:rPr>
                            <w:rFonts w:ascii="Times" w:hAnsi="Times" w:cs="Times New Roman"/>
                            <w:b/>
                            <w:bCs/>
                            <w:sz w:val="20"/>
                            <w:szCs w:val="20"/>
                            <w:lang w:val="en-AU"/>
                          </w:rPr>
                          <w:br/>
                        </w:r>
                        <w:r w:rsidRPr="00A429FE">
                          <w:rPr>
                            <w:rFonts w:ascii="Times" w:hAnsi="Times" w:cs="Times New Roman"/>
                            <w:sz w:val="20"/>
                            <w:szCs w:val="20"/>
                            <w:lang w:val="en-AU"/>
                          </w:rPr>
                          <w:t> </w:t>
                        </w:r>
                        <w:r w:rsidRPr="00A429FE">
                          <w:rPr>
                            <w:rFonts w:ascii="Times" w:hAnsi="Times" w:cs="Times New Roman"/>
                            <w:sz w:val="20"/>
                            <w:szCs w:val="20"/>
                            <w:lang w:val="en-AU"/>
                          </w:rPr>
                          <w:br/>
                        </w:r>
                        <w:r w:rsidRPr="00A429FE">
                          <w:rPr>
                            <w:rFonts w:ascii="Times" w:hAnsi="Times" w:cs="Times New Roman"/>
                            <w:b/>
                            <w:bCs/>
                            <w:sz w:val="20"/>
                            <w:szCs w:val="20"/>
                            <w:lang w:val="en-AU"/>
                          </w:rPr>
                          <w:t>(i)  Background to the case</w:t>
                        </w:r>
                        <w:r w:rsidRPr="00A429FE">
                          <w:rPr>
                            <w:rFonts w:ascii="Times" w:hAnsi="Times" w:cs="Times New Roman"/>
                            <w:b/>
                            <w:bCs/>
                            <w:sz w:val="20"/>
                            <w:szCs w:val="20"/>
                            <w:lang w:val="en-AU"/>
                          </w:rPr>
                          <w:br/>
                        </w:r>
                        <w:r w:rsidRPr="00A429FE">
                          <w:rPr>
                            <w:rFonts w:ascii="Times" w:hAnsi="Times" w:cs="Times New Roman"/>
                            <w:sz w:val="20"/>
                            <w:szCs w:val="20"/>
                            <w:lang w:val="en-AU"/>
                          </w:rPr>
                          <w:t> </w:t>
                        </w:r>
                        <w:r w:rsidRPr="00A429FE">
                          <w:rPr>
                            <w:rFonts w:ascii="Times" w:hAnsi="Times" w:cs="Times New Roman"/>
                            <w:sz w:val="20"/>
                            <w:szCs w:val="20"/>
                            <w:lang w:val="en-AU"/>
                          </w:rPr>
                          <w:br/>
                          <w:t xml:space="preserve">In May 2001 the Supreme Court of New South Wales ordered Hypec Electronics Pty Ltd (Hypec) to be wound up and appointed David Patrick Watson as liquidator.  BL &amp; GY International Co Ltd (BLGY) had applied for the winding-up order arguing that Hypec had failed to satisfy a statutory demand relating to a judgment debt arising from a default judgment.  </w:t>
                        </w:r>
                        <w:r w:rsidRPr="00A429FE">
                          <w:rPr>
                            <w:rFonts w:ascii="Times" w:hAnsi="Times" w:cs="Times New Roman"/>
                            <w:sz w:val="20"/>
                            <w:szCs w:val="20"/>
                            <w:lang w:val="en-AU"/>
                          </w:rPr>
                          <w:br/>
                          <w:t> </w:t>
                        </w:r>
                        <w:r w:rsidRPr="00A429FE">
                          <w:rPr>
                            <w:rFonts w:ascii="Times" w:hAnsi="Times" w:cs="Times New Roman"/>
                            <w:sz w:val="20"/>
                            <w:szCs w:val="20"/>
                            <w:lang w:val="en-AU"/>
                          </w:rPr>
                          <w:br/>
                          <w:t xml:space="preserve">In December 2004, following an interlocutory application alleging specific incidents of misconduct, the court ordered Mr Watson's removal from office and made orders against him, including that:  </w:t>
                        </w:r>
                        <w:r w:rsidRPr="00A429FE">
                          <w:rPr>
                            <w:rFonts w:ascii="Times" w:hAnsi="Times" w:cs="Times New Roman"/>
                            <w:sz w:val="20"/>
                            <w:szCs w:val="20"/>
                            <w:lang w:val="en-AU"/>
                          </w:rPr>
                          <w:br/>
                          <w:t> </w:t>
                        </w:r>
                        <w:r w:rsidRPr="00A429FE">
                          <w:rPr>
                            <w:rFonts w:ascii="Times" w:hAnsi="Times" w:cs="Times New Roman"/>
                            <w:sz w:val="20"/>
                            <w:szCs w:val="20"/>
                            <w:lang w:val="en-AU"/>
                          </w:rPr>
                          <w:br/>
                          <w:t>(a)  an inquiry be held pursuant to section 536(1)(b) of the Act to determine the amount of loss suffered by Hypec as a result of Mr Watson's misconduct; and</w:t>
                        </w:r>
                        <w:r w:rsidRPr="00A429FE">
                          <w:rPr>
                            <w:rFonts w:ascii="Times" w:hAnsi="Times" w:cs="Times New Roman"/>
                            <w:sz w:val="20"/>
                            <w:szCs w:val="20"/>
                            <w:lang w:val="en-AU"/>
                          </w:rPr>
                          <w:br/>
                          <w:t>(b)  Mr Watson pay Hypec the amount constituting the loss Hypec suffered as a result of Mr Watson's misconduct.</w:t>
                        </w:r>
                        <w:r w:rsidRPr="00A429FE">
                          <w:rPr>
                            <w:rFonts w:ascii="Times" w:hAnsi="Times" w:cs="Times New Roman"/>
                            <w:sz w:val="20"/>
                            <w:szCs w:val="20"/>
                            <w:lang w:val="en-AU"/>
                          </w:rPr>
                          <w:br/>
                          <w:t> </w:t>
                        </w:r>
                        <w:r w:rsidRPr="00A429FE">
                          <w:rPr>
                            <w:rFonts w:ascii="Times" w:hAnsi="Times" w:cs="Times New Roman"/>
                            <w:sz w:val="20"/>
                            <w:szCs w:val="20"/>
                            <w:lang w:val="en-AU"/>
                          </w:rPr>
                          <w:br/>
                          <w:t>Among the claims made by Hypec were that he failed to take adequate steps to investigate and enforce claims by the company against:</w:t>
                        </w:r>
                        <w:r w:rsidRPr="00A429FE">
                          <w:rPr>
                            <w:rFonts w:ascii="Times" w:hAnsi="Times" w:cs="Times New Roman"/>
                            <w:sz w:val="20"/>
                            <w:szCs w:val="20"/>
                            <w:lang w:val="en-AU"/>
                          </w:rPr>
                          <w:br/>
                          <w:t>(c)  a related entity and its directors for having taken over the goodwill of Hypec's business;</w:t>
                        </w:r>
                        <w:r w:rsidRPr="00A429FE">
                          <w:rPr>
                            <w:rFonts w:ascii="Times" w:hAnsi="Times" w:cs="Times New Roman"/>
                            <w:sz w:val="20"/>
                            <w:szCs w:val="20"/>
                            <w:lang w:val="en-AU"/>
                          </w:rPr>
                          <w:br/>
                          <w:t>(d)  the same related company for repayment of a $25,000 debt; and</w:t>
                        </w:r>
                        <w:r w:rsidRPr="00A429FE">
                          <w:rPr>
                            <w:rFonts w:ascii="Times" w:hAnsi="Times" w:cs="Times New Roman"/>
                            <w:sz w:val="20"/>
                            <w:szCs w:val="20"/>
                            <w:lang w:val="en-AU"/>
                          </w:rPr>
                          <w:br/>
                          <w:t>(e)  two other companies for repayment of loans recorded in Hypec's accounts.</w:t>
                        </w:r>
                        <w:r w:rsidRPr="00A429FE">
                          <w:rPr>
                            <w:rFonts w:ascii="Times" w:hAnsi="Times" w:cs="Times New Roman"/>
                            <w:sz w:val="20"/>
                            <w:szCs w:val="20"/>
                            <w:lang w:val="en-AU"/>
                          </w:rPr>
                          <w:br/>
                          <w:t> </w:t>
                        </w:r>
                        <w:r w:rsidRPr="00A429FE">
                          <w:rPr>
                            <w:rFonts w:ascii="Times" w:hAnsi="Times" w:cs="Times New Roman"/>
                            <w:sz w:val="20"/>
                            <w:szCs w:val="20"/>
                            <w:lang w:val="en-AU"/>
                          </w:rPr>
                          <w:br/>
                          <w:t>The court concluded that Mr Watson had not acted impartially and had favoured the interests of Mrs Lucy Guitar Mead over those of her estranged husband and fellow director of Hypec, Colin Anthony Mead, who filed the application.  At the time the winding up proceedings were ordered, the Meads were divorced and involved in litigation over property ownership.</w:t>
                        </w:r>
                        <w:r w:rsidRPr="00A429FE">
                          <w:rPr>
                            <w:rFonts w:ascii="Times" w:hAnsi="Times" w:cs="Times New Roman"/>
                            <w:sz w:val="20"/>
                            <w:szCs w:val="20"/>
                            <w:lang w:val="en-AU"/>
                          </w:rPr>
                          <w:br/>
                          <w:t> </w:t>
                        </w:r>
                        <w:r w:rsidRPr="00A429FE">
                          <w:rPr>
                            <w:rFonts w:ascii="Times" w:hAnsi="Times" w:cs="Times New Roman"/>
                            <w:sz w:val="20"/>
                            <w:szCs w:val="20"/>
                            <w:lang w:val="en-AU"/>
                          </w:rPr>
                          <w:br/>
                          <w:t>Mr Watson died in July 2009 before the inquiry into his conduct had commenced.</w:t>
                        </w:r>
                        <w:r w:rsidRPr="00A429FE">
                          <w:rPr>
                            <w:rFonts w:ascii="Times" w:hAnsi="Times" w:cs="Times New Roman"/>
                            <w:sz w:val="20"/>
                            <w:szCs w:val="20"/>
                            <w:lang w:val="en-AU"/>
                          </w:rPr>
                          <w:br/>
                          <w:t> </w:t>
                        </w:r>
                        <w:r w:rsidRPr="00A429FE">
                          <w:rPr>
                            <w:rFonts w:ascii="Times" w:hAnsi="Times" w:cs="Times New Roman"/>
                            <w:sz w:val="20"/>
                            <w:szCs w:val="20"/>
                            <w:lang w:val="en-AU"/>
                          </w:rPr>
                          <w:br/>
                        </w:r>
                        <w:r w:rsidRPr="00A429FE">
                          <w:rPr>
                            <w:rFonts w:ascii="Times" w:hAnsi="Times" w:cs="Times New Roman"/>
                            <w:b/>
                            <w:bCs/>
                            <w:sz w:val="20"/>
                            <w:szCs w:val="20"/>
                            <w:lang w:val="en-AU"/>
                          </w:rPr>
                          <w:t>(ii) The present case</w:t>
                        </w:r>
                        <w:r w:rsidRPr="00A429FE">
                          <w:rPr>
                            <w:rFonts w:ascii="Times" w:hAnsi="Times" w:cs="Times New Roman"/>
                            <w:b/>
                            <w:bCs/>
                            <w:sz w:val="20"/>
                            <w:szCs w:val="20"/>
                            <w:lang w:val="en-AU"/>
                          </w:rPr>
                          <w:br/>
                        </w:r>
                        <w:r w:rsidRPr="00A429FE">
                          <w:rPr>
                            <w:rFonts w:ascii="Times" w:hAnsi="Times" w:cs="Times New Roman"/>
                            <w:sz w:val="20"/>
                            <w:szCs w:val="20"/>
                            <w:lang w:val="en-AU"/>
                          </w:rPr>
                          <w:t> </w:t>
                        </w:r>
                        <w:r w:rsidRPr="00A429FE">
                          <w:rPr>
                            <w:rFonts w:ascii="Times" w:hAnsi="Times" w:cs="Times New Roman"/>
                            <w:sz w:val="20"/>
                            <w:szCs w:val="20"/>
                            <w:lang w:val="en-AU"/>
                          </w:rPr>
                          <w:br/>
                          <w:t>The present case involved two related applications. Hypec, at the instigation of the incumbent liquidator, brought the first application seeking an order to expand the scope of the inquiry.  Hypec submitted that in addition to the misconduct by Mr Watson that was the subject of the original orders, Mr Watson had been derelict in his duty by not recognising and getting in other assets belonging to Hypec as part of the winding up proceedings. These were omissions, Hypec argued, that warranted an inquiry wider than the intended original inquiry.</w:t>
                        </w:r>
                        <w:r w:rsidRPr="00A429FE">
                          <w:rPr>
                            <w:rFonts w:ascii="Times" w:hAnsi="Times" w:cs="Times New Roman"/>
                            <w:sz w:val="20"/>
                            <w:szCs w:val="20"/>
                            <w:lang w:val="en-AU"/>
                          </w:rPr>
                          <w:br/>
                          <w:t> </w:t>
                        </w:r>
                        <w:r w:rsidRPr="00A429FE">
                          <w:rPr>
                            <w:rFonts w:ascii="Times" w:hAnsi="Times" w:cs="Times New Roman"/>
                            <w:sz w:val="20"/>
                            <w:szCs w:val="20"/>
                            <w:lang w:val="en-AU"/>
                          </w:rPr>
                          <w:br/>
                          <w:t>Mr Watson's estate brought the second action, which sought an order either vacating or permanently staying the existing inquiry order.  The estate submitted that Mr Watson's death meant that it was now pointless to hold the inquiry ordered in December 2004.  Furthermore, the lack of availability of relevant documents made the prospect of a successful inquiry even more remote.</w:t>
                        </w:r>
                        <w:r w:rsidRPr="00A429FE">
                          <w:rPr>
                            <w:rFonts w:ascii="Times" w:hAnsi="Times" w:cs="Times New Roman"/>
                            <w:sz w:val="20"/>
                            <w:szCs w:val="20"/>
                            <w:lang w:val="en-AU"/>
                          </w:rPr>
                          <w:br/>
                          <w:t> </w:t>
                        </w:r>
                        <w:r w:rsidRPr="00A429FE">
                          <w:rPr>
                            <w:rFonts w:ascii="Times" w:hAnsi="Times" w:cs="Times New Roman"/>
                            <w:sz w:val="20"/>
                            <w:szCs w:val="20"/>
                            <w:lang w:val="en-AU"/>
                          </w:rPr>
                          <w:br/>
                        </w:r>
                        <w:r w:rsidRPr="00A429FE">
                          <w:rPr>
                            <w:rFonts w:ascii="Times" w:hAnsi="Times" w:cs="Times New Roman"/>
                            <w:b/>
                            <w:bCs/>
                            <w:sz w:val="20"/>
                            <w:szCs w:val="20"/>
                            <w:lang w:val="en-AU"/>
                          </w:rPr>
                          <w:t xml:space="preserve">(iii) Legislation </w:t>
                        </w:r>
                        <w:r w:rsidRPr="00A429FE">
                          <w:rPr>
                            <w:rFonts w:ascii="Times" w:hAnsi="Times" w:cs="Times New Roman"/>
                            <w:b/>
                            <w:bCs/>
                            <w:sz w:val="20"/>
                            <w:szCs w:val="20"/>
                            <w:lang w:val="en-AU"/>
                          </w:rPr>
                          <w:br/>
                        </w:r>
                        <w:r w:rsidRPr="00A429FE">
                          <w:rPr>
                            <w:rFonts w:ascii="Times" w:hAnsi="Times" w:cs="Times New Roman"/>
                            <w:sz w:val="20"/>
                            <w:szCs w:val="20"/>
                            <w:lang w:val="en-AU"/>
                          </w:rPr>
                          <w:t> </w:t>
                        </w:r>
                        <w:r w:rsidRPr="00A429FE">
                          <w:rPr>
                            <w:rFonts w:ascii="Times" w:hAnsi="Times" w:cs="Times New Roman"/>
                            <w:sz w:val="20"/>
                            <w:szCs w:val="20"/>
                            <w:lang w:val="en-AU"/>
                          </w:rPr>
                          <w:br/>
                          <w:t>Section 536 is a provision giving the court power to take action where there is a suggestion that a liquidator has acted improperly.  The section provides that:</w:t>
                        </w:r>
                        <w:r w:rsidRPr="00A429FE">
                          <w:rPr>
                            <w:rFonts w:ascii="Times" w:hAnsi="Times" w:cs="Times New Roman"/>
                            <w:sz w:val="20"/>
                            <w:szCs w:val="20"/>
                            <w:lang w:val="en-AU"/>
                          </w:rPr>
                          <w:br/>
                        </w:r>
                        <w:r w:rsidRPr="00A429FE">
                          <w:rPr>
                            <w:rFonts w:ascii="Times" w:hAnsi="Times" w:cs="Times New Roman"/>
                            <w:sz w:val="20"/>
                            <w:szCs w:val="20"/>
                            <w:lang w:val="en-AU"/>
                          </w:rPr>
                          <w:br/>
                          <w:t>(1) where:</w:t>
                        </w:r>
                        <w:r w:rsidRPr="00A429FE">
                          <w:rPr>
                            <w:rFonts w:ascii="Times" w:hAnsi="Times" w:cs="Times New Roman"/>
                            <w:sz w:val="20"/>
                            <w:szCs w:val="20"/>
                            <w:lang w:val="en-AU"/>
                          </w:rPr>
                          <w:br/>
                          <w:t xml:space="preserve">(a) it appears to the court or to ASIC that a liquidator has not faithfully performed or is not faithfully performing his or her duties or has not observed or is not observing: </w:t>
                        </w:r>
                        <w:r w:rsidRPr="00A429FE">
                          <w:rPr>
                            <w:rFonts w:ascii="Times" w:hAnsi="Times" w:cs="Times New Roman"/>
                            <w:sz w:val="20"/>
                            <w:szCs w:val="20"/>
                            <w:lang w:val="en-AU"/>
                          </w:rPr>
                          <w:br/>
                          <w:t xml:space="preserve">i. a requirement of the court; or </w:t>
                        </w:r>
                        <w:r w:rsidRPr="00A429FE">
                          <w:rPr>
                            <w:rFonts w:ascii="Times" w:hAnsi="Times" w:cs="Times New Roman"/>
                            <w:sz w:val="20"/>
                            <w:szCs w:val="20"/>
                            <w:lang w:val="en-AU"/>
                          </w:rPr>
                          <w:br/>
                          <w:t xml:space="preserve">ii. a requirement of this Act, of the regulations or of the rules; or </w:t>
                        </w:r>
                        <w:r w:rsidRPr="00A429FE">
                          <w:rPr>
                            <w:rFonts w:ascii="Times" w:hAnsi="Times" w:cs="Times New Roman"/>
                            <w:sz w:val="20"/>
                            <w:szCs w:val="20"/>
                            <w:lang w:val="en-AU"/>
                          </w:rPr>
                          <w:br/>
                          <w:t>(b)  a complaint is made to the court or to ASIC by any person with respect to the conduct of a liquidator in connection with the performance of his or her duties;</w:t>
                        </w:r>
                        <w:r w:rsidRPr="00A429FE">
                          <w:rPr>
                            <w:rFonts w:ascii="Times" w:hAnsi="Times" w:cs="Times New Roman"/>
                            <w:sz w:val="20"/>
                            <w:szCs w:val="20"/>
                            <w:lang w:val="en-AU"/>
                          </w:rPr>
                          <w:br/>
                          <w:t>the court or ASIC, as the case may be, may inquire into the matter and, where the court or ASIC so inquires, the court may take such action as it thinks fit.</w:t>
                        </w:r>
                        <w:r w:rsidRPr="00A429FE">
                          <w:rPr>
                            <w:rFonts w:ascii="Times" w:hAnsi="Times" w:cs="Times New Roman"/>
                            <w:sz w:val="20"/>
                            <w:szCs w:val="20"/>
                            <w:lang w:val="en-AU"/>
                          </w:rPr>
                          <w:br/>
                          <w:t> </w:t>
                        </w:r>
                        <w:r w:rsidRPr="00A429FE">
                          <w:rPr>
                            <w:rFonts w:ascii="Times" w:hAnsi="Times" w:cs="Times New Roman"/>
                            <w:sz w:val="20"/>
                            <w:szCs w:val="20"/>
                            <w:lang w:val="en-AU"/>
                          </w:rPr>
                          <w:br/>
                          <w:t xml:space="preserve">(2) ASIC may report to the court any matter that in its opinion is a misfeasance, neglect or omission on the part of the liquidator and the court may order the liquidator to make good any loss that the estate of the company has sustained thereby and may make such other order or orders as it thinks fit. </w:t>
                        </w:r>
                        <w:r w:rsidRPr="00A429FE">
                          <w:rPr>
                            <w:rFonts w:ascii="Times" w:hAnsi="Times" w:cs="Times New Roman"/>
                            <w:sz w:val="20"/>
                            <w:szCs w:val="20"/>
                            <w:lang w:val="en-AU"/>
                          </w:rPr>
                          <w:br/>
                          <w:t> </w:t>
                        </w:r>
                        <w:r w:rsidRPr="00A429FE">
                          <w:rPr>
                            <w:rFonts w:ascii="Times" w:hAnsi="Times" w:cs="Times New Roman"/>
                            <w:sz w:val="20"/>
                            <w:szCs w:val="20"/>
                            <w:lang w:val="en-AU"/>
                          </w:rPr>
                          <w:br/>
                          <w:t xml:space="preserve">(3) The court may at any time require a liquidator to answer any inquiry in relation to the winding up and may examine the liquidator or any other person on oath concerning the winding up and may direct an investigation to be made of the books of the liquidator." </w:t>
                        </w:r>
                        <w:r w:rsidRPr="00A429FE">
                          <w:rPr>
                            <w:rFonts w:ascii="Times" w:hAnsi="Times" w:cs="Times New Roman"/>
                            <w:sz w:val="20"/>
                            <w:szCs w:val="20"/>
                            <w:lang w:val="en-AU"/>
                          </w:rPr>
                          <w:br/>
                          <w:t> </w:t>
                        </w:r>
                        <w:r w:rsidRPr="00A429FE">
                          <w:rPr>
                            <w:rFonts w:ascii="Times" w:hAnsi="Times" w:cs="Times New Roman"/>
                            <w:sz w:val="20"/>
                            <w:szCs w:val="20"/>
                            <w:lang w:val="en-AU"/>
                          </w:rPr>
                          <w:br/>
                          <w:t>Proceedings under section 536 involve the following three stages:</w:t>
                        </w:r>
                      </w:p>
                      <w:p w:rsidR="00A429FE" w:rsidRPr="00A429FE" w:rsidRDefault="00A429FE" w:rsidP="00A429FE">
                        <w:pPr>
                          <w:tabs>
                            <w:tab w:val="num" w:pos="720"/>
                          </w:tabs>
                          <w:spacing w:before="100" w:beforeAutospacing="1" w:after="100" w:afterAutospacing="1"/>
                          <w:ind w:left="720" w:hanging="360"/>
                          <w:rPr>
                            <w:rFonts w:ascii="Times" w:eastAsia="Times New Roman" w:hAnsi="Times" w:cs="Times New Roman"/>
                            <w:sz w:val="20"/>
                            <w:szCs w:val="20"/>
                            <w:lang w:val="en-AU"/>
                          </w:rPr>
                        </w:pPr>
                        <w:r w:rsidRPr="00A429FE">
                          <w:rPr>
                            <w:rFonts w:ascii="Times" w:eastAsia="Times New Roman" w:hAnsi="Times" w:cs="Times New Roman"/>
                            <w:sz w:val="20"/>
                            <w:szCs w:val="20"/>
                            <w:lang w:val="en-AU"/>
                          </w:rPr>
                          <w:t xml:space="preserve">a decision by the court, following an application, as to whether an inquiry into the liquidator's conduct is warranted; </w:t>
                        </w:r>
                      </w:p>
                      <w:p w:rsidR="00A429FE" w:rsidRPr="00A429FE" w:rsidRDefault="00A429FE" w:rsidP="00A429FE">
                        <w:pPr>
                          <w:tabs>
                            <w:tab w:val="num" w:pos="720"/>
                          </w:tabs>
                          <w:spacing w:before="100" w:beforeAutospacing="1" w:after="100" w:afterAutospacing="1"/>
                          <w:ind w:left="720" w:hanging="360"/>
                          <w:rPr>
                            <w:rFonts w:ascii="Times" w:eastAsia="Times New Roman" w:hAnsi="Times" w:cs="Times New Roman"/>
                            <w:sz w:val="20"/>
                            <w:szCs w:val="20"/>
                            <w:lang w:val="en-AU"/>
                          </w:rPr>
                        </w:pPr>
                        <w:r w:rsidRPr="00A429FE">
                          <w:rPr>
                            <w:rFonts w:ascii="Times" w:eastAsia="Times New Roman" w:hAnsi="Times" w:cs="Times New Roman"/>
                            <w:sz w:val="20"/>
                            <w:szCs w:val="20"/>
                            <w:lang w:val="en-AU"/>
                          </w:rPr>
                          <w:t xml:space="preserve">the inquiry itself, which must be adversarial in nature; and </w:t>
                        </w:r>
                      </w:p>
                      <w:p w:rsidR="00A429FE" w:rsidRPr="00A429FE" w:rsidRDefault="00A429FE" w:rsidP="00A429FE">
                        <w:pPr>
                          <w:tabs>
                            <w:tab w:val="num" w:pos="720"/>
                          </w:tabs>
                          <w:spacing w:before="100" w:beforeAutospacing="1" w:after="100" w:afterAutospacing="1"/>
                          <w:ind w:left="720" w:hanging="360"/>
                          <w:rPr>
                            <w:rFonts w:ascii="Times" w:eastAsia="Times New Roman" w:hAnsi="Times" w:cs="Times New Roman"/>
                            <w:sz w:val="20"/>
                            <w:szCs w:val="20"/>
                            <w:lang w:val="en-AU"/>
                          </w:rPr>
                        </w:pPr>
                        <w:r w:rsidRPr="00A429FE">
                          <w:rPr>
                            <w:rFonts w:ascii="Times" w:eastAsia="Times New Roman" w:hAnsi="Times" w:cs="Times New Roman"/>
                            <w:sz w:val="20"/>
                            <w:szCs w:val="20"/>
                            <w:lang w:val="en-AU"/>
                          </w:rPr>
                          <w:t xml:space="preserve">the court's decision, if it finds that the liquidator's conduct was deficient, whether or not to make an order or, in the words of the section, "take such action as it sees fit".  </w:t>
                        </w:r>
                      </w:p>
                      <w:p w:rsidR="00A429FE" w:rsidRPr="00A429FE" w:rsidRDefault="00A429FE" w:rsidP="00A429FE">
                        <w:pPr>
                          <w:spacing w:before="100" w:beforeAutospacing="1" w:after="100" w:afterAutospacing="1"/>
                          <w:rPr>
                            <w:rFonts w:ascii="Times" w:hAnsi="Times" w:cs="Times New Roman"/>
                            <w:sz w:val="20"/>
                            <w:szCs w:val="20"/>
                            <w:lang w:val="en-AU"/>
                          </w:rPr>
                        </w:pPr>
                        <w:r w:rsidRPr="00A429FE">
                          <w:rPr>
                            <w:rFonts w:ascii="Times" w:hAnsi="Times" w:cs="Times New Roman"/>
                            <w:sz w:val="20"/>
                            <w:szCs w:val="20"/>
                            <w:lang w:val="en-AU"/>
                          </w:rPr>
                          <w:t xml:space="preserve">The second stage that is the inquiry itself is a prerequisite to making any order for the removal of a liquidator or any other appropriate remedial or protective action.  This seemingly obvious point is nonetheless significant in this case.  The court accepted that the order made in December 2004 that Mr Watson pay Hypec the amount calculated to be the loss suffered by Hypec was the result of some agreement between Mr Watson and Mr Mead.  It was not, in other words, the result of an inquiry by the court as required under section 536.  Therefore there was no jurisdictional basis for making the order.  </w:t>
                        </w:r>
                        <w:r w:rsidRPr="00A429FE">
                          <w:rPr>
                            <w:rFonts w:ascii="Times" w:hAnsi="Times" w:cs="Times New Roman"/>
                            <w:sz w:val="20"/>
                            <w:szCs w:val="20"/>
                            <w:lang w:val="en-AU"/>
                          </w:rPr>
                          <w:br/>
                          <w:t> </w:t>
                        </w:r>
                        <w:r w:rsidRPr="00A429FE">
                          <w:rPr>
                            <w:rFonts w:ascii="Times" w:hAnsi="Times" w:cs="Times New Roman"/>
                            <w:sz w:val="20"/>
                            <w:szCs w:val="20"/>
                            <w:lang w:val="en-AU"/>
                          </w:rPr>
                          <w:br/>
                        </w:r>
                        <w:r w:rsidRPr="00A429FE">
                          <w:rPr>
                            <w:rFonts w:ascii="Times" w:hAnsi="Times" w:cs="Times New Roman"/>
                            <w:b/>
                            <w:bCs/>
                            <w:sz w:val="20"/>
                            <w:szCs w:val="20"/>
                            <w:lang w:val="en-AU"/>
                          </w:rPr>
                          <w:t xml:space="preserve">(c) Decision  </w:t>
                        </w:r>
                        <w:r w:rsidRPr="00A429FE">
                          <w:rPr>
                            <w:rFonts w:ascii="Times" w:hAnsi="Times" w:cs="Times New Roman"/>
                            <w:b/>
                            <w:bCs/>
                            <w:sz w:val="20"/>
                            <w:szCs w:val="20"/>
                            <w:lang w:val="en-AU"/>
                          </w:rPr>
                          <w:br/>
                        </w:r>
                        <w:r w:rsidRPr="00A429FE">
                          <w:rPr>
                            <w:rFonts w:ascii="Times" w:hAnsi="Times" w:cs="Times New Roman"/>
                            <w:sz w:val="20"/>
                            <w:szCs w:val="20"/>
                            <w:lang w:val="en-AU"/>
                          </w:rPr>
                          <w:t> </w:t>
                        </w:r>
                        <w:r w:rsidRPr="00A429FE">
                          <w:rPr>
                            <w:rFonts w:ascii="Times" w:hAnsi="Times" w:cs="Times New Roman"/>
                            <w:sz w:val="20"/>
                            <w:szCs w:val="20"/>
                            <w:lang w:val="en-AU"/>
                          </w:rPr>
                          <w:br/>
                          <w:t>Barrett J held that a liquidator whose conduct is in question is a necessary party to any inquiry under section 536 so he or she may give an account of that conduct to the court.  In this case the liquidator was dead and nobody else, including his legal representative, could be expected to explain his actions satisfactorily in his absence.  Rather than, as Hypec sought, expanding the parameters of the inquiry, his Honour held that the order of an inquiry given in December 2004 should be permanently stayed and Hypec's application dismissed.</w:t>
                        </w:r>
                        <w:r w:rsidRPr="00A429FE">
                          <w:rPr>
                            <w:rFonts w:ascii="Times" w:hAnsi="Times" w:cs="Times New Roman"/>
                            <w:sz w:val="20"/>
                            <w:szCs w:val="20"/>
                            <w:lang w:val="en-AU"/>
                          </w:rPr>
                          <w:br/>
                          <w:t> </w:t>
                        </w:r>
                        <w:r w:rsidRPr="00A429FE">
                          <w:rPr>
                            <w:rFonts w:ascii="Times" w:hAnsi="Times" w:cs="Times New Roman"/>
                            <w:sz w:val="20"/>
                            <w:szCs w:val="20"/>
                            <w:lang w:val="en-AU"/>
                          </w:rPr>
                          <w:br/>
                          <w:t>Furthermore, in view of the circumstances surrounding the order that Mr Watson pay any loss calculated to have been the result of his misconduct, his Honour held that the order should also be set aside.</w:t>
                        </w:r>
                      </w:p>
                      <w:p w:rsidR="00A429FE" w:rsidRPr="00A429FE" w:rsidRDefault="00A429FE" w:rsidP="00A429F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7144" name="Picture 17144" descr="etailed Contents">
                                <a:hlinkClick xmlns:a="http://schemas.openxmlformats.org/drawingml/2006/main" r:id="rId1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44" descr="etailed Contents">
                                        <a:hlinkClick r:id="rId102"/>
                                      </pic:cNvPr>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A429FE" w:rsidRPr="00A429FE" w:rsidRDefault="00A429FE" w:rsidP="00A429FE">
                        <w:pPr>
                          <w:rPr>
                            <w:rFonts w:ascii="Times" w:eastAsia="Times New Roman" w:hAnsi="Times" w:cs="Times New Roman"/>
                            <w:sz w:val="20"/>
                            <w:szCs w:val="20"/>
                            <w:lang w:val="en-AU"/>
                          </w:rPr>
                        </w:pPr>
                        <w:r w:rsidRPr="00A429FE">
                          <w:rPr>
                            <w:rFonts w:ascii="Times" w:eastAsia="Times New Roman" w:hAnsi="Times" w:cs="Times New Roman"/>
                            <w:sz w:val="20"/>
                            <w:szCs w:val="20"/>
                            <w:lang w:val="en-AU"/>
                          </w:rPr>
                          <w:pict>
                            <v:rect id="_x0000_i18169" style="width:0;height:1.5pt" o:hralign="center" o:hrstd="t" o:hr="t" fillcolor="#aaa" stroked="f"/>
                          </w:pict>
                        </w:r>
                      </w:p>
                      <w:p w:rsidR="00A429FE" w:rsidRPr="00A429FE" w:rsidRDefault="00A429FE" w:rsidP="00A429FE">
                        <w:pPr>
                          <w:spacing w:before="100" w:beforeAutospacing="1" w:after="100" w:afterAutospacing="1"/>
                          <w:rPr>
                            <w:rFonts w:ascii="Times" w:hAnsi="Times" w:cs="Times New Roman"/>
                            <w:sz w:val="20"/>
                            <w:szCs w:val="20"/>
                            <w:lang w:val="en-AU"/>
                          </w:rPr>
                        </w:pPr>
                        <w:bookmarkStart w:id="64" w:name="0511"/>
                        <w:bookmarkEnd w:id="64"/>
                        <w:r w:rsidRPr="00A429FE">
                          <w:rPr>
                            <w:rFonts w:ascii="Times" w:hAnsi="Times" w:cs="Times New Roman"/>
                            <w:b/>
                            <w:bCs/>
                            <w:sz w:val="20"/>
                            <w:szCs w:val="20"/>
                            <w:lang w:val="en-AU"/>
                          </w:rPr>
                          <w:t xml:space="preserve">5.11 Legality of tape recordings of management committee meetings  </w:t>
                        </w:r>
                        <w:r w:rsidRPr="00A429FE">
                          <w:rPr>
                            <w:rFonts w:ascii="Times" w:hAnsi="Times" w:cs="Times New Roman"/>
                            <w:sz w:val="20"/>
                            <w:szCs w:val="20"/>
                            <w:lang w:val="en-AU"/>
                          </w:rPr>
                          <w:br/>
                        </w:r>
                        <w:r w:rsidRPr="00A429FE">
                          <w:rPr>
                            <w:rFonts w:ascii="Times" w:hAnsi="Times" w:cs="Times New Roman"/>
                            <w:sz w:val="20"/>
                            <w:szCs w:val="20"/>
                            <w:lang w:val="en-AU"/>
                          </w:rPr>
                          <w:br/>
                          <w:t xml:space="preserve">(By Carolyn Wong, Mallesons Stephen Jaques) </w:t>
                        </w:r>
                        <w:r w:rsidRPr="00A429FE">
                          <w:rPr>
                            <w:rFonts w:ascii="Times" w:hAnsi="Times" w:cs="Times New Roman"/>
                            <w:sz w:val="20"/>
                            <w:szCs w:val="20"/>
                            <w:lang w:val="en-AU"/>
                          </w:rPr>
                          <w:br/>
                          <w:t> </w:t>
                        </w:r>
                        <w:r w:rsidRPr="00A429FE">
                          <w:rPr>
                            <w:rFonts w:ascii="Times" w:hAnsi="Times" w:cs="Times New Roman"/>
                            <w:sz w:val="20"/>
                            <w:szCs w:val="20"/>
                            <w:lang w:val="en-AU"/>
                          </w:rPr>
                          <w:br/>
                          <w:t xml:space="preserve">Alliance Craton Explorer Pty Ltd v Quasar Resources Ltd [2010] SASC 266, Supreme Court of South Australia, Sulan J, 27 August 2010 </w:t>
                        </w:r>
                        <w:r w:rsidRPr="00A429FE">
                          <w:rPr>
                            <w:rFonts w:ascii="Times" w:hAnsi="Times" w:cs="Times New Roman"/>
                            <w:sz w:val="20"/>
                            <w:szCs w:val="20"/>
                            <w:lang w:val="en-AU"/>
                          </w:rPr>
                          <w:br/>
                          <w:t> </w:t>
                        </w:r>
                        <w:r w:rsidRPr="00A429FE">
                          <w:rPr>
                            <w:rFonts w:ascii="Times" w:hAnsi="Times" w:cs="Times New Roman"/>
                            <w:sz w:val="20"/>
                            <w:szCs w:val="20"/>
                            <w:lang w:val="en-AU"/>
                          </w:rPr>
                          <w:br/>
                          <w:t>The full text of this judgment is available at:</w:t>
                        </w:r>
                      </w:p>
                      <w:p w:rsidR="00A429FE" w:rsidRPr="00A429FE" w:rsidRDefault="00A429FE" w:rsidP="00A429FE">
                        <w:pPr>
                          <w:spacing w:before="100" w:beforeAutospacing="1" w:after="100" w:afterAutospacing="1"/>
                          <w:rPr>
                            <w:rFonts w:ascii="Times" w:hAnsi="Times" w:cs="Times New Roman"/>
                            <w:sz w:val="20"/>
                            <w:szCs w:val="20"/>
                            <w:lang w:val="en-AU"/>
                          </w:rPr>
                        </w:pPr>
                        <w:r w:rsidRPr="00A429FE">
                          <w:rPr>
                            <w:rFonts w:ascii="Times" w:hAnsi="Times" w:cs="Times New Roman"/>
                            <w:sz w:val="20"/>
                            <w:szCs w:val="20"/>
                            <w:lang w:val="en-AU"/>
                          </w:rPr>
                          <w:fldChar w:fldCharType="begin"/>
                        </w:r>
                        <w:r w:rsidRPr="00A429FE">
                          <w:rPr>
                            <w:rFonts w:ascii="Times" w:hAnsi="Times" w:cs="Times New Roman"/>
                            <w:sz w:val="20"/>
                            <w:szCs w:val="20"/>
                            <w:lang w:val="en-AU"/>
                          </w:rPr>
                          <w:instrText xml:space="preserve"> HYPERLINK "http://www.austlii.edu.au/au/cases/sa/SASC/2010/266.html" \t "_new" </w:instrText>
                        </w:r>
                        <w:r w:rsidRPr="00A429FE">
                          <w:rPr>
                            <w:rFonts w:ascii="Times" w:hAnsi="Times" w:cs="Times New Roman"/>
                            <w:sz w:val="20"/>
                            <w:szCs w:val="20"/>
                            <w:lang w:val="en-AU"/>
                          </w:rPr>
                        </w:r>
                        <w:r w:rsidRPr="00A429FE">
                          <w:rPr>
                            <w:rFonts w:ascii="Times" w:hAnsi="Times" w:cs="Times New Roman"/>
                            <w:sz w:val="20"/>
                            <w:szCs w:val="20"/>
                            <w:lang w:val="en-AU"/>
                          </w:rPr>
                          <w:fldChar w:fldCharType="separate"/>
                        </w:r>
                        <w:r w:rsidRPr="00A429FE">
                          <w:rPr>
                            <w:rFonts w:ascii="Times" w:hAnsi="Times" w:cs="Times New Roman"/>
                            <w:color w:val="0000FF"/>
                            <w:sz w:val="20"/>
                            <w:szCs w:val="20"/>
                            <w:u w:val="single"/>
                            <w:lang w:val="en-AU"/>
                          </w:rPr>
                          <w:t>http://www.austlii.edu.au/au/cases/sa/SASC/2010/266.html</w:t>
                        </w:r>
                        <w:r w:rsidRPr="00A429FE">
                          <w:rPr>
                            <w:rFonts w:ascii="Times" w:hAnsi="Times" w:cs="Times New Roman"/>
                            <w:sz w:val="20"/>
                            <w:szCs w:val="20"/>
                            <w:lang w:val="en-AU"/>
                          </w:rPr>
                          <w:fldChar w:fldCharType="end"/>
                        </w:r>
                        <w:r w:rsidRPr="00A429FE">
                          <w:rPr>
                            <w:rFonts w:ascii="Times" w:hAnsi="Times" w:cs="Times New Roman"/>
                            <w:sz w:val="20"/>
                            <w:szCs w:val="20"/>
                            <w:lang w:val="en-AU"/>
                          </w:rPr>
                          <w:br/>
                          <w:t> </w:t>
                        </w:r>
                        <w:r w:rsidRPr="00A429FE">
                          <w:rPr>
                            <w:rFonts w:ascii="Times" w:hAnsi="Times" w:cs="Times New Roman"/>
                            <w:sz w:val="20"/>
                            <w:szCs w:val="20"/>
                            <w:lang w:val="en-AU"/>
                          </w:rPr>
                          <w:br/>
                        </w:r>
                        <w:r w:rsidRPr="00A429FE">
                          <w:rPr>
                            <w:rFonts w:ascii="Times" w:hAnsi="Times" w:cs="Times New Roman"/>
                            <w:b/>
                            <w:bCs/>
                            <w:sz w:val="20"/>
                            <w:szCs w:val="20"/>
                            <w:lang w:val="en-AU"/>
                          </w:rPr>
                          <w:t>(a) Summary</w:t>
                        </w:r>
                        <w:r w:rsidRPr="00A429FE">
                          <w:rPr>
                            <w:rFonts w:ascii="Times" w:hAnsi="Times" w:cs="Times New Roman"/>
                            <w:b/>
                            <w:bCs/>
                            <w:sz w:val="20"/>
                            <w:szCs w:val="20"/>
                            <w:lang w:val="en-AU"/>
                          </w:rPr>
                          <w:br/>
                        </w:r>
                        <w:r w:rsidRPr="00A429FE">
                          <w:rPr>
                            <w:rFonts w:ascii="Times" w:hAnsi="Times" w:cs="Times New Roman"/>
                            <w:sz w:val="20"/>
                            <w:szCs w:val="20"/>
                            <w:lang w:val="en-AU"/>
                          </w:rPr>
                          <w:t> </w:t>
                        </w:r>
                        <w:r w:rsidRPr="00A429FE">
                          <w:rPr>
                            <w:rFonts w:ascii="Times" w:hAnsi="Times" w:cs="Times New Roman"/>
                            <w:sz w:val="20"/>
                            <w:szCs w:val="20"/>
                            <w:lang w:val="en-AU"/>
                          </w:rPr>
                          <w:br/>
                          <w:t xml:space="preserve">Sulan J found that tape recording of management committee meetings was not prohibited by surveillance devices legislation because the proceedings of the meetings in question, although private, were not "conversations" within the meaning of the relevant Act. However, tape recording of the meetings may be prohibited by a ruling by the chairman exercising a procedural power or a resolution by the members through a majority vote. </w:t>
                        </w:r>
                        <w:r w:rsidRPr="00A429FE">
                          <w:rPr>
                            <w:rFonts w:ascii="Times" w:hAnsi="Times" w:cs="Times New Roman"/>
                            <w:sz w:val="20"/>
                            <w:szCs w:val="20"/>
                            <w:lang w:val="en-AU"/>
                          </w:rPr>
                          <w:br/>
                          <w:t> </w:t>
                        </w:r>
                        <w:r w:rsidRPr="00A429FE">
                          <w:rPr>
                            <w:rFonts w:ascii="Times" w:hAnsi="Times" w:cs="Times New Roman"/>
                            <w:sz w:val="20"/>
                            <w:szCs w:val="20"/>
                            <w:lang w:val="en-AU"/>
                          </w:rPr>
                          <w:br/>
                        </w:r>
                        <w:r w:rsidRPr="00A429FE">
                          <w:rPr>
                            <w:rFonts w:ascii="Times" w:hAnsi="Times" w:cs="Times New Roman"/>
                            <w:b/>
                            <w:bCs/>
                            <w:sz w:val="20"/>
                            <w:szCs w:val="20"/>
                            <w:lang w:val="en-AU"/>
                          </w:rPr>
                          <w:t>(b) Facts</w:t>
                        </w:r>
                        <w:r w:rsidRPr="00A429FE">
                          <w:rPr>
                            <w:rFonts w:ascii="Times" w:hAnsi="Times" w:cs="Times New Roman"/>
                            <w:b/>
                            <w:bCs/>
                            <w:sz w:val="20"/>
                            <w:szCs w:val="20"/>
                            <w:lang w:val="en-AU"/>
                          </w:rPr>
                          <w:br/>
                        </w:r>
                        <w:r w:rsidRPr="00A429FE">
                          <w:rPr>
                            <w:rFonts w:ascii="Times" w:hAnsi="Times" w:cs="Times New Roman"/>
                            <w:sz w:val="20"/>
                            <w:szCs w:val="20"/>
                            <w:lang w:val="en-AU"/>
                          </w:rPr>
                          <w:t> </w:t>
                        </w:r>
                        <w:r w:rsidRPr="00A429FE">
                          <w:rPr>
                            <w:rFonts w:ascii="Times" w:hAnsi="Times" w:cs="Times New Roman"/>
                            <w:sz w:val="20"/>
                            <w:szCs w:val="20"/>
                            <w:lang w:val="en-AU"/>
                          </w:rPr>
                          <w:br/>
                          <w:t xml:space="preserve">The plaintiff and the defendant were participants in a joint venture, holding 25% and 75% of the interest respectively. Each of them was entitled to one vote at the management committee meetings for each percentage point of interest held in the joint venture. A number of management committee meetings were held in which the plaintiff sought to make tape recordings of the meetings. At one meeting, the chairman made a ruling prohibiting electronic recordings. At a later meeting, a resolution was proposed to disallow the electronic recordings of that meeting and any further meetings. The plaintiff refused to vote on the resolution. The defendant voted in favour of the resolution and the chairman ruled that the resolution had been passed. The chairman adjourned the meetings where the plaintiff refused to comply with the ruling and resolution. </w:t>
                        </w:r>
                        <w:r w:rsidRPr="00A429FE">
                          <w:rPr>
                            <w:rFonts w:ascii="Times" w:hAnsi="Times" w:cs="Times New Roman"/>
                            <w:sz w:val="20"/>
                            <w:szCs w:val="20"/>
                            <w:lang w:val="en-AU"/>
                          </w:rPr>
                          <w:br/>
                          <w:t> </w:t>
                        </w:r>
                        <w:r w:rsidRPr="00A429FE">
                          <w:rPr>
                            <w:rFonts w:ascii="Times" w:hAnsi="Times" w:cs="Times New Roman"/>
                            <w:sz w:val="20"/>
                            <w:szCs w:val="20"/>
                            <w:lang w:val="en-AU"/>
                          </w:rPr>
                          <w:br/>
                          <w:t xml:space="preserve">The plaintiff brought proceedings asserting its right to tape record the management committee meetings. The issues at trial were whether: </w:t>
                        </w:r>
                      </w:p>
                      <w:p w:rsidR="00A429FE" w:rsidRPr="00A429FE" w:rsidRDefault="00A429FE" w:rsidP="00A429FE">
                        <w:pPr>
                          <w:tabs>
                            <w:tab w:val="num" w:pos="720"/>
                          </w:tabs>
                          <w:spacing w:before="100" w:beforeAutospacing="1" w:after="100" w:afterAutospacing="1"/>
                          <w:ind w:left="720" w:hanging="360"/>
                          <w:rPr>
                            <w:rFonts w:ascii="Times" w:eastAsia="Times New Roman" w:hAnsi="Times" w:cs="Times New Roman"/>
                            <w:sz w:val="20"/>
                            <w:szCs w:val="20"/>
                            <w:lang w:val="en-AU"/>
                          </w:rPr>
                        </w:pPr>
                        <w:r w:rsidRPr="00A429FE">
                          <w:rPr>
                            <w:rFonts w:ascii="Times" w:eastAsia="Times New Roman" w:hAnsi="Times" w:cs="Times New Roman"/>
                            <w:sz w:val="20"/>
                            <w:szCs w:val="20"/>
                            <w:lang w:val="en-AU"/>
                          </w:rPr>
                          <w:t xml:space="preserve">the electronic recording of a management committee meeting is in breach of the </w:t>
                        </w:r>
                        <w:r w:rsidRPr="00A429FE">
                          <w:rPr>
                            <w:rFonts w:ascii="Times" w:eastAsia="Times New Roman" w:hAnsi="Times" w:cs="Times New Roman"/>
                            <w:sz w:val="20"/>
                            <w:szCs w:val="20"/>
                            <w:lang w:val="en-AU"/>
                          </w:rPr>
                          <w:fldChar w:fldCharType="begin"/>
                        </w:r>
                        <w:r w:rsidRPr="00A429FE">
                          <w:rPr>
                            <w:rFonts w:ascii="Times" w:eastAsia="Times New Roman" w:hAnsi="Times" w:cs="Times New Roman"/>
                            <w:sz w:val="20"/>
                            <w:szCs w:val="20"/>
                            <w:lang w:val="en-AU"/>
                          </w:rPr>
                          <w:instrText xml:space="preserve"> HYPERLINK "http://my.lawlex.com.au/index.asp?pact=coredoc&amp;nav=col&amp;cid=28645" \t "Default" </w:instrText>
                        </w:r>
                        <w:r w:rsidRPr="00A429FE">
                          <w:rPr>
                            <w:rFonts w:ascii="Times" w:eastAsia="Times New Roman" w:hAnsi="Times" w:cs="Times New Roman"/>
                            <w:sz w:val="20"/>
                            <w:szCs w:val="20"/>
                            <w:lang w:val="en-AU"/>
                          </w:rPr>
                        </w:r>
                        <w:r w:rsidRPr="00A429FE">
                          <w:rPr>
                            <w:rFonts w:ascii="Times" w:eastAsia="Times New Roman" w:hAnsi="Times" w:cs="Times New Roman"/>
                            <w:sz w:val="20"/>
                            <w:szCs w:val="20"/>
                            <w:lang w:val="en-AU"/>
                          </w:rPr>
                          <w:fldChar w:fldCharType="separate"/>
                        </w:r>
                        <w:r w:rsidRPr="00A429FE">
                          <w:rPr>
                            <w:rFonts w:ascii="Times" w:eastAsia="Times New Roman" w:hAnsi="Times" w:cs="Times New Roman"/>
                            <w:color w:val="0000FF"/>
                            <w:sz w:val="20"/>
                            <w:szCs w:val="20"/>
                            <w:u w:val="single"/>
                            <w:lang w:val="en-AU"/>
                          </w:rPr>
                          <w:t>Listening and Surveillance Devices Act 1972 (SA)</w:t>
                        </w:r>
                        <w:r w:rsidRPr="00A429FE">
                          <w:rPr>
                            <w:rFonts w:ascii="Times" w:eastAsia="Times New Roman" w:hAnsi="Times" w:cs="Times New Roman"/>
                            <w:sz w:val="20"/>
                            <w:szCs w:val="20"/>
                            <w:lang w:val="en-AU"/>
                          </w:rPr>
                          <w:fldChar w:fldCharType="end"/>
                        </w:r>
                        <w:r w:rsidRPr="00A429FE">
                          <w:rPr>
                            <w:rFonts w:ascii="Times" w:eastAsia="Times New Roman" w:hAnsi="Times" w:cs="Times New Roman"/>
                            <w:sz w:val="20"/>
                            <w:szCs w:val="20"/>
                            <w:lang w:val="en-AU"/>
                          </w:rPr>
                          <w:t xml:space="preserve"> ("the Act"); </w:t>
                        </w:r>
                      </w:p>
                      <w:p w:rsidR="00A429FE" w:rsidRPr="00A429FE" w:rsidRDefault="00A429FE" w:rsidP="00A429FE">
                        <w:pPr>
                          <w:tabs>
                            <w:tab w:val="num" w:pos="720"/>
                          </w:tabs>
                          <w:spacing w:before="100" w:beforeAutospacing="1" w:after="100" w:afterAutospacing="1"/>
                          <w:ind w:left="720" w:hanging="360"/>
                          <w:rPr>
                            <w:rFonts w:ascii="Times" w:eastAsia="Times New Roman" w:hAnsi="Times" w:cs="Times New Roman"/>
                            <w:sz w:val="20"/>
                            <w:szCs w:val="20"/>
                            <w:lang w:val="en-AU"/>
                          </w:rPr>
                        </w:pPr>
                        <w:r w:rsidRPr="00A429FE">
                          <w:rPr>
                            <w:rFonts w:ascii="Times" w:eastAsia="Times New Roman" w:hAnsi="Times" w:cs="Times New Roman"/>
                            <w:sz w:val="20"/>
                            <w:szCs w:val="20"/>
                            <w:lang w:val="en-AU"/>
                          </w:rPr>
                          <w:t xml:space="preserve">the rulings by the chairman were ultra vires, void and not binding on the plaintiff; and </w:t>
                        </w:r>
                      </w:p>
                      <w:p w:rsidR="00A429FE" w:rsidRPr="00A429FE" w:rsidRDefault="00A429FE" w:rsidP="00A429FE">
                        <w:pPr>
                          <w:tabs>
                            <w:tab w:val="num" w:pos="720"/>
                          </w:tabs>
                          <w:spacing w:before="100" w:beforeAutospacing="1" w:after="100" w:afterAutospacing="1"/>
                          <w:ind w:left="720" w:hanging="360"/>
                          <w:rPr>
                            <w:rFonts w:ascii="Times" w:eastAsia="Times New Roman" w:hAnsi="Times" w:cs="Times New Roman"/>
                            <w:sz w:val="20"/>
                            <w:szCs w:val="20"/>
                            <w:lang w:val="en-AU"/>
                          </w:rPr>
                        </w:pPr>
                        <w:r w:rsidRPr="00A429FE">
                          <w:rPr>
                            <w:rFonts w:ascii="Times" w:eastAsia="Times New Roman" w:hAnsi="Times" w:cs="Times New Roman"/>
                            <w:sz w:val="20"/>
                            <w:szCs w:val="20"/>
                            <w:lang w:val="en-AU"/>
                          </w:rPr>
                          <w:t xml:space="preserve">the resolution passed by the management committee was sufficient to bind the plaintiff even if the rulings by the chairman were void.  </w:t>
                        </w:r>
                      </w:p>
                      <w:p w:rsidR="00A429FE" w:rsidRPr="00A429FE" w:rsidRDefault="00A429FE" w:rsidP="00A429FE">
                        <w:pPr>
                          <w:spacing w:before="100" w:beforeAutospacing="1" w:after="100" w:afterAutospacing="1"/>
                          <w:rPr>
                            <w:rFonts w:ascii="Times" w:hAnsi="Times" w:cs="Times New Roman"/>
                            <w:sz w:val="20"/>
                            <w:szCs w:val="20"/>
                            <w:lang w:val="en-AU"/>
                          </w:rPr>
                        </w:pPr>
                        <w:r w:rsidRPr="00A429FE">
                          <w:rPr>
                            <w:rFonts w:ascii="Times" w:hAnsi="Times" w:cs="Times New Roman"/>
                            <w:b/>
                            <w:bCs/>
                            <w:sz w:val="20"/>
                            <w:szCs w:val="20"/>
                            <w:lang w:val="en-AU"/>
                          </w:rPr>
                          <w:t>(c) Decision</w:t>
                        </w:r>
                        <w:r w:rsidRPr="00A429FE">
                          <w:rPr>
                            <w:rFonts w:ascii="Times" w:hAnsi="Times" w:cs="Times New Roman"/>
                            <w:b/>
                            <w:bCs/>
                            <w:sz w:val="20"/>
                            <w:szCs w:val="20"/>
                            <w:lang w:val="en-AU"/>
                          </w:rPr>
                          <w:br/>
                        </w:r>
                        <w:r w:rsidRPr="00A429FE">
                          <w:rPr>
                            <w:rFonts w:ascii="Times" w:hAnsi="Times" w:cs="Times New Roman"/>
                            <w:sz w:val="20"/>
                            <w:szCs w:val="20"/>
                            <w:lang w:val="en-AU"/>
                          </w:rPr>
                          <w:t> </w:t>
                        </w:r>
                        <w:r w:rsidRPr="00A429FE">
                          <w:rPr>
                            <w:rFonts w:ascii="Times" w:hAnsi="Times" w:cs="Times New Roman"/>
                            <w:sz w:val="20"/>
                            <w:szCs w:val="20"/>
                            <w:lang w:val="en-AU"/>
                          </w:rPr>
                          <w:br/>
                        </w:r>
                        <w:r w:rsidRPr="00A429FE">
                          <w:rPr>
                            <w:rFonts w:ascii="Times" w:hAnsi="Times" w:cs="Times New Roman"/>
                            <w:b/>
                            <w:bCs/>
                            <w:sz w:val="20"/>
                            <w:szCs w:val="20"/>
                            <w:lang w:val="en-AU"/>
                          </w:rPr>
                          <w:t xml:space="preserve">(i) The Act  </w:t>
                        </w:r>
                        <w:r w:rsidRPr="00A429FE">
                          <w:rPr>
                            <w:rFonts w:ascii="Times" w:hAnsi="Times" w:cs="Times New Roman"/>
                            <w:b/>
                            <w:bCs/>
                            <w:sz w:val="20"/>
                            <w:szCs w:val="20"/>
                            <w:lang w:val="en-AU"/>
                          </w:rPr>
                          <w:br/>
                        </w:r>
                        <w:r w:rsidRPr="00A429FE">
                          <w:rPr>
                            <w:rFonts w:ascii="Times" w:hAnsi="Times" w:cs="Times New Roman"/>
                            <w:sz w:val="20"/>
                            <w:szCs w:val="20"/>
                            <w:lang w:val="en-AU"/>
                          </w:rPr>
                          <w:t> </w:t>
                        </w:r>
                        <w:r w:rsidRPr="00A429FE">
                          <w:rPr>
                            <w:rFonts w:ascii="Times" w:hAnsi="Times" w:cs="Times New Roman"/>
                            <w:sz w:val="20"/>
                            <w:szCs w:val="20"/>
                            <w:lang w:val="en-AU"/>
                          </w:rPr>
                          <w:br/>
                          <w:t xml:space="preserve">Section 4 of the Act prohibits the recording of any "private conversation" without the consent of parties to that conversation. Sulan J found that the communications at the meetings were "private" in nature despite the fact that each party had a duty to report back to their respective principals after the meeting. The content of the meetings was of a highly confidential character and subject to confidentiality provisions in the joint venture agreement. However, the meetings were not "conversations" and therefore recording was not prohibited by section 4 of the Act. This was due to the fact that the communications at the meetings had a commercial character and purpose as well as a high degree of formality (e.g. there were formal written agendas upon which parties exchanged their positions orally or in writing and formal records of the meetings were kept). </w:t>
                        </w:r>
                        <w:r w:rsidRPr="00A429FE">
                          <w:rPr>
                            <w:rFonts w:ascii="Times" w:hAnsi="Times" w:cs="Times New Roman"/>
                            <w:sz w:val="20"/>
                            <w:szCs w:val="20"/>
                            <w:lang w:val="en-AU"/>
                          </w:rPr>
                          <w:br/>
                        </w:r>
                        <w:r w:rsidRPr="00A429FE">
                          <w:rPr>
                            <w:rFonts w:ascii="Times" w:hAnsi="Times" w:cs="Times New Roman"/>
                            <w:sz w:val="20"/>
                            <w:szCs w:val="20"/>
                            <w:lang w:val="en-AU"/>
                          </w:rPr>
                          <w:br/>
                          <w:t xml:space="preserve">Sulan J also considered in obiter whether an exception in section 7 of the Act would apply in the event that the recordings were prohibited by section 4, namely that the plaintiff was protecting its lawful interests in making recordings of the meetings. Sulan J held that section 7 would apply, given that the motions passed, or other decisions reached, at the management committee meetings would affect the substantive rights and obligations of both parties. Therefore, it was for the protection of both parties' lawful interests that accurate records of the meetings were kept. Sulan J also rejected a contention by the defendant that the plaintiff's motive was to delay the proceedings of the joint venture as there was insufficient evidence on this point. </w:t>
                        </w:r>
                        <w:r w:rsidRPr="00A429FE">
                          <w:rPr>
                            <w:rFonts w:ascii="Times" w:hAnsi="Times" w:cs="Times New Roman"/>
                            <w:sz w:val="20"/>
                            <w:szCs w:val="20"/>
                            <w:lang w:val="en-AU"/>
                          </w:rPr>
                          <w:br/>
                          <w:t> </w:t>
                        </w:r>
                        <w:r w:rsidRPr="00A429FE">
                          <w:rPr>
                            <w:rFonts w:ascii="Times" w:hAnsi="Times" w:cs="Times New Roman"/>
                            <w:sz w:val="20"/>
                            <w:szCs w:val="20"/>
                            <w:lang w:val="en-AU"/>
                          </w:rPr>
                          <w:br/>
                        </w:r>
                        <w:r w:rsidRPr="00A429FE">
                          <w:rPr>
                            <w:rFonts w:ascii="Times" w:hAnsi="Times" w:cs="Times New Roman"/>
                            <w:b/>
                            <w:bCs/>
                            <w:sz w:val="20"/>
                            <w:szCs w:val="20"/>
                            <w:lang w:val="en-AU"/>
                          </w:rPr>
                          <w:t xml:space="preserve">(ii) The rulings by the chairman </w:t>
                        </w:r>
                        <w:r w:rsidRPr="00A429FE">
                          <w:rPr>
                            <w:rFonts w:ascii="Times" w:hAnsi="Times" w:cs="Times New Roman"/>
                            <w:b/>
                            <w:bCs/>
                            <w:sz w:val="20"/>
                            <w:szCs w:val="20"/>
                            <w:lang w:val="en-AU"/>
                          </w:rPr>
                          <w:br/>
                        </w:r>
                        <w:r w:rsidRPr="00A429FE">
                          <w:rPr>
                            <w:rFonts w:ascii="Times" w:hAnsi="Times" w:cs="Times New Roman"/>
                            <w:sz w:val="20"/>
                            <w:szCs w:val="20"/>
                            <w:lang w:val="en-AU"/>
                          </w:rPr>
                          <w:t> </w:t>
                        </w:r>
                        <w:r w:rsidRPr="00A429FE">
                          <w:rPr>
                            <w:rFonts w:ascii="Times" w:hAnsi="Times" w:cs="Times New Roman"/>
                            <w:sz w:val="20"/>
                            <w:szCs w:val="20"/>
                            <w:lang w:val="en-AU"/>
                          </w:rPr>
                          <w:br/>
                          <w:t xml:space="preserve">Sulan J considered that the duty and function of a chairman is to preserve order and ensure that proceedings are conducted in an orderly and proper manner. In this instance, Sulan J held that the chairman's decision to prevent the tape recording of a meeting was procedural in nature because it did not deal with any matters of substance discussed at the meetings. </w:t>
                        </w:r>
                        <w:r w:rsidRPr="00A429FE">
                          <w:rPr>
                            <w:rFonts w:ascii="Times" w:hAnsi="Times" w:cs="Times New Roman"/>
                            <w:sz w:val="20"/>
                            <w:szCs w:val="20"/>
                            <w:lang w:val="en-AU"/>
                          </w:rPr>
                          <w:br/>
                          <w:t> </w:t>
                        </w:r>
                        <w:r w:rsidRPr="00A429FE">
                          <w:rPr>
                            <w:rFonts w:ascii="Times" w:hAnsi="Times" w:cs="Times New Roman"/>
                            <w:sz w:val="20"/>
                            <w:szCs w:val="20"/>
                            <w:lang w:val="en-AU"/>
                          </w:rPr>
                          <w:br/>
                          <w:t xml:space="preserve">As to the ruling to adjourn the meetings, Sulan J concluded that it was a valid exercise of the chairman's powers to adjourn the meetings in circumstances where he was exercising a procedural control and the plaintiff's failure to comply with the ruling and resolution prevented the continuation of business at the meetings. </w:t>
                        </w:r>
                        <w:r w:rsidRPr="00A429FE">
                          <w:rPr>
                            <w:rFonts w:ascii="Times" w:hAnsi="Times" w:cs="Times New Roman"/>
                            <w:sz w:val="20"/>
                            <w:szCs w:val="20"/>
                            <w:lang w:val="en-AU"/>
                          </w:rPr>
                          <w:br/>
                          <w:t> </w:t>
                        </w:r>
                        <w:r w:rsidRPr="00A429FE">
                          <w:rPr>
                            <w:rFonts w:ascii="Times" w:hAnsi="Times" w:cs="Times New Roman"/>
                            <w:sz w:val="20"/>
                            <w:szCs w:val="20"/>
                            <w:lang w:val="en-AU"/>
                          </w:rPr>
                          <w:br/>
                        </w:r>
                        <w:r w:rsidRPr="00A429FE">
                          <w:rPr>
                            <w:rFonts w:ascii="Times" w:hAnsi="Times" w:cs="Times New Roman"/>
                            <w:b/>
                            <w:bCs/>
                            <w:sz w:val="20"/>
                            <w:szCs w:val="20"/>
                            <w:lang w:val="en-AU"/>
                          </w:rPr>
                          <w:t xml:space="preserve">(iii) The resolution passed by the management committee </w:t>
                        </w:r>
                        <w:r w:rsidRPr="00A429FE">
                          <w:rPr>
                            <w:rFonts w:ascii="Times" w:hAnsi="Times" w:cs="Times New Roman"/>
                            <w:b/>
                            <w:bCs/>
                            <w:sz w:val="20"/>
                            <w:szCs w:val="20"/>
                            <w:lang w:val="en-AU"/>
                          </w:rPr>
                          <w:br/>
                        </w:r>
                        <w:r w:rsidRPr="00A429FE">
                          <w:rPr>
                            <w:rFonts w:ascii="Times" w:hAnsi="Times" w:cs="Times New Roman"/>
                            <w:sz w:val="20"/>
                            <w:szCs w:val="20"/>
                            <w:lang w:val="en-AU"/>
                          </w:rPr>
                          <w:t> </w:t>
                        </w:r>
                        <w:r w:rsidRPr="00A429FE">
                          <w:rPr>
                            <w:rFonts w:ascii="Times" w:hAnsi="Times" w:cs="Times New Roman"/>
                            <w:sz w:val="20"/>
                            <w:szCs w:val="20"/>
                            <w:lang w:val="en-AU"/>
                          </w:rPr>
                          <w:br/>
                          <w:t>The defendant submitted that even if the rulings by the chairman were void, the resolution passed by the management committee (in which it held the majority vote) was valid and binding on the plaintiff. Sulan J held that the management committee had an inherent power to regulate its own affairs at a properly convened meeting in the absence of express provisions to the contrary. This extends to the regulation of matters which are incidental to the manner in which the meetings are conducted, including whether or not the proceedings of a meeting can be tape recorded. Therefore, the majority ruling by the management committee to this effect was valid and binding on the plaintiff.</w:t>
                        </w:r>
                      </w:p>
                      <w:p w:rsidR="00A429FE" w:rsidRPr="00A429FE" w:rsidRDefault="00A429FE" w:rsidP="00A429F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7146" name="Picture 17146" descr="etailed Contents">
                                <a:hlinkClick xmlns:a="http://schemas.openxmlformats.org/drawingml/2006/main" r:id="rId1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46" descr="etailed Contents">
                                        <a:hlinkClick r:id="rId102"/>
                                      </pic:cNvPr>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A429FE" w:rsidRPr="00A429FE" w:rsidRDefault="00A429FE" w:rsidP="00A429FE">
                  <w:pPr>
                    <w:rPr>
                      <w:rFonts w:ascii="Times" w:eastAsia="Times New Roman" w:hAnsi="Times" w:cs="Times New Roman"/>
                      <w:sz w:val="20"/>
                      <w:szCs w:val="20"/>
                      <w:lang w:val="en-AU"/>
                    </w:rPr>
                  </w:pPr>
                </w:p>
              </w:tc>
            </w:tr>
          </w:tbl>
          <w:p w:rsidR="00A429FE" w:rsidRPr="00A429FE" w:rsidRDefault="00A429FE" w:rsidP="00A429FE">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592"/>
            </w:tblGrid>
            <w:tr w:rsidR="00A429FE" w:rsidRPr="00A429FE">
              <w:trPr>
                <w:trHeight w:val="560"/>
                <w:tblCellSpacing w:w="0" w:type="dxa"/>
              </w:trPr>
              <w:tc>
                <w:tcPr>
                  <w:tcW w:w="0" w:type="auto"/>
                  <w:shd w:val="clear" w:color="auto" w:fill="E4E5E5"/>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6622"/>
                    <w:gridCol w:w="600"/>
                    <w:gridCol w:w="370"/>
                  </w:tblGrid>
                  <w:tr w:rsidR="00A429FE" w:rsidRPr="00A429FE">
                    <w:trPr>
                      <w:tblCellSpacing w:w="0" w:type="dxa"/>
                    </w:trPr>
                    <w:tc>
                      <w:tcPr>
                        <w:tcW w:w="0" w:type="auto"/>
                        <w:vAlign w:val="center"/>
                        <w:hideMark/>
                      </w:tcPr>
                      <w:p w:rsidR="00A429FE" w:rsidRPr="00A429FE" w:rsidRDefault="00A429FE" w:rsidP="00A429FE">
                        <w:pPr>
                          <w:rPr>
                            <w:rFonts w:ascii="Times" w:eastAsia="Times New Roman" w:hAnsi="Times" w:cs="Times New Roman"/>
                            <w:sz w:val="20"/>
                            <w:szCs w:val="20"/>
                            <w:lang w:val="en-AU"/>
                          </w:rPr>
                        </w:pPr>
                        <w:bookmarkStart w:id="65" w:name="6"/>
                        <w:bookmarkEnd w:id="65"/>
                        <w:r w:rsidRPr="00A429FE">
                          <w:rPr>
                            <w:rFonts w:ascii="Times" w:eastAsia="Times New Roman" w:hAnsi="Times" w:cs="Times New Roman"/>
                            <w:b/>
                            <w:bCs/>
                            <w:sz w:val="20"/>
                            <w:szCs w:val="20"/>
                            <w:lang w:val="en-AU"/>
                          </w:rPr>
                          <w:t>6. Contributions</w:t>
                        </w:r>
                      </w:p>
                    </w:tc>
                    <w:tc>
                      <w:tcPr>
                        <w:tcW w:w="600" w:type="dxa"/>
                        <w:vAlign w:val="center"/>
                        <w:hideMark/>
                      </w:tcPr>
                      <w:p w:rsidR="00A429FE" w:rsidRPr="00A429FE" w:rsidRDefault="00A429FE" w:rsidP="00A429FE">
                        <w:pPr>
                          <w:rPr>
                            <w:rFonts w:ascii="Times" w:eastAsia="Times New Roman" w:hAnsi="Times" w:cs="Times New Roman"/>
                            <w:sz w:val="20"/>
                            <w:szCs w:val="20"/>
                            <w:lang w:val="en-AU"/>
                          </w:rPr>
                        </w:pPr>
                      </w:p>
                    </w:tc>
                    <w:tc>
                      <w:tcPr>
                        <w:tcW w:w="240" w:type="dxa"/>
                        <w:vAlign w:val="center"/>
                        <w:hideMark/>
                      </w:tcPr>
                      <w:p w:rsidR="00A429FE" w:rsidRPr="00A429FE" w:rsidRDefault="00A429FE" w:rsidP="00A429FE">
                        <w:pPr>
                          <w:rPr>
                            <w:rFonts w:ascii="Times" w:eastAsia="Times New Roman" w:hAnsi="Times" w:cs="Times New Roman"/>
                            <w:sz w:val="20"/>
                            <w:szCs w:val="20"/>
                            <w:lang w:val="en-AU"/>
                          </w:rPr>
                        </w:pPr>
                        <w:r w:rsidRPr="00A429FE">
                          <w:rPr>
                            <w:rFonts w:ascii="Times" w:eastAsia="Times New Roman" w:hAnsi="Times" w:cs="Times New Roman"/>
                            <w:sz w:val="20"/>
                            <w:szCs w:val="20"/>
                            <w:lang w:val="en-AU"/>
                          </w:rPr>
                          <w:t> </w:t>
                        </w:r>
                      </w:p>
                    </w:tc>
                  </w:tr>
                </w:tbl>
                <w:p w:rsidR="00A429FE" w:rsidRPr="00A429FE" w:rsidRDefault="00A429FE" w:rsidP="00A429FE">
                  <w:pPr>
                    <w:rPr>
                      <w:rFonts w:ascii="Times" w:eastAsia="Times New Roman" w:hAnsi="Times" w:cs="Times New Roman"/>
                      <w:sz w:val="20"/>
                      <w:szCs w:val="20"/>
                      <w:lang w:val="en-AU"/>
                    </w:rPr>
                  </w:pPr>
                </w:p>
              </w:tc>
            </w:tr>
            <w:tr w:rsidR="00A429FE" w:rsidRPr="00A429FE">
              <w:trPr>
                <w:tblCellSpacing w:w="0" w:type="dxa"/>
              </w:trPr>
              <w:tc>
                <w:tcPr>
                  <w:tcW w:w="0" w:type="auto"/>
                  <w:vAlign w:val="center"/>
                  <w:hideMark/>
                </w:tcPr>
                <w:p w:rsidR="00A429FE" w:rsidRPr="00A429FE" w:rsidRDefault="00A429FE" w:rsidP="00A429FE">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6956425" cy="17145"/>
                        <wp:effectExtent l="0" t="0" r="0" b="0"/>
                        <wp:docPr id="17147" name="Picture 17147"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47"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6425" cy="17145"/>
                                </a:xfrm>
                                <a:prstGeom prst="rect">
                                  <a:avLst/>
                                </a:prstGeom>
                                <a:noFill/>
                                <a:ln>
                                  <a:noFill/>
                                </a:ln>
                              </pic:spPr>
                            </pic:pic>
                          </a:graphicData>
                        </a:graphic>
                      </wp:inline>
                    </w:drawing>
                  </w:r>
                </w:p>
              </w:tc>
            </w:tr>
            <w:tr w:rsidR="00A429FE" w:rsidRPr="00A429FE">
              <w:trPr>
                <w:tblCellSpacing w:w="0" w:type="dxa"/>
              </w:trPr>
              <w:tc>
                <w:tcPr>
                  <w:tcW w:w="0" w:type="auto"/>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7592"/>
                  </w:tblGrid>
                  <w:tr w:rsidR="00A429FE" w:rsidRPr="00A429FE">
                    <w:trPr>
                      <w:tblCellSpacing w:w="0" w:type="dxa"/>
                    </w:trPr>
                    <w:tc>
                      <w:tcPr>
                        <w:tcW w:w="0" w:type="auto"/>
                        <w:hideMark/>
                      </w:tcPr>
                      <w:p w:rsidR="00A429FE" w:rsidRPr="00A429FE" w:rsidRDefault="00A429FE" w:rsidP="00A429FE">
                        <w:pPr>
                          <w:spacing w:before="100" w:beforeAutospacing="1" w:after="100" w:afterAutospacing="1"/>
                          <w:rPr>
                            <w:rFonts w:ascii="Times" w:hAnsi="Times" w:cs="Times New Roman"/>
                            <w:sz w:val="20"/>
                            <w:szCs w:val="20"/>
                            <w:lang w:val="en-AU"/>
                          </w:rPr>
                        </w:pPr>
                        <w:r w:rsidRPr="00A429FE">
                          <w:rPr>
                            <w:rFonts w:ascii="Times" w:hAnsi="Times" w:cs="Times New Roman"/>
                            <w:sz w:val="20"/>
                            <w:szCs w:val="20"/>
                            <w:lang w:val="en-AU"/>
                          </w:rPr>
                          <w:t>If you would like to contribute an article or news item to the Bulletin, please email it to: "</w:t>
                        </w:r>
                        <w:r w:rsidRPr="00A429FE">
                          <w:rPr>
                            <w:rFonts w:ascii="Times" w:hAnsi="Times" w:cs="Times New Roman"/>
                            <w:sz w:val="20"/>
                            <w:szCs w:val="20"/>
                            <w:lang w:val="en-AU"/>
                          </w:rPr>
                          <w:fldChar w:fldCharType="begin"/>
                        </w:r>
                        <w:r w:rsidRPr="00A429FE">
                          <w:rPr>
                            <w:rFonts w:ascii="Times" w:hAnsi="Times" w:cs="Times New Roman"/>
                            <w:sz w:val="20"/>
                            <w:szCs w:val="20"/>
                            <w:lang w:val="en-AU"/>
                          </w:rPr>
                          <w:instrText xml:space="preserve"> HYPERLINK "mailto:cclsr@law.unimelb.edu.au" \t "_new" </w:instrText>
                        </w:r>
                        <w:r w:rsidRPr="00A429FE">
                          <w:rPr>
                            <w:rFonts w:ascii="Times" w:hAnsi="Times" w:cs="Times New Roman"/>
                            <w:sz w:val="20"/>
                            <w:szCs w:val="20"/>
                            <w:lang w:val="en-AU"/>
                          </w:rPr>
                        </w:r>
                        <w:r w:rsidRPr="00A429FE">
                          <w:rPr>
                            <w:rFonts w:ascii="Times" w:hAnsi="Times" w:cs="Times New Roman"/>
                            <w:sz w:val="20"/>
                            <w:szCs w:val="20"/>
                            <w:lang w:val="en-AU"/>
                          </w:rPr>
                          <w:fldChar w:fldCharType="separate"/>
                        </w:r>
                        <w:r w:rsidRPr="00A429FE">
                          <w:rPr>
                            <w:rFonts w:ascii="Times" w:hAnsi="Times" w:cs="Times New Roman"/>
                            <w:color w:val="0000FF"/>
                            <w:sz w:val="20"/>
                            <w:szCs w:val="20"/>
                            <w:u w:val="single"/>
                            <w:lang w:val="en-AU"/>
                          </w:rPr>
                          <w:t>cclsr@law.unimelb.edu.au</w:t>
                        </w:r>
                        <w:r w:rsidRPr="00A429FE">
                          <w:rPr>
                            <w:rFonts w:ascii="Times" w:hAnsi="Times" w:cs="Times New Roman"/>
                            <w:sz w:val="20"/>
                            <w:szCs w:val="20"/>
                            <w:lang w:val="en-AU"/>
                          </w:rPr>
                          <w:fldChar w:fldCharType="end"/>
                        </w:r>
                        <w:r w:rsidRPr="00A429FE">
                          <w:rPr>
                            <w:rFonts w:ascii="Times" w:hAnsi="Times" w:cs="Times New Roman"/>
                            <w:sz w:val="20"/>
                            <w:szCs w:val="20"/>
                            <w:lang w:val="en-AU"/>
                          </w:rPr>
                          <w:t>".</w:t>
                        </w:r>
                      </w:p>
                      <w:p w:rsidR="00A429FE" w:rsidRPr="00A429FE" w:rsidRDefault="00A429FE" w:rsidP="00A429F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7148" name="Picture 17148" descr="etailed Contents">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48" descr="etailed Contents">
                                        <a:hlinkClick r:id="rId93"/>
                                      </pic:cNvPr>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A429FE" w:rsidRPr="00A429FE" w:rsidRDefault="00A429FE" w:rsidP="00A429FE">
                  <w:pPr>
                    <w:rPr>
                      <w:rFonts w:ascii="Times" w:eastAsia="Times New Roman" w:hAnsi="Times" w:cs="Times New Roman"/>
                      <w:sz w:val="20"/>
                      <w:szCs w:val="20"/>
                      <w:lang w:val="en-AU"/>
                    </w:rPr>
                  </w:pPr>
                </w:p>
              </w:tc>
            </w:tr>
          </w:tbl>
          <w:p w:rsidR="00A429FE" w:rsidRPr="00A429FE" w:rsidRDefault="00A429FE" w:rsidP="00A429FE">
            <w:pPr>
              <w:rPr>
                <w:rFonts w:ascii="Times" w:eastAsia="Times New Roman" w:hAnsi="Times" w:cs="Times New Roman"/>
                <w:sz w:val="20"/>
                <w:szCs w:val="20"/>
                <w:lang w:val="en-AU"/>
              </w:rPr>
            </w:pPr>
          </w:p>
        </w:tc>
        <w:tc>
          <w:tcPr>
            <w:tcW w:w="540" w:type="dxa"/>
            <w:hideMark/>
          </w:tcPr>
          <w:p w:rsidR="00A429FE" w:rsidRPr="00A429FE" w:rsidRDefault="00A429FE" w:rsidP="00A429FE">
            <w:pPr>
              <w:rPr>
                <w:rFonts w:ascii="Times" w:eastAsia="Times New Roman" w:hAnsi="Times" w:cs="Times New Roman"/>
                <w:sz w:val="20"/>
                <w:szCs w:val="20"/>
                <w:lang w:val="en-AU"/>
              </w:rPr>
            </w:pPr>
            <w:r>
              <w:rPr>
                <w:rFonts w:ascii="Times" w:eastAsia="Times New Roman" w:hAnsi="Times" w:cs="Times New Roman"/>
                <w:noProof/>
                <w:sz w:val="20"/>
                <w:szCs w:val="20"/>
              </w:rPr>
              <w:lastRenderedPageBreak/>
              <w:drawing>
                <wp:inline distT="0" distB="0" distL="0" distR="0">
                  <wp:extent cx="341630" cy="59690"/>
                  <wp:effectExtent l="0" t="0" r="0" b="0"/>
                  <wp:docPr id="17149" name="Picture 17149"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49"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bl>
    <w:p w:rsidR="00A429FE" w:rsidRPr="00A429FE" w:rsidRDefault="00A429FE" w:rsidP="00A429FE">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540"/>
        <w:gridCol w:w="7220"/>
        <w:gridCol w:w="540"/>
      </w:tblGrid>
      <w:tr w:rsidR="00A429FE" w:rsidRPr="00A429FE" w:rsidTr="00A429FE">
        <w:trPr>
          <w:tblCellSpacing w:w="0" w:type="dxa"/>
        </w:trPr>
        <w:tc>
          <w:tcPr>
            <w:tcW w:w="540" w:type="dxa"/>
            <w:hideMark/>
          </w:tcPr>
          <w:p w:rsidR="00A429FE" w:rsidRPr="00A429FE" w:rsidRDefault="00A429FE" w:rsidP="00A429FE">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17150" name="Picture 17150"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50"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0" w:type="auto"/>
            <w:hideMark/>
          </w:tcPr>
          <w:p w:rsidR="00A429FE" w:rsidRPr="00A429FE" w:rsidRDefault="00A429FE" w:rsidP="00A429FE">
            <w:pPr>
              <w:spacing w:after="240"/>
              <w:jc w:val="center"/>
              <w:rPr>
                <w:rFonts w:ascii="Times" w:eastAsia="Times New Roman" w:hAnsi="Times" w:cs="Times New Roman"/>
                <w:sz w:val="20"/>
                <w:szCs w:val="20"/>
                <w:lang w:val="en-AU"/>
              </w:rPr>
            </w:pPr>
            <w:r w:rsidRPr="00A429FE">
              <w:rPr>
                <w:rFonts w:ascii="Times" w:eastAsia="Times New Roman" w:hAnsi="Times" w:cs="Times New Roman"/>
                <w:sz w:val="20"/>
                <w:szCs w:val="20"/>
                <w:lang w:val="en-AU"/>
              </w:rPr>
              <w:br/>
            </w:r>
            <w:r w:rsidRPr="00A429FE">
              <w:rPr>
                <w:rFonts w:ascii="Times" w:eastAsia="Times New Roman" w:hAnsi="Times" w:cs="Times New Roman"/>
                <w:sz w:val="20"/>
                <w:szCs w:val="20"/>
                <w:lang w:val="en-AU"/>
              </w:rPr>
              <w:br/>
            </w:r>
          </w:p>
          <w:p w:rsidR="00A429FE" w:rsidRPr="00A429FE" w:rsidRDefault="00A429FE" w:rsidP="00A429FE">
            <w:pPr>
              <w:jc w:val="center"/>
              <w:rPr>
                <w:rFonts w:ascii="Times" w:eastAsia="Times New Roman" w:hAnsi="Times" w:cs="Times New Roman"/>
                <w:sz w:val="20"/>
                <w:szCs w:val="20"/>
                <w:lang w:val="en-AU"/>
              </w:rPr>
            </w:pPr>
            <w:r w:rsidRPr="00A429FE">
              <w:rPr>
                <w:rFonts w:ascii="Times" w:eastAsia="Times New Roman" w:hAnsi="Times" w:cs="Times New Roman"/>
                <w:sz w:val="20"/>
                <w:szCs w:val="20"/>
                <w:lang w:val="en-AU"/>
              </w:rPr>
              <w:pict>
                <v:rect id="_x0000_i18175" style="width:415pt;height:1pt" o:hralign="center" o:hrstd="t" o:hrnoshade="t" o:hr="t" fillcolor="#aaa" stroked="f"/>
              </w:pict>
            </w:r>
          </w:p>
          <w:tbl>
            <w:tblPr>
              <w:tblW w:w="5000" w:type="pct"/>
              <w:jc w:val="center"/>
              <w:tblCellSpacing w:w="0" w:type="dxa"/>
              <w:tblCellMar>
                <w:top w:w="160" w:type="dxa"/>
                <w:left w:w="160" w:type="dxa"/>
                <w:bottom w:w="160" w:type="dxa"/>
                <w:right w:w="160" w:type="dxa"/>
              </w:tblCellMar>
              <w:tblLook w:val="04A0" w:firstRow="1" w:lastRow="0" w:firstColumn="1" w:lastColumn="0" w:noHBand="0" w:noVBand="1"/>
            </w:tblPr>
            <w:tblGrid>
              <w:gridCol w:w="7220"/>
            </w:tblGrid>
            <w:tr w:rsidR="00A429FE" w:rsidRPr="00A429FE">
              <w:trPr>
                <w:tblCellSpacing w:w="0" w:type="dxa"/>
                <w:jc w:val="center"/>
              </w:trPr>
              <w:tc>
                <w:tcPr>
                  <w:tcW w:w="0" w:type="auto"/>
                  <w:hideMark/>
                </w:tcPr>
                <w:p w:rsidR="00A429FE" w:rsidRPr="00A429FE" w:rsidRDefault="00A429FE" w:rsidP="00A429FE">
                  <w:pPr>
                    <w:spacing w:before="100" w:beforeAutospacing="1" w:after="100" w:afterAutospacing="1"/>
                    <w:rPr>
                      <w:rFonts w:ascii="Times" w:hAnsi="Times" w:cs="Times New Roman"/>
                      <w:sz w:val="20"/>
                      <w:szCs w:val="20"/>
                      <w:lang w:val="en-AU"/>
                    </w:rPr>
                  </w:pPr>
                  <w:r w:rsidRPr="00A429FE">
                    <w:rPr>
                      <w:rFonts w:ascii="Times" w:hAnsi="Times" w:cs="Times New Roman"/>
                      <w:b/>
                      <w:bCs/>
                      <w:sz w:val="20"/>
                      <w:szCs w:val="20"/>
                      <w:lang w:val="en-AU"/>
                    </w:rPr>
                    <w:t>DISCLAIMER</w:t>
                  </w:r>
                  <w:r w:rsidRPr="00A429FE">
                    <w:rPr>
                      <w:rFonts w:ascii="Times" w:hAnsi="Times" w:cs="Times New Roman"/>
                      <w:sz w:val="20"/>
                      <w:szCs w:val="20"/>
                      <w:lang w:val="en-AU"/>
                    </w:rPr>
                    <w:br/>
                    <w:t xml:space="preserve">This email alert is not intended to be and is not a complete or definitive statement of the law on the relevant subject matter. No person should take any action or refrain from taking any action in reliance upon the contents of this alert without first obtaining advice from a qualified practitioner. SAI Global expressly disclaims liability for any loss or damage suffered howsoever caused whether due to negligence or otherwise arising from the use of this information. For further information or if you have received this notice in error or believe that the email has been forwarded to you in breach of our licence terms, please notify SAI Global immediately by telephone on 03 9278 1555 or email </w:t>
                  </w:r>
                  <w:hyperlink r:id="rId103" w:history="1">
                    <w:r w:rsidRPr="00A429FE">
                      <w:rPr>
                        <w:rFonts w:ascii="Times" w:hAnsi="Times" w:cs="Times New Roman"/>
                        <w:color w:val="0000FF"/>
                        <w:sz w:val="20"/>
                        <w:szCs w:val="20"/>
                        <w:u w:val="single"/>
                        <w:lang w:val="en-AU"/>
                      </w:rPr>
                      <w:t>helpdesk.asiapac@saiglobal.com</w:t>
                    </w:r>
                  </w:hyperlink>
                  <w:r w:rsidRPr="00A429FE">
                    <w:rPr>
                      <w:rFonts w:ascii="Times" w:hAnsi="Times" w:cs="Times New Roman"/>
                      <w:sz w:val="20"/>
                      <w:szCs w:val="20"/>
                      <w:lang w:val="en-AU"/>
                    </w:rPr>
                    <w:t>.</w:t>
                  </w:r>
                </w:p>
              </w:tc>
            </w:tr>
          </w:tbl>
          <w:p w:rsidR="00A429FE" w:rsidRPr="00A429FE" w:rsidRDefault="00A429FE" w:rsidP="00A429FE">
            <w:pPr>
              <w:jc w:val="center"/>
              <w:rPr>
                <w:rFonts w:ascii="Times" w:eastAsia="Times New Roman" w:hAnsi="Times" w:cs="Times New Roman"/>
                <w:sz w:val="20"/>
                <w:szCs w:val="20"/>
                <w:lang w:val="en-AU"/>
              </w:rPr>
            </w:pPr>
          </w:p>
        </w:tc>
        <w:tc>
          <w:tcPr>
            <w:tcW w:w="540" w:type="dxa"/>
            <w:hideMark/>
          </w:tcPr>
          <w:p w:rsidR="00A429FE" w:rsidRPr="00A429FE" w:rsidRDefault="00A429FE" w:rsidP="00A429FE">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17152" name="Picture 17152"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52"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r w:rsidR="00A429FE" w:rsidRPr="00A429FE" w:rsidTr="00A429FE">
        <w:trPr>
          <w:tblCellSpacing w:w="0" w:type="dxa"/>
        </w:trPr>
        <w:tc>
          <w:tcPr>
            <w:tcW w:w="0" w:type="auto"/>
            <w:gridSpan w:val="3"/>
            <w:vAlign w:val="center"/>
            <w:hideMark/>
          </w:tcPr>
          <w:p w:rsidR="00A429FE" w:rsidRPr="00A429FE" w:rsidRDefault="00A429FE" w:rsidP="00A429FE">
            <w:pPr>
              <w:rPr>
                <w:rFonts w:ascii="Times" w:eastAsia="Times New Roman" w:hAnsi="Times" w:cs="Times New Roman"/>
                <w:sz w:val="20"/>
                <w:szCs w:val="20"/>
                <w:lang w:val="en-AU"/>
              </w:rPr>
            </w:pPr>
            <w:r w:rsidRPr="00A429FE">
              <w:rPr>
                <w:rFonts w:ascii="Times" w:eastAsia="Times New Roman" w:hAnsi="Times" w:cs="Times New Roman"/>
                <w:sz w:val="20"/>
                <w:szCs w:val="20"/>
                <w:lang w:val="en-AU"/>
              </w:rPr>
              <w:t> </w:t>
            </w:r>
          </w:p>
        </w:tc>
      </w:tr>
      <w:tr w:rsidR="00A429FE" w:rsidRPr="00A429FE" w:rsidTr="00A429FE">
        <w:trPr>
          <w:trHeight w:val="540"/>
          <w:tblCellSpacing w:w="0" w:type="dxa"/>
        </w:trPr>
        <w:tc>
          <w:tcPr>
            <w:tcW w:w="0" w:type="auto"/>
            <w:gridSpan w:val="3"/>
            <w:vAlign w:val="center"/>
            <w:hideMark/>
          </w:tcPr>
          <w:tbl>
            <w:tblPr>
              <w:tblW w:w="5000" w:type="pct"/>
              <w:tblCellSpacing w:w="0" w:type="dxa"/>
              <w:tblCellMar>
                <w:left w:w="0" w:type="dxa"/>
                <w:right w:w="0" w:type="dxa"/>
              </w:tblCellMar>
              <w:tblLook w:val="04A0" w:firstRow="1" w:lastRow="0" w:firstColumn="1" w:lastColumn="0" w:noHBand="0" w:noVBand="1"/>
            </w:tblPr>
            <w:tblGrid>
              <w:gridCol w:w="540"/>
              <w:gridCol w:w="7220"/>
              <w:gridCol w:w="540"/>
            </w:tblGrid>
            <w:tr w:rsidR="00A429FE" w:rsidRPr="00A429FE">
              <w:trPr>
                <w:tblCellSpacing w:w="0" w:type="dxa"/>
              </w:trPr>
              <w:tc>
                <w:tcPr>
                  <w:tcW w:w="540" w:type="dxa"/>
                  <w:vAlign w:val="center"/>
                  <w:hideMark/>
                </w:tcPr>
                <w:p w:rsidR="00A429FE" w:rsidRPr="00A429FE" w:rsidRDefault="00A429FE" w:rsidP="00A429FE">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17153" name="Picture 17153"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53"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0" w:type="auto"/>
                  <w:vAlign w:val="center"/>
                  <w:hideMark/>
                </w:tcPr>
                <w:p w:rsidR="00A429FE" w:rsidRPr="00A429FE" w:rsidRDefault="00A429FE" w:rsidP="00A429FE">
                  <w:pPr>
                    <w:rPr>
                      <w:rFonts w:ascii="Times" w:eastAsia="Times New Roman" w:hAnsi="Times" w:cs="Times New Roman"/>
                      <w:sz w:val="20"/>
                      <w:szCs w:val="20"/>
                      <w:lang w:val="en-AU"/>
                    </w:rPr>
                  </w:pPr>
                  <w:r w:rsidRPr="00A429FE">
                    <w:rPr>
                      <w:rFonts w:ascii="Times" w:eastAsia="Times New Roman" w:hAnsi="Times" w:cs="Times New Roman"/>
                      <w:sz w:val="20"/>
                      <w:szCs w:val="20"/>
                      <w:lang w:val="en-AU"/>
                    </w:rPr>
                    <w:t xml:space="preserve">Copyright © 2010, Anstat Pty Ltd an SAI Global Company ABN 115 133 152. All rights reserved. </w:t>
                  </w:r>
                </w:p>
              </w:tc>
              <w:tc>
                <w:tcPr>
                  <w:tcW w:w="540" w:type="dxa"/>
                  <w:vAlign w:val="center"/>
                  <w:hideMark/>
                </w:tcPr>
                <w:p w:rsidR="00A429FE" w:rsidRPr="00A429FE" w:rsidRDefault="00A429FE" w:rsidP="00A429FE">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17154" name="Picture 17154"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54"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bl>
          <w:p w:rsidR="00A429FE" w:rsidRPr="00A429FE" w:rsidRDefault="00A429FE" w:rsidP="00A429FE">
            <w:pPr>
              <w:rPr>
                <w:rFonts w:ascii="Times" w:eastAsia="Times New Roman" w:hAnsi="Times" w:cs="Times New Roman"/>
                <w:sz w:val="20"/>
                <w:szCs w:val="20"/>
                <w:lang w:val="en-AU"/>
              </w:rPr>
            </w:pPr>
          </w:p>
        </w:tc>
      </w:tr>
    </w:tbl>
    <w:p w:rsidR="00A429FE" w:rsidRPr="00A429FE" w:rsidRDefault="00A429FE" w:rsidP="00A429FE">
      <w:pPr>
        <w:jc w:val="center"/>
        <w:rPr>
          <w:rFonts w:ascii="Times" w:eastAsia="Times New Roman" w:hAnsi="Times" w:cs="Times New Roman"/>
          <w:sz w:val="20"/>
          <w:szCs w:val="20"/>
          <w:lang w:val="en-AU"/>
        </w:rPr>
      </w:pPr>
      <w:r w:rsidRPr="00A429FE">
        <w:rPr>
          <w:rFonts w:ascii="Verdana" w:eastAsia="Times New Roman" w:hAnsi="Verdana" w:cs="Times New Roman"/>
          <w:color w:val="000000"/>
          <w:sz w:val="15"/>
          <w:szCs w:val="15"/>
          <w:lang w:val="en-AU"/>
        </w:rPr>
        <w:t>Sent to : i.ramsay@unimelb.edu.au</w:t>
      </w:r>
    </w:p>
    <w:p w:rsidR="00163FD6" w:rsidRPr="00A429FE" w:rsidRDefault="00163FD6" w:rsidP="00A429FE">
      <w:bookmarkStart w:id="66" w:name="_GoBack"/>
      <w:bookmarkEnd w:id="66"/>
    </w:p>
    <w:sectPr w:rsidR="00163FD6" w:rsidRPr="00A429FE" w:rsidSect="00BE3C3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083"/>
    <w:rsid w:val="00006876"/>
    <w:rsid w:val="000376E2"/>
    <w:rsid w:val="000963D7"/>
    <w:rsid w:val="000F6676"/>
    <w:rsid w:val="00104BE5"/>
    <w:rsid w:val="00124C71"/>
    <w:rsid w:val="00163FD6"/>
    <w:rsid w:val="001E2C35"/>
    <w:rsid w:val="00237050"/>
    <w:rsid w:val="00253CE2"/>
    <w:rsid w:val="00253D7A"/>
    <w:rsid w:val="00266406"/>
    <w:rsid w:val="002C395A"/>
    <w:rsid w:val="002C5FB7"/>
    <w:rsid w:val="003270E0"/>
    <w:rsid w:val="00396183"/>
    <w:rsid w:val="0048351B"/>
    <w:rsid w:val="004922D5"/>
    <w:rsid w:val="004A112D"/>
    <w:rsid w:val="004B62BE"/>
    <w:rsid w:val="00524E4E"/>
    <w:rsid w:val="00534D6D"/>
    <w:rsid w:val="00561285"/>
    <w:rsid w:val="00591E0D"/>
    <w:rsid w:val="00593E73"/>
    <w:rsid w:val="005B5882"/>
    <w:rsid w:val="005B77AE"/>
    <w:rsid w:val="005D5164"/>
    <w:rsid w:val="0071357D"/>
    <w:rsid w:val="0071687E"/>
    <w:rsid w:val="007B3036"/>
    <w:rsid w:val="007C2BE2"/>
    <w:rsid w:val="007E1223"/>
    <w:rsid w:val="00813465"/>
    <w:rsid w:val="00834983"/>
    <w:rsid w:val="00864736"/>
    <w:rsid w:val="008833F8"/>
    <w:rsid w:val="008A66E8"/>
    <w:rsid w:val="008C0896"/>
    <w:rsid w:val="00953F59"/>
    <w:rsid w:val="009C079E"/>
    <w:rsid w:val="00A429FE"/>
    <w:rsid w:val="00A726E6"/>
    <w:rsid w:val="00AD3D43"/>
    <w:rsid w:val="00AF05C9"/>
    <w:rsid w:val="00B138C7"/>
    <w:rsid w:val="00B550F4"/>
    <w:rsid w:val="00BD1A31"/>
    <w:rsid w:val="00BD6A71"/>
    <w:rsid w:val="00BE3C3B"/>
    <w:rsid w:val="00BE6083"/>
    <w:rsid w:val="00C005A1"/>
    <w:rsid w:val="00C313E1"/>
    <w:rsid w:val="00CC02C5"/>
    <w:rsid w:val="00CD4388"/>
    <w:rsid w:val="00D061A1"/>
    <w:rsid w:val="00D25FE9"/>
    <w:rsid w:val="00D51C4C"/>
    <w:rsid w:val="00D545A4"/>
    <w:rsid w:val="00DE6630"/>
    <w:rsid w:val="00DF0932"/>
    <w:rsid w:val="00E3089D"/>
    <w:rsid w:val="00E51A7F"/>
    <w:rsid w:val="00E54786"/>
    <w:rsid w:val="00E80ACE"/>
    <w:rsid w:val="00EC40F5"/>
    <w:rsid w:val="00EE64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912D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F0932"/>
    <w:pPr>
      <w:spacing w:before="100" w:beforeAutospacing="1" w:after="100" w:afterAutospacing="1"/>
      <w:outlineLvl w:val="0"/>
    </w:pPr>
    <w:rPr>
      <w:rFonts w:ascii="Times" w:hAnsi="Times"/>
      <w:b/>
      <w:bCs/>
      <w:kern w:val="36"/>
      <w:sz w:val="48"/>
      <w:szCs w:val="48"/>
      <w:lang w:val="en-AU"/>
    </w:rPr>
  </w:style>
  <w:style w:type="paragraph" w:styleId="Heading2">
    <w:name w:val="heading 2"/>
    <w:basedOn w:val="Normal"/>
    <w:link w:val="Heading2Char"/>
    <w:uiPriority w:val="9"/>
    <w:qFormat/>
    <w:rsid w:val="00DF0932"/>
    <w:pPr>
      <w:spacing w:before="100" w:beforeAutospacing="1" w:after="100" w:afterAutospacing="1"/>
      <w:outlineLvl w:val="1"/>
    </w:pPr>
    <w:rPr>
      <w:rFonts w:ascii="Times" w:hAnsi="Times"/>
      <w:b/>
      <w:bCs/>
      <w:sz w:val="36"/>
      <w:szCs w:val="36"/>
      <w:lang w:val="en-AU"/>
    </w:rPr>
  </w:style>
  <w:style w:type="paragraph" w:styleId="Heading3">
    <w:name w:val="heading 3"/>
    <w:basedOn w:val="Normal"/>
    <w:link w:val="Heading3Char"/>
    <w:uiPriority w:val="9"/>
    <w:qFormat/>
    <w:rsid w:val="00DF0932"/>
    <w:pPr>
      <w:spacing w:before="100" w:beforeAutospacing="1" w:after="100" w:afterAutospacing="1"/>
      <w:outlineLvl w:val="2"/>
    </w:pPr>
    <w:rPr>
      <w:rFonts w:ascii="Times" w:hAnsi="Times"/>
      <w:b/>
      <w:bCs/>
      <w:sz w:val="27"/>
      <w:szCs w:val="27"/>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udoraheader">
    <w:name w:val="eudoraheader"/>
    <w:basedOn w:val="DefaultParagraphFont"/>
    <w:rsid w:val="00BE6083"/>
  </w:style>
  <w:style w:type="paragraph" w:styleId="NormalWeb">
    <w:name w:val="Normal (Web)"/>
    <w:basedOn w:val="Normal"/>
    <w:uiPriority w:val="99"/>
    <w:unhideWhenUsed/>
    <w:rsid w:val="00BE6083"/>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BE6083"/>
    <w:rPr>
      <w:color w:val="0000FF"/>
      <w:u w:val="single"/>
    </w:rPr>
  </w:style>
  <w:style w:type="character" w:styleId="FollowedHyperlink">
    <w:name w:val="FollowedHyperlink"/>
    <w:basedOn w:val="DefaultParagraphFont"/>
    <w:uiPriority w:val="99"/>
    <w:semiHidden/>
    <w:unhideWhenUsed/>
    <w:rsid w:val="00BE6083"/>
    <w:rPr>
      <w:color w:val="800080"/>
      <w:u w:val="single"/>
    </w:rPr>
  </w:style>
  <w:style w:type="paragraph" w:styleId="BalloonText">
    <w:name w:val="Balloon Text"/>
    <w:basedOn w:val="Normal"/>
    <w:link w:val="BalloonTextChar"/>
    <w:uiPriority w:val="99"/>
    <w:semiHidden/>
    <w:unhideWhenUsed/>
    <w:rsid w:val="00E51A7F"/>
    <w:rPr>
      <w:rFonts w:ascii="Lucida Grande" w:hAnsi="Lucida Grande"/>
      <w:sz w:val="18"/>
      <w:szCs w:val="18"/>
    </w:rPr>
  </w:style>
  <w:style w:type="character" w:customStyle="1" w:styleId="BalloonTextChar">
    <w:name w:val="Balloon Text Char"/>
    <w:basedOn w:val="DefaultParagraphFont"/>
    <w:link w:val="BalloonText"/>
    <w:uiPriority w:val="99"/>
    <w:semiHidden/>
    <w:rsid w:val="00E51A7F"/>
    <w:rPr>
      <w:rFonts w:ascii="Lucida Grande" w:hAnsi="Lucida Grande"/>
      <w:sz w:val="18"/>
      <w:szCs w:val="18"/>
    </w:rPr>
  </w:style>
  <w:style w:type="character" w:customStyle="1" w:styleId="Heading1Char">
    <w:name w:val="Heading 1 Char"/>
    <w:basedOn w:val="DefaultParagraphFont"/>
    <w:link w:val="Heading1"/>
    <w:uiPriority w:val="9"/>
    <w:rsid w:val="00DF0932"/>
    <w:rPr>
      <w:rFonts w:ascii="Times" w:hAnsi="Times"/>
      <w:b/>
      <w:bCs/>
      <w:kern w:val="36"/>
      <w:sz w:val="48"/>
      <w:szCs w:val="48"/>
      <w:lang w:val="en-AU"/>
    </w:rPr>
  </w:style>
  <w:style w:type="character" w:customStyle="1" w:styleId="Heading2Char">
    <w:name w:val="Heading 2 Char"/>
    <w:basedOn w:val="DefaultParagraphFont"/>
    <w:link w:val="Heading2"/>
    <w:uiPriority w:val="9"/>
    <w:rsid w:val="00DF0932"/>
    <w:rPr>
      <w:rFonts w:ascii="Times" w:hAnsi="Times"/>
      <w:b/>
      <w:bCs/>
      <w:sz w:val="36"/>
      <w:szCs w:val="36"/>
      <w:lang w:val="en-AU"/>
    </w:rPr>
  </w:style>
  <w:style w:type="character" w:customStyle="1" w:styleId="Heading3Char">
    <w:name w:val="Heading 3 Char"/>
    <w:basedOn w:val="DefaultParagraphFont"/>
    <w:link w:val="Heading3"/>
    <w:uiPriority w:val="9"/>
    <w:rsid w:val="00DF0932"/>
    <w:rPr>
      <w:rFonts w:ascii="Times" w:hAnsi="Times"/>
      <w:b/>
      <w:bCs/>
      <w:sz w:val="27"/>
      <w:szCs w:val="27"/>
      <w:lang w:val="en-AU"/>
    </w:rPr>
  </w:style>
  <w:style w:type="paragraph" w:customStyle="1" w:styleId="default">
    <w:name w:val="default"/>
    <w:basedOn w:val="Normal"/>
    <w:rsid w:val="00DF0932"/>
    <w:pPr>
      <w:spacing w:before="100" w:beforeAutospacing="1" w:after="100" w:afterAutospacing="1"/>
    </w:pPr>
    <w:rPr>
      <w:rFonts w:ascii="Times" w:hAnsi="Times"/>
      <w:sz w:val="20"/>
      <w:szCs w:val="20"/>
      <w:lang w:val="en-AU"/>
    </w:rPr>
  </w:style>
  <w:style w:type="character" w:styleId="Emphasis">
    <w:name w:val="Emphasis"/>
    <w:basedOn w:val="DefaultParagraphFont"/>
    <w:uiPriority w:val="20"/>
    <w:qFormat/>
    <w:rsid w:val="00DF0932"/>
    <w:rPr>
      <w:i/>
      <w:iCs/>
    </w:rPr>
  </w:style>
  <w:style w:type="paragraph" w:customStyle="1" w:styleId="proxyaustraliatext">
    <w:name w:val="proxyaustraliatext"/>
    <w:basedOn w:val="Normal"/>
    <w:rsid w:val="00DF0932"/>
    <w:pPr>
      <w:spacing w:before="100" w:beforeAutospacing="1" w:after="100" w:afterAutospacing="1"/>
    </w:pPr>
    <w:rPr>
      <w:rFonts w:ascii="Times" w:hAnsi="Times"/>
      <w:sz w:val="20"/>
      <w:szCs w:val="20"/>
      <w:lang w:val="en-AU"/>
    </w:rPr>
  </w:style>
  <w:style w:type="paragraph" w:styleId="PlainText">
    <w:name w:val="Plain Text"/>
    <w:basedOn w:val="Normal"/>
    <w:link w:val="PlainText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PlainTextChar">
    <w:name w:val="Plain Text Char"/>
    <w:basedOn w:val="DefaultParagraphFont"/>
    <w:link w:val="PlainText"/>
    <w:uiPriority w:val="99"/>
    <w:semiHidden/>
    <w:rsid w:val="00DF0932"/>
    <w:rPr>
      <w:rFonts w:ascii="Times" w:hAnsi="Times"/>
      <w:sz w:val="20"/>
      <w:szCs w:val="20"/>
      <w:lang w:val="en-AU"/>
    </w:rPr>
  </w:style>
  <w:style w:type="paragraph" w:styleId="BodyText2">
    <w:name w:val="Body Text 2"/>
    <w:basedOn w:val="Normal"/>
    <w:link w:val="BodyText2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BodyText2Char">
    <w:name w:val="Body Text 2 Char"/>
    <w:basedOn w:val="DefaultParagraphFont"/>
    <w:link w:val="BodyText2"/>
    <w:uiPriority w:val="99"/>
    <w:semiHidden/>
    <w:rsid w:val="00DF0932"/>
    <w:rPr>
      <w:rFonts w:ascii="Times" w:hAnsi="Times"/>
      <w:sz w:val="20"/>
      <w:szCs w:val="20"/>
      <w:lang w:val="en-AU"/>
    </w:rPr>
  </w:style>
  <w:style w:type="paragraph" w:styleId="ListBullet">
    <w:name w:val="List Bullet"/>
    <w:basedOn w:val="Normal"/>
    <w:uiPriority w:val="99"/>
    <w:semiHidden/>
    <w:unhideWhenUsed/>
    <w:rsid w:val="00DF0932"/>
    <w:pPr>
      <w:spacing w:before="100" w:beforeAutospacing="1" w:after="100" w:afterAutospacing="1"/>
    </w:pPr>
    <w:rPr>
      <w:rFonts w:ascii="Times" w:hAnsi="Times"/>
      <w:sz w:val="20"/>
      <w:szCs w:val="20"/>
      <w:lang w:val="en-AU"/>
    </w:rPr>
  </w:style>
  <w:style w:type="paragraph" w:customStyle="1" w:styleId="indentparalevel1">
    <w:name w:val="indentparalevel1"/>
    <w:basedOn w:val="Normal"/>
    <w:rsid w:val="00DF0932"/>
    <w:pPr>
      <w:spacing w:before="100" w:beforeAutospacing="1" w:after="100" w:afterAutospacing="1"/>
    </w:pPr>
    <w:rPr>
      <w:rFonts w:ascii="Times" w:hAnsi="Times"/>
      <w:sz w:val="20"/>
      <w:szCs w:val="20"/>
      <w:lang w:val="en-AU"/>
    </w:rPr>
  </w:style>
  <w:style w:type="paragraph" w:styleId="BodyText">
    <w:name w:val="Body Text"/>
    <w:basedOn w:val="Normal"/>
    <w:link w:val="BodyText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BodyTextChar">
    <w:name w:val="Body Text Char"/>
    <w:basedOn w:val="DefaultParagraphFont"/>
    <w:link w:val="BodyText"/>
    <w:uiPriority w:val="99"/>
    <w:semiHidden/>
    <w:rsid w:val="00DF0932"/>
    <w:rPr>
      <w:rFonts w:ascii="Times" w:hAnsi="Times"/>
      <w:sz w:val="20"/>
      <w:szCs w:val="20"/>
      <w:lang w:val="en-AU"/>
    </w:rPr>
  </w:style>
  <w:style w:type="character" w:styleId="Strong">
    <w:name w:val="Strong"/>
    <w:basedOn w:val="DefaultParagraphFont"/>
    <w:uiPriority w:val="22"/>
    <w:qFormat/>
    <w:rsid w:val="0048351B"/>
    <w:rPr>
      <w:b/>
      <w:bCs/>
    </w:rPr>
  </w:style>
  <w:style w:type="character" w:customStyle="1" w:styleId="style7">
    <w:name w:val="style7"/>
    <w:basedOn w:val="DefaultParagraphFont"/>
    <w:rsid w:val="0048351B"/>
  </w:style>
  <w:style w:type="character" w:customStyle="1" w:styleId="style2">
    <w:name w:val="style2"/>
    <w:basedOn w:val="DefaultParagraphFont"/>
    <w:rsid w:val="0048351B"/>
  </w:style>
  <w:style w:type="character" w:customStyle="1" w:styleId="style1">
    <w:name w:val="style1"/>
    <w:basedOn w:val="DefaultParagraphFont"/>
    <w:rsid w:val="0048351B"/>
  </w:style>
  <w:style w:type="character" w:customStyle="1" w:styleId="style13">
    <w:name w:val="style13"/>
    <w:basedOn w:val="DefaultParagraphFont"/>
    <w:rsid w:val="0048351B"/>
  </w:style>
  <w:style w:type="character" w:customStyle="1" w:styleId="style3">
    <w:name w:val="style3"/>
    <w:basedOn w:val="DefaultParagraphFont"/>
    <w:rsid w:val="0048351B"/>
  </w:style>
  <w:style w:type="character" w:customStyle="1" w:styleId="style5">
    <w:name w:val="style5"/>
    <w:basedOn w:val="DefaultParagraphFont"/>
    <w:rsid w:val="0048351B"/>
  </w:style>
  <w:style w:type="character" w:customStyle="1" w:styleId="style4">
    <w:name w:val="style4"/>
    <w:basedOn w:val="DefaultParagraphFont"/>
    <w:rsid w:val="0048351B"/>
  </w:style>
  <w:style w:type="paragraph" w:customStyle="1" w:styleId="style12">
    <w:name w:val="style12"/>
    <w:basedOn w:val="Normal"/>
    <w:rsid w:val="0048351B"/>
    <w:pPr>
      <w:spacing w:before="100" w:beforeAutospacing="1" w:after="100" w:afterAutospacing="1"/>
    </w:pPr>
    <w:rPr>
      <w:rFonts w:ascii="Times" w:hAnsi="Times"/>
      <w:sz w:val="20"/>
      <w:szCs w:val="20"/>
      <w:lang w:val="en-AU"/>
    </w:rPr>
  </w:style>
  <w:style w:type="character" w:customStyle="1" w:styleId="style11">
    <w:name w:val="style11"/>
    <w:basedOn w:val="DefaultParagraphFont"/>
    <w:rsid w:val="0048351B"/>
  </w:style>
  <w:style w:type="paragraph" w:customStyle="1" w:styleId="style6">
    <w:name w:val="style6"/>
    <w:basedOn w:val="Normal"/>
    <w:rsid w:val="00C005A1"/>
    <w:pPr>
      <w:spacing w:before="100" w:beforeAutospacing="1" w:after="100" w:afterAutospacing="1"/>
    </w:pPr>
    <w:rPr>
      <w:rFonts w:ascii="Times" w:hAnsi="Times"/>
      <w:sz w:val="20"/>
      <w:szCs w:val="20"/>
      <w:lang w:val="en-AU"/>
    </w:rPr>
  </w:style>
  <w:style w:type="character" w:customStyle="1" w:styleId="style111">
    <w:name w:val="style111"/>
    <w:basedOn w:val="DefaultParagraphFont"/>
    <w:rsid w:val="00953F5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F0932"/>
    <w:pPr>
      <w:spacing w:before="100" w:beforeAutospacing="1" w:after="100" w:afterAutospacing="1"/>
      <w:outlineLvl w:val="0"/>
    </w:pPr>
    <w:rPr>
      <w:rFonts w:ascii="Times" w:hAnsi="Times"/>
      <w:b/>
      <w:bCs/>
      <w:kern w:val="36"/>
      <w:sz w:val="48"/>
      <w:szCs w:val="48"/>
      <w:lang w:val="en-AU"/>
    </w:rPr>
  </w:style>
  <w:style w:type="paragraph" w:styleId="Heading2">
    <w:name w:val="heading 2"/>
    <w:basedOn w:val="Normal"/>
    <w:link w:val="Heading2Char"/>
    <w:uiPriority w:val="9"/>
    <w:qFormat/>
    <w:rsid w:val="00DF0932"/>
    <w:pPr>
      <w:spacing w:before="100" w:beforeAutospacing="1" w:after="100" w:afterAutospacing="1"/>
      <w:outlineLvl w:val="1"/>
    </w:pPr>
    <w:rPr>
      <w:rFonts w:ascii="Times" w:hAnsi="Times"/>
      <w:b/>
      <w:bCs/>
      <w:sz w:val="36"/>
      <w:szCs w:val="36"/>
      <w:lang w:val="en-AU"/>
    </w:rPr>
  </w:style>
  <w:style w:type="paragraph" w:styleId="Heading3">
    <w:name w:val="heading 3"/>
    <w:basedOn w:val="Normal"/>
    <w:link w:val="Heading3Char"/>
    <w:uiPriority w:val="9"/>
    <w:qFormat/>
    <w:rsid w:val="00DF0932"/>
    <w:pPr>
      <w:spacing w:before="100" w:beforeAutospacing="1" w:after="100" w:afterAutospacing="1"/>
      <w:outlineLvl w:val="2"/>
    </w:pPr>
    <w:rPr>
      <w:rFonts w:ascii="Times" w:hAnsi="Times"/>
      <w:b/>
      <w:bCs/>
      <w:sz w:val="27"/>
      <w:szCs w:val="27"/>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udoraheader">
    <w:name w:val="eudoraheader"/>
    <w:basedOn w:val="DefaultParagraphFont"/>
    <w:rsid w:val="00BE6083"/>
  </w:style>
  <w:style w:type="paragraph" w:styleId="NormalWeb">
    <w:name w:val="Normal (Web)"/>
    <w:basedOn w:val="Normal"/>
    <w:uiPriority w:val="99"/>
    <w:unhideWhenUsed/>
    <w:rsid w:val="00BE6083"/>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BE6083"/>
    <w:rPr>
      <w:color w:val="0000FF"/>
      <w:u w:val="single"/>
    </w:rPr>
  </w:style>
  <w:style w:type="character" w:styleId="FollowedHyperlink">
    <w:name w:val="FollowedHyperlink"/>
    <w:basedOn w:val="DefaultParagraphFont"/>
    <w:uiPriority w:val="99"/>
    <w:semiHidden/>
    <w:unhideWhenUsed/>
    <w:rsid w:val="00BE6083"/>
    <w:rPr>
      <w:color w:val="800080"/>
      <w:u w:val="single"/>
    </w:rPr>
  </w:style>
  <w:style w:type="paragraph" w:styleId="BalloonText">
    <w:name w:val="Balloon Text"/>
    <w:basedOn w:val="Normal"/>
    <w:link w:val="BalloonTextChar"/>
    <w:uiPriority w:val="99"/>
    <w:semiHidden/>
    <w:unhideWhenUsed/>
    <w:rsid w:val="00E51A7F"/>
    <w:rPr>
      <w:rFonts w:ascii="Lucida Grande" w:hAnsi="Lucida Grande"/>
      <w:sz w:val="18"/>
      <w:szCs w:val="18"/>
    </w:rPr>
  </w:style>
  <w:style w:type="character" w:customStyle="1" w:styleId="BalloonTextChar">
    <w:name w:val="Balloon Text Char"/>
    <w:basedOn w:val="DefaultParagraphFont"/>
    <w:link w:val="BalloonText"/>
    <w:uiPriority w:val="99"/>
    <w:semiHidden/>
    <w:rsid w:val="00E51A7F"/>
    <w:rPr>
      <w:rFonts w:ascii="Lucida Grande" w:hAnsi="Lucida Grande"/>
      <w:sz w:val="18"/>
      <w:szCs w:val="18"/>
    </w:rPr>
  </w:style>
  <w:style w:type="character" w:customStyle="1" w:styleId="Heading1Char">
    <w:name w:val="Heading 1 Char"/>
    <w:basedOn w:val="DefaultParagraphFont"/>
    <w:link w:val="Heading1"/>
    <w:uiPriority w:val="9"/>
    <w:rsid w:val="00DF0932"/>
    <w:rPr>
      <w:rFonts w:ascii="Times" w:hAnsi="Times"/>
      <w:b/>
      <w:bCs/>
      <w:kern w:val="36"/>
      <w:sz w:val="48"/>
      <w:szCs w:val="48"/>
      <w:lang w:val="en-AU"/>
    </w:rPr>
  </w:style>
  <w:style w:type="character" w:customStyle="1" w:styleId="Heading2Char">
    <w:name w:val="Heading 2 Char"/>
    <w:basedOn w:val="DefaultParagraphFont"/>
    <w:link w:val="Heading2"/>
    <w:uiPriority w:val="9"/>
    <w:rsid w:val="00DF0932"/>
    <w:rPr>
      <w:rFonts w:ascii="Times" w:hAnsi="Times"/>
      <w:b/>
      <w:bCs/>
      <w:sz w:val="36"/>
      <w:szCs w:val="36"/>
      <w:lang w:val="en-AU"/>
    </w:rPr>
  </w:style>
  <w:style w:type="character" w:customStyle="1" w:styleId="Heading3Char">
    <w:name w:val="Heading 3 Char"/>
    <w:basedOn w:val="DefaultParagraphFont"/>
    <w:link w:val="Heading3"/>
    <w:uiPriority w:val="9"/>
    <w:rsid w:val="00DF0932"/>
    <w:rPr>
      <w:rFonts w:ascii="Times" w:hAnsi="Times"/>
      <w:b/>
      <w:bCs/>
      <w:sz w:val="27"/>
      <w:szCs w:val="27"/>
      <w:lang w:val="en-AU"/>
    </w:rPr>
  </w:style>
  <w:style w:type="paragraph" w:customStyle="1" w:styleId="default">
    <w:name w:val="default"/>
    <w:basedOn w:val="Normal"/>
    <w:rsid w:val="00DF0932"/>
    <w:pPr>
      <w:spacing w:before="100" w:beforeAutospacing="1" w:after="100" w:afterAutospacing="1"/>
    </w:pPr>
    <w:rPr>
      <w:rFonts w:ascii="Times" w:hAnsi="Times"/>
      <w:sz w:val="20"/>
      <w:szCs w:val="20"/>
      <w:lang w:val="en-AU"/>
    </w:rPr>
  </w:style>
  <w:style w:type="character" w:styleId="Emphasis">
    <w:name w:val="Emphasis"/>
    <w:basedOn w:val="DefaultParagraphFont"/>
    <w:uiPriority w:val="20"/>
    <w:qFormat/>
    <w:rsid w:val="00DF0932"/>
    <w:rPr>
      <w:i/>
      <w:iCs/>
    </w:rPr>
  </w:style>
  <w:style w:type="paragraph" w:customStyle="1" w:styleId="proxyaustraliatext">
    <w:name w:val="proxyaustraliatext"/>
    <w:basedOn w:val="Normal"/>
    <w:rsid w:val="00DF0932"/>
    <w:pPr>
      <w:spacing w:before="100" w:beforeAutospacing="1" w:after="100" w:afterAutospacing="1"/>
    </w:pPr>
    <w:rPr>
      <w:rFonts w:ascii="Times" w:hAnsi="Times"/>
      <w:sz w:val="20"/>
      <w:szCs w:val="20"/>
      <w:lang w:val="en-AU"/>
    </w:rPr>
  </w:style>
  <w:style w:type="paragraph" w:styleId="PlainText">
    <w:name w:val="Plain Text"/>
    <w:basedOn w:val="Normal"/>
    <w:link w:val="PlainText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PlainTextChar">
    <w:name w:val="Plain Text Char"/>
    <w:basedOn w:val="DefaultParagraphFont"/>
    <w:link w:val="PlainText"/>
    <w:uiPriority w:val="99"/>
    <w:semiHidden/>
    <w:rsid w:val="00DF0932"/>
    <w:rPr>
      <w:rFonts w:ascii="Times" w:hAnsi="Times"/>
      <w:sz w:val="20"/>
      <w:szCs w:val="20"/>
      <w:lang w:val="en-AU"/>
    </w:rPr>
  </w:style>
  <w:style w:type="paragraph" w:styleId="BodyText2">
    <w:name w:val="Body Text 2"/>
    <w:basedOn w:val="Normal"/>
    <w:link w:val="BodyText2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BodyText2Char">
    <w:name w:val="Body Text 2 Char"/>
    <w:basedOn w:val="DefaultParagraphFont"/>
    <w:link w:val="BodyText2"/>
    <w:uiPriority w:val="99"/>
    <w:semiHidden/>
    <w:rsid w:val="00DF0932"/>
    <w:rPr>
      <w:rFonts w:ascii="Times" w:hAnsi="Times"/>
      <w:sz w:val="20"/>
      <w:szCs w:val="20"/>
      <w:lang w:val="en-AU"/>
    </w:rPr>
  </w:style>
  <w:style w:type="paragraph" w:styleId="ListBullet">
    <w:name w:val="List Bullet"/>
    <w:basedOn w:val="Normal"/>
    <w:uiPriority w:val="99"/>
    <w:semiHidden/>
    <w:unhideWhenUsed/>
    <w:rsid w:val="00DF0932"/>
    <w:pPr>
      <w:spacing w:before="100" w:beforeAutospacing="1" w:after="100" w:afterAutospacing="1"/>
    </w:pPr>
    <w:rPr>
      <w:rFonts w:ascii="Times" w:hAnsi="Times"/>
      <w:sz w:val="20"/>
      <w:szCs w:val="20"/>
      <w:lang w:val="en-AU"/>
    </w:rPr>
  </w:style>
  <w:style w:type="paragraph" w:customStyle="1" w:styleId="indentparalevel1">
    <w:name w:val="indentparalevel1"/>
    <w:basedOn w:val="Normal"/>
    <w:rsid w:val="00DF0932"/>
    <w:pPr>
      <w:spacing w:before="100" w:beforeAutospacing="1" w:after="100" w:afterAutospacing="1"/>
    </w:pPr>
    <w:rPr>
      <w:rFonts w:ascii="Times" w:hAnsi="Times"/>
      <w:sz w:val="20"/>
      <w:szCs w:val="20"/>
      <w:lang w:val="en-AU"/>
    </w:rPr>
  </w:style>
  <w:style w:type="paragraph" w:styleId="BodyText">
    <w:name w:val="Body Text"/>
    <w:basedOn w:val="Normal"/>
    <w:link w:val="BodyText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BodyTextChar">
    <w:name w:val="Body Text Char"/>
    <w:basedOn w:val="DefaultParagraphFont"/>
    <w:link w:val="BodyText"/>
    <w:uiPriority w:val="99"/>
    <w:semiHidden/>
    <w:rsid w:val="00DF0932"/>
    <w:rPr>
      <w:rFonts w:ascii="Times" w:hAnsi="Times"/>
      <w:sz w:val="20"/>
      <w:szCs w:val="20"/>
      <w:lang w:val="en-AU"/>
    </w:rPr>
  </w:style>
  <w:style w:type="character" w:styleId="Strong">
    <w:name w:val="Strong"/>
    <w:basedOn w:val="DefaultParagraphFont"/>
    <w:uiPriority w:val="22"/>
    <w:qFormat/>
    <w:rsid w:val="0048351B"/>
    <w:rPr>
      <w:b/>
      <w:bCs/>
    </w:rPr>
  </w:style>
  <w:style w:type="character" w:customStyle="1" w:styleId="style7">
    <w:name w:val="style7"/>
    <w:basedOn w:val="DefaultParagraphFont"/>
    <w:rsid w:val="0048351B"/>
  </w:style>
  <w:style w:type="character" w:customStyle="1" w:styleId="style2">
    <w:name w:val="style2"/>
    <w:basedOn w:val="DefaultParagraphFont"/>
    <w:rsid w:val="0048351B"/>
  </w:style>
  <w:style w:type="character" w:customStyle="1" w:styleId="style1">
    <w:name w:val="style1"/>
    <w:basedOn w:val="DefaultParagraphFont"/>
    <w:rsid w:val="0048351B"/>
  </w:style>
  <w:style w:type="character" w:customStyle="1" w:styleId="style13">
    <w:name w:val="style13"/>
    <w:basedOn w:val="DefaultParagraphFont"/>
    <w:rsid w:val="0048351B"/>
  </w:style>
  <w:style w:type="character" w:customStyle="1" w:styleId="style3">
    <w:name w:val="style3"/>
    <w:basedOn w:val="DefaultParagraphFont"/>
    <w:rsid w:val="0048351B"/>
  </w:style>
  <w:style w:type="character" w:customStyle="1" w:styleId="style5">
    <w:name w:val="style5"/>
    <w:basedOn w:val="DefaultParagraphFont"/>
    <w:rsid w:val="0048351B"/>
  </w:style>
  <w:style w:type="character" w:customStyle="1" w:styleId="style4">
    <w:name w:val="style4"/>
    <w:basedOn w:val="DefaultParagraphFont"/>
    <w:rsid w:val="0048351B"/>
  </w:style>
  <w:style w:type="paragraph" w:customStyle="1" w:styleId="style12">
    <w:name w:val="style12"/>
    <w:basedOn w:val="Normal"/>
    <w:rsid w:val="0048351B"/>
    <w:pPr>
      <w:spacing w:before="100" w:beforeAutospacing="1" w:after="100" w:afterAutospacing="1"/>
    </w:pPr>
    <w:rPr>
      <w:rFonts w:ascii="Times" w:hAnsi="Times"/>
      <w:sz w:val="20"/>
      <w:szCs w:val="20"/>
      <w:lang w:val="en-AU"/>
    </w:rPr>
  </w:style>
  <w:style w:type="character" w:customStyle="1" w:styleId="style11">
    <w:name w:val="style11"/>
    <w:basedOn w:val="DefaultParagraphFont"/>
    <w:rsid w:val="0048351B"/>
  </w:style>
  <w:style w:type="paragraph" w:customStyle="1" w:styleId="style6">
    <w:name w:val="style6"/>
    <w:basedOn w:val="Normal"/>
    <w:rsid w:val="00C005A1"/>
    <w:pPr>
      <w:spacing w:before="100" w:beforeAutospacing="1" w:after="100" w:afterAutospacing="1"/>
    </w:pPr>
    <w:rPr>
      <w:rFonts w:ascii="Times" w:hAnsi="Times"/>
      <w:sz w:val="20"/>
      <w:szCs w:val="20"/>
      <w:lang w:val="en-AU"/>
    </w:rPr>
  </w:style>
  <w:style w:type="character" w:customStyle="1" w:styleId="style111">
    <w:name w:val="style111"/>
    <w:basedOn w:val="DefaultParagraphFont"/>
    <w:rsid w:val="00953F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50367">
      <w:bodyDiv w:val="1"/>
      <w:marLeft w:val="0"/>
      <w:marRight w:val="0"/>
      <w:marTop w:val="0"/>
      <w:marBottom w:val="0"/>
      <w:divBdr>
        <w:top w:val="none" w:sz="0" w:space="0" w:color="auto"/>
        <w:left w:val="none" w:sz="0" w:space="0" w:color="auto"/>
        <w:bottom w:val="none" w:sz="0" w:space="0" w:color="auto"/>
        <w:right w:val="none" w:sz="0" w:space="0" w:color="auto"/>
      </w:divBdr>
      <w:divsChild>
        <w:div w:id="1855025587">
          <w:marLeft w:val="0"/>
          <w:marRight w:val="0"/>
          <w:marTop w:val="0"/>
          <w:marBottom w:val="0"/>
          <w:divBdr>
            <w:top w:val="none" w:sz="0" w:space="0" w:color="auto"/>
            <w:left w:val="none" w:sz="0" w:space="0" w:color="auto"/>
            <w:bottom w:val="none" w:sz="0" w:space="0" w:color="auto"/>
            <w:right w:val="none" w:sz="0" w:space="0" w:color="auto"/>
          </w:divBdr>
          <w:divsChild>
            <w:div w:id="199516422">
              <w:blockQuote w:val="1"/>
              <w:marLeft w:val="720"/>
              <w:marRight w:val="720"/>
              <w:marTop w:val="100"/>
              <w:marBottom w:val="100"/>
              <w:divBdr>
                <w:top w:val="none" w:sz="0" w:space="0" w:color="auto"/>
                <w:left w:val="none" w:sz="0" w:space="0" w:color="auto"/>
                <w:bottom w:val="none" w:sz="0" w:space="0" w:color="auto"/>
                <w:right w:val="none" w:sz="0" w:space="0" w:color="auto"/>
              </w:divBdr>
            </w:div>
            <w:div w:id="939681035">
              <w:blockQuote w:val="1"/>
              <w:marLeft w:val="720"/>
              <w:marRight w:val="720"/>
              <w:marTop w:val="100"/>
              <w:marBottom w:val="100"/>
              <w:divBdr>
                <w:top w:val="none" w:sz="0" w:space="0" w:color="auto"/>
                <w:left w:val="none" w:sz="0" w:space="0" w:color="auto"/>
                <w:bottom w:val="none" w:sz="0" w:space="0" w:color="auto"/>
                <w:right w:val="none" w:sz="0" w:space="0" w:color="auto"/>
              </w:divBdr>
            </w:div>
            <w:div w:id="53432118">
              <w:blockQuote w:val="1"/>
              <w:marLeft w:val="720"/>
              <w:marRight w:val="720"/>
              <w:marTop w:val="100"/>
              <w:marBottom w:val="100"/>
              <w:divBdr>
                <w:top w:val="none" w:sz="0" w:space="0" w:color="auto"/>
                <w:left w:val="none" w:sz="0" w:space="0" w:color="auto"/>
                <w:bottom w:val="none" w:sz="0" w:space="0" w:color="auto"/>
                <w:right w:val="none" w:sz="0" w:space="0" w:color="auto"/>
              </w:divBdr>
            </w:div>
            <w:div w:id="2096706599">
              <w:blockQuote w:val="1"/>
              <w:marLeft w:val="720"/>
              <w:marRight w:val="720"/>
              <w:marTop w:val="100"/>
              <w:marBottom w:val="100"/>
              <w:divBdr>
                <w:top w:val="none" w:sz="0" w:space="0" w:color="auto"/>
                <w:left w:val="none" w:sz="0" w:space="0" w:color="auto"/>
                <w:bottom w:val="none" w:sz="0" w:space="0" w:color="auto"/>
                <w:right w:val="none" w:sz="0" w:space="0" w:color="auto"/>
              </w:divBdr>
            </w:div>
            <w:div w:id="1583099769">
              <w:blockQuote w:val="1"/>
              <w:marLeft w:val="720"/>
              <w:marRight w:val="720"/>
              <w:marTop w:val="100"/>
              <w:marBottom w:val="100"/>
              <w:divBdr>
                <w:top w:val="none" w:sz="0" w:space="0" w:color="auto"/>
                <w:left w:val="none" w:sz="0" w:space="0" w:color="auto"/>
                <w:bottom w:val="none" w:sz="0" w:space="0" w:color="auto"/>
                <w:right w:val="none" w:sz="0" w:space="0" w:color="auto"/>
              </w:divBdr>
            </w:div>
            <w:div w:id="897402705">
              <w:blockQuote w:val="1"/>
              <w:marLeft w:val="720"/>
              <w:marRight w:val="720"/>
              <w:marTop w:val="100"/>
              <w:marBottom w:val="100"/>
              <w:divBdr>
                <w:top w:val="none" w:sz="0" w:space="0" w:color="auto"/>
                <w:left w:val="none" w:sz="0" w:space="0" w:color="auto"/>
                <w:bottom w:val="none" w:sz="0" w:space="0" w:color="auto"/>
                <w:right w:val="none" w:sz="0" w:space="0" w:color="auto"/>
              </w:divBdr>
            </w:div>
            <w:div w:id="839005620">
              <w:blockQuote w:val="1"/>
              <w:marLeft w:val="720"/>
              <w:marRight w:val="720"/>
              <w:marTop w:val="100"/>
              <w:marBottom w:val="100"/>
              <w:divBdr>
                <w:top w:val="none" w:sz="0" w:space="0" w:color="auto"/>
                <w:left w:val="none" w:sz="0" w:space="0" w:color="auto"/>
                <w:bottom w:val="none" w:sz="0" w:space="0" w:color="auto"/>
                <w:right w:val="none" w:sz="0" w:space="0" w:color="auto"/>
              </w:divBdr>
            </w:div>
            <w:div w:id="932863768">
              <w:blockQuote w:val="1"/>
              <w:marLeft w:val="720"/>
              <w:marRight w:val="720"/>
              <w:marTop w:val="100"/>
              <w:marBottom w:val="100"/>
              <w:divBdr>
                <w:top w:val="none" w:sz="0" w:space="0" w:color="auto"/>
                <w:left w:val="none" w:sz="0" w:space="0" w:color="auto"/>
                <w:bottom w:val="none" w:sz="0" w:space="0" w:color="auto"/>
                <w:right w:val="none" w:sz="0" w:space="0" w:color="auto"/>
              </w:divBdr>
            </w:div>
            <w:div w:id="9167875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4324945">
      <w:bodyDiv w:val="1"/>
      <w:marLeft w:val="0"/>
      <w:marRight w:val="0"/>
      <w:marTop w:val="0"/>
      <w:marBottom w:val="0"/>
      <w:divBdr>
        <w:top w:val="none" w:sz="0" w:space="0" w:color="auto"/>
        <w:left w:val="none" w:sz="0" w:space="0" w:color="auto"/>
        <w:bottom w:val="none" w:sz="0" w:space="0" w:color="auto"/>
        <w:right w:val="none" w:sz="0" w:space="0" w:color="auto"/>
      </w:divBdr>
      <w:divsChild>
        <w:div w:id="2016104676">
          <w:blockQuote w:val="1"/>
          <w:marLeft w:val="720"/>
          <w:marRight w:val="720"/>
          <w:marTop w:val="100"/>
          <w:marBottom w:val="100"/>
          <w:divBdr>
            <w:top w:val="none" w:sz="0" w:space="0" w:color="auto"/>
            <w:left w:val="none" w:sz="0" w:space="0" w:color="auto"/>
            <w:bottom w:val="none" w:sz="0" w:space="0" w:color="auto"/>
            <w:right w:val="none" w:sz="0" w:space="0" w:color="auto"/>
          </w:divBdr>
        </w:div>
        <w:div w:id="1625884236">
          <w:blockQuote w:val="1"/>
          <w:marLeft w:val="720"/>
          <w:marRight w:val="720"/>
          <w:marTop w:val="100"/>
          <w:marBottom w:val="100"/>
          <w:divBdr>
            <w:top w:val="none" w:sz="0" w:space="0" w:color="auto"/>
            <w:left w:val="none" w:sz="0" w:space="0" w:color="auto"/>
            <w:bottom w:val="none" w:sz="0" w:space="0" w:color="auto"/>
            <w:right w:val="none" w:sz="0" w:space="0" w:color="auto"/>
          </w:divBdr>
        </w:div>
        <w:div w:id="385878876">
          <w:blockQuote w:val="1"/>
          <w:marLeft w:val="720"/>
          <w:marRight w:val="720"/>
          <w:marTop w:val="100"/>
          <w:marBottom w:val="100"/>
          <w:divBdr>
            <w:top w:val="none" w:sz="0" w:space="0" w:color="auto"/>
            <w:left w:val="none" w:sz="0" w:space="0" w:color="auto"/>
            <w:bottom w:val="none" w:sz="0" w:space="0" w:color="auto"/>
            <w:right w:val="none" w:sz="0" w:space="0" w:color="auto"/>
          </w:divBdr>
        </w:div>
        <w:div w:id="1378119443">
          <w:blockQuote w:val="1"/>
          <w:marLeft w:val="720"/>
          <w:marRight w:val="720"/>
          <w:marTop w:val="100"/>
          <w:marBottom w:val="100"/>
          <w:divBdr>
            <w:top w:val="none" w:sz="0" w:space="0" w:color="auto"/>
            <w:left w:val="none" w:sz="0" w:space="0" w:color="auto"/>
            <w:bottom w:val="none" w:sz="0" w:space="0" w:color="auto"/>
            <w:right w:val="none" w:sz="0" w:space="0" w:color="auto"/>
          </w:divBdr>
        </w:div>
        <w:div w:id="13138327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444158">
      <w:bodyDiv w:val="1"/>
      <w:marLeft w:val="0"/>
      <w:marRight w:val="0"/>
      <w:marTop w:val="0"/>
      <w:marBottom w:val="0"/>
      <w:divBdr>
        <w:top w:val="none" w:sz="0" w:space="0" w:color="auto"/>
        <w:left w:val="none" w:sz="0" w:space="0" w:color="auto"/>
        <w:bottom w:val="none" w:sz="0" w:space="0" w:color="auto"/>
        <w:right w:val="none" w:sz="0" w:space="0" w:color="auto"/>
      </w:divBdr>
      <w:divsChild>
        <w:div w:id="394403018">
          <w:marLeft w:val="0"/>
          <w:marRight w:val="0"/>
          <w:marTop w:val="0"/>
          <w:marBottom w:val="0"/>
          <w:divBdr>
            <w:top w:val="none" w:sz="0" w:space="0" w:color="auto"/>
            <w:left w:val="none" w:sz="0" w:space="0" w:color="auto"/>
            <w:bottom w:val="none" w:sz="0" w:space="0" w:color="auto"/>
            <w:right w:val="none" w:sz="0" w:space="0" w:color="auto"/>
          </w:divBdr>
          <w:divsChild>
            <w:div w:id="17587747">
              <w:blockQuote w:val="1"/>
              <w:marLeft w:val="720"/>
              <w:marRight w:val="720"/>
              <w:marTop w:val="100"/>
              <w:marBottom w:val="100"/>
              <w:divBdr>
                <w:top w:val="none" w:sz="0" w:space="0" w:color="auto"/>
                <w:left w:val="none" w:sz="0" w:space="0" w:color="auto"/>
                <w:bottom w:val="none" w:sz="0" w:space="0" w:color="auto"/>
                <w:right w:val="none" w:sz="0" w:space="0" w:color="auto"/>
              </w:divBdr>
            </w:div>
            <w:div w:id="268587945">
              <w:blockQuote w:val="1"/>
              <w:marLeft w:val="720"/>
              <w:marRight w:val="720"/>
              <w:marTop w:val="100"/>
              <w:marBottom w:val="100"/>
              <w:divBdr>
                <w:top w:val="none" w:sz="0" w:space="0" w:color="auto"/>
                <w:left w:val="none" w:sz="0" w:space="0" w:color="auto"/>
                <w:bottom w:val="none" w:sz="0" w:space="0" w:color="auto"/>
                <w:right w:val="none" w:sz="0" w:space="0" w:color="auto"/>
              </w:divBdr>
            </w:div>
            <w:div w:id="739182842">
              <w:blockQuote w:val="1"/>
              <w:marLeft w:val="720"/>
              <w:marRight w:val="720"/>
              <w:marTop w:val="100"/>
              <w:marBottom w:val="100"/>
              <w:divBdr>
                <w:top w:val="none" w:sz="0" w:space="0" w:color="auto"/>
                <w:left w:val="none" w:sz="0" w:space="0" w:color="auto"/>
                <w:bottom w:val="none" w:sz="0" w:space="0" w:color="auto"/>
                <w:right w:val="none" w:sz="0" w:space="0" w:color="auto"/>
              </w:divBdr>
            </w:div>
            <w:div w:id="1758213673">
              <w:blockQuote w:val="1"/>
              <w:marLeft w:val="720"/>
              <w:marRight w:val="720"/>
              <w:marTop w:val="100"/>
              <w:marBottom w:val="100"/>
              <w:divBdr>
                <w:top w:val="none" w:sz="0" w:space="0" w:color="auto"/>
                <w:left w:val="none" w:sz="0" w:space="0" w:color="auto"/>
                <w:bottom w:val="none" w:sz="0" w:space="0" w:color="auto"/>
                <w:right w:val="none" w:sz="0" w:space="0" w:color="auto"/>
              </w:divBdr>
            </w:div>
            <w:div w:id="1424255446">
              <w:blockQuote w:val="1"/>
              <w:marLeft w:val="720"/>
              <w:marRight w:val="720"/>
              <w:marTop w:val="100"/>
              <w:marBottom w:val="100"/>
              <w:divBdr>
                <w:top w:val="none" w:sz="0" w:space="0" w:color="auto"/>
                <w:left w:val="none" w:sz="0" w:space="0" w:color="auto"/>
                <w:bottom w:val="none" w:sz="0" w:space="0" w:color="auto"/>
                <w:right w:val="none" w:sz="0" w:space="0" w:color="auto"/>
              </w:divBdr>
            </w:div>
            <w:div w:id="1509097689">
              <w:blockQuote w:val="1"/>
              <w:marLeft w:val="720"/>
              <w:marRight w:val="720"/>
              <w:marTop w:val="100"/>
              <w:marBottom w:val="100"/>
              <w:divBdr>
                <w:top w:val="none" w:sz="0" w:space="0" w:color="auto"/>
                <w:left w:val="none" w:sz="0" w:space="0" w:color="auto"/>
                <w:bottom w:val="none" w:sz="0" w:space="0" w:color="auto"/>
                <w:right w:val="none" w:sz="0" w:space="0" w:color="auto"/>
              </w:divBdr>
            </w:div>
            <w:div w:id="189951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1294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3606908">
              <w:blockQuote w:val="1"/>
              <w:marLeft w:val="720"/>
              <w:marRight w:val="720"/>
              <w:marTop w:val="100"/>
              <w:marBottom w:val="100"/>
              <w:divBdr>
                <w:top w:val="none" w:sz="0" w:space="0" w:color="auto"/>
                <w:left w:val="none" w:sz="0" w:space="0" w:color="auto"/>
                <w:bottom w:val="none" w:sz="0" w:space="0" w:color="auto"/>
                <w:right w:val="none" w:sz="0" w:space="0" w:color="auto"/>
              </w:divBdr>
            </w:div>
            <w:div w:id="87388598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4292269">
              <w:blockQuote w:val="1"/>
              <w:marLeft w:val="720"/>
              <w:marRight w:val="720"/>
              <w:marTop w:val="100"/>
              <w:marBottom w:val="100"/>
              <w:divBdr>
                <w:top w:val="none" w:sz="0" w:space="0" w:color="auto"/>
                <w:left w:val="none" w:sz="0" w:space="0" w:color="auto"/>
                <w:bottom w:val="none" w:sz="0" w:space="0" w:color="auto"/>
                <w:right w:val="none" w:sz="0" w:space="0" w:color="auto"/>
              </w:divBdr>
            </w:div>
            <w:div w:id="801120109">
              <w:blockQuote w:val="1"/>
              <w:marLeft w:val="720"/>
              <w:marRight w:val="720"/>
              <w:marTop w:val="100"/>
              <w:marBottom w:val="100"/>
              <w:divBdr>
                <w:top w:val="none" w:sz="0" w:space="0" w:color="auto"/>
                <w:left w:val="none" w:sz="0" w:space="0" w:color="auto"/>
                <w:bottom w:val="none" w:sz="0" w:space="0" w:color="auto"/>
                <w:right w:val="none" w:sz="0" w:space="0" w:color="auto"/>
              </w:divBdr>
            </w:div>
            <w:div w:id="796026230">
              <w:blockQuote w:val="1"/>
              <w:marLeft w:val="720"/>
              <w:marRight w:val="720"/>
              <w:marTop w:val="100"/>
              <w:marBottom w:val="100"/>
              <w:divBdr>
                <w:top w:val="none" w:sz="0" w:space="0" w:color="auto"/>
                <w:left w:val="none" w:sz="0" w:space="0" w:color="auto"/>
                <w:bottom w:val="none" w:sz="0" w:space="0" w:color="auto"/>
                <w:right w:val="none" w:sz="0" w:space="0" w:color="auto"/>
              </w:divBdr>
            </w:div>
            <w:div w:id="1709987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48269907">
      <w:bodyDiv w:val="1"/>
      <w:marLeft w:val="0"/>
      <w:marRight w:val="0"/>
      <w:marTop w:val="0"/>
      <w:marBottom w:val="0"/>
      <w:divBdr>
        <w:top w:val="none" w:sz="0" w:space="0" w:color="auto"/>
        <w:left w:val="none" w:sz="0" w:space="0" w:color="auto"/>
        <w:bottom w:val="none" w:sz="0" w:space="0" w:color="auto"/>
        <w:right w:val="none" w:sz="0" w:space="0" w:color="auto"/>
      </w:divBdr>
      <w:divsChild>
        <w:div w:id="973873107">
          <w:blockQuote w:val="1"/>
          <w:marLeft w:val="720"/>
          <w:marRight w:val="720"/>
          <w:marTop w:val="100"/>
          <w:marBottom w:val="100"/>
          <w:divBdr>
            <w:top w:val="none" w:sz="0" w:space="0" w:color="auto"/>
            <w:left w:val="none" w:sz="0" w:space="0" w:color="auto"/>
            <w:bottom w:val="none" w:sz="0" w:space="0" w:color="auto"/>
            <w:right w:val="none" w:sz="0" w:space="0" w:color="auto"/>
          </w:divBdr>
        </w:div>
        <w:div w:id="1974485900">
          <w:blockQuote w:val="1"/>
          <w:marLeft w:val="720"/>
          <w:marRight w:val="720"/>
          <w:marTop w:val="100"/>
          <w:marBottom w:val="100"/>
          <w:divBdr>
            <w:top w:val="none" w:sz="0" w:space="0" w:color="auto"/>
            <w:left w:val="none" w:sz="0" w:space="0" w:color="auto"/>
            <w:bottom w:val="none" w:sz="0" w:space="0" w:color="auto"/>
            <w:right w:val="none" w:sz="0" w:space="0" w:color="auto"/>
          </w:divBdr>
        </w:div>
        <w:div w:id="1686176157">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87512">
          <w:blockQuote w:val="1"/>
          <w:marLeft w:val="720"/>
          <w:marRight w:val="720"/>
          <w:marTop w:val="100"/>
          <w:marBottom w:val="100"/>
          <w:divBdr>
            <w:top w:val="none" w:sz="0" w:space="0" w:color="auto"/>
            <w:left w:val="none" w:sz="0" w:space="0" w:color="auto"/>
            <w:bottom w:val="none" w:sz="0" w:space="0" w:color="auto"/>
            <w:right w:val="none" w:sz="0" w:space="0" w:color="auto"/>
          </w:divBdr>
        </w:div>
        <w:div w:id="13891145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1499755">
      <w:bodyDiv w:val="1"/>
      <w:marLeft w:val="0"/>
      <w:marRight w:val="0"/>
      <w:marTop w:val="0"/>
      <w:marBottom w:val="0"/>
      <w:divBdr>
        <w:top w:val="none" w:sz="0" w:space="0" w:color="auto"/>
        <w:left w:val="none" w:sz="0" w:space="0" w:color="auto"/>
        <w:bottom w:val="none" w:sz="0" w:space="0" w:color="auto"/>
        <w:right w:val="none" w:sz="0" w:space="0" w:color="auto"/>
      </w:divBdr>
      <w:divsChild>
        <w:div w:id="470024719">
          <w:marLeft w:val="0"/>
          <w:marRight w:val="0"/>
          <w:marTop w:val="0"/>
          <w:marBottom w:val="0"/>
          <w:divBdr>
            <w:top w:val="none" w:sz="0" w:space="0" w:color="auto"/>
            <w:left w:val="none" w:sz="0" w:space="0" w:color="auto"/>
            <w:bottom w:val="none" w:sz="0" w:space="0" w:color="auto"/>
            <w:right w:val="none" w:sz="0" w:space="0" w:color="auto"/>
          </w:divBdr>
          <w:divsChild>
            <w:div w:id="1573469981">
              <w:blockQuote w:val="1"/>
              <w:marLeft w:val="720"/>
              <w:marRight w:val="720"/>
              <w:marTop w:val="100"/>
              <w:marBottom w:val="100"/>
              <w:divBdr>
                <w:top w:val="none" w:sz="0" w:space="0" w:color="auto"/>
                <w:left w:val="none" w:sz="0" w:space="0" w:color="auto"/>
                <w:bottom w:val="none" w:sz="0" w:space="0" w:color="auto"/>
                <w:right w:val="none" w:sz="0" w:space="0" w:color="auto"/>
              </w:divBdr>
            </w:div>
            <w:div w:id="1314869843">
              <w:blockQuote w:val="1"/>
              <w:marLeft w:val="720"/>
              <w:marRight w:val="720"/>
              <w:marTop w:val="100"/>
              <w:marBottom w:val="100"/>
              <w:divBdr>
                <w:top w:val="none" w:sz="0" w:space="0" w:color="auto"/>
                <w:left w:val="none" w:sz="0" w:space="0" w:color="auto"/>
                <w:bottom w:val="none" w:sz="0" w:space="0" w:color="auto"/>
                <w:right w:val="none" w:sz="0" w:space="0" w:color="auto"/>
              </w:divBdr>
            </w:div>
            <w:div w:id="1816871823">
              <w:blockQuote w:val="1"/>
              <w:marLeft w:val="720"/>
              <w:marRight w:val="720"/>
              <w:marTop w:val="100"/>
              <w:marBottom w:val="100"/>
              <w:divBdr>
                <w:top w:val="none" w:sz="0" w:space="0" w:color="auto"/>
                <w:left w:val="none" w:sz="0" w:space="0" w:color="auto"/>
                <w:bottom w:val="none" w:sz="0" w:space="0" w:color="auto"/>
                <w:right w:val="none" w:sz="0" w:space="0" w:color="auto"/>
              </w:divBdr>
            </w:div>
            <w:div w:id="1451777980">
              <w:blockQuote w:val="1"/>
              <w:marLeft w:val="720"/>
              <w:marRight w:val="720"/>
              <w:marTop w:val="100"/>
              <w:marBottom w:val="100"/>
              <w:divBdr>
                <w:top w:val="none" w:sz="0" w:space="0" w:color="auto"/>
                <w:left w:val="none" w:sz="0" w:space="0" w:color="auto"/>
                <w:bottom w:val="none" w:sz="0" w:space="0" w:color="auto"/>
                <w:right w:val="none" w:sz="0" w:space="0" w:color="auto"/>
              </w:divBdr>
            </w:div>
            <w:div w:id="1246263742">
              <w:blockQuote w:val="1"/>
              <w:marLeft w:val="720"/>
              <w:marRight w:val="720"/>
              <w:marTop w:val="100"/>
              <w:marBottom w:val="100"/>
              <w:divBdr>
                <w:top w:val="none" w:sz="0" w:space="0" w:color="auto"/>
                <w:left w:val="none" w:sz="0" w:space="0" w:color="auto"/>
                <w:bottom w:val="none" w:sz="0" w:space="0" w:color="auto"/>
                <w:right w:val="none" w:sz="0" w:space="0" w:color="auto"/>
              </w:divBdr>
            </w:div>
            <w:div w:id="470557060">
              <w:blockQuote w:val="1"/>
              <w:marLeft w:val="720"/>
              <w:marRight w:val="720"/>
              <w:marTop w:val="100"/>
              <w:marBottom w:val="100"/>
              <w:divBdr>
                <w:top w:val="none" w:sz="0" w:space="0" w:color="auto"/>
                <w:left w:val="none" w:sz="0" w:space="0" w:color="auto"/>
                <w:bottom w:val="none" w:sz="0" w:space="0" w:color="auto"/>
                <w:right w:val="none" w:sz="0" w:space="0" w:color="auto"/>
              </w:divBdr>
            </w:div>
            <w:div w:id="1472290107">
              <w:blockQuote w:val="1"/>
              <w:marLeft w:val="720"/>
              <w:marRight w:val="720"/>
              <w:marTop w:val="100"/>
              <w:marBottom w:val="100"/>
              <w:divBdr>
                <w:top w:val="none" w:sz="0" w:space="0" w:color="auto"/>
                <w:left w:val="none" w:sz="0" w:space="0" w:color="auto"/>
                <w:bottom w:val="none" w:sz="0" w:space="0" w:color="auto"/>
                <w:right w:val="none" w:sz="0" w:space="0" w:color="auto"/>
              </w:divBdr>
            </w:div>
            <w:div w:id="1324579694">
              <w:blockQuote w:val="1"/>
              <w:marLeft w:val="720"/>
              <w:marRight w:val="720"/>
              <w:marTop w:val="100"/>
              <w:marBottom w:val="100"/>
              <w:divBdr>
                <w:top w:val="none" w:sz="0" w:space="0" w:color="auto"/>
                <w:left w:val="none" w:sz="0" w:space="0" w:color="auto"/>
                <w:bottom w:val="none" w:sz="0" w:space="0" w:color="auto"/>
                <w:right w:val="none" w:sz="0" w:space="0" w:color="auto"/>
              </w:divBdr>
            </w:div>
            <w:div w:id="1518154281">
              <w:blockQuote w:val="1"/>
              <w:marLeft w:val="720"/>
              <w:marRight w:val="720"/>
              <w:marTop w:val="100"/>
              <w:marBottom w:val="100"/>
              <w:divBdr>
                <w:top w:val="none" w:sz="0" w:space="0" w:color="auto"/>
                <w:left w:val="none" w:sz="0" w:space="0" w:color="auto"/>
                <w:bottom w:val="none" w:sz="0" w:space="0" w:color="auto"/>
                <w:right w:val="none" w:sz="0" w:space="0" w:color="auto"/>
              </w:divBdr>
            </w:div>
            <w:div w:id="884947366">
              <w:blockQuote w:val="1"/>
              <w:marLeft w:val="720"/>
              <w:marRight w:val="720"/>
              <w:marTop w:val="100"/>
              <w:marBottom w:val="100"/>
              <w:divBdr>
                <w:top w:val="none" w:sz="0" w:space="0" w:color="auto"/>
                <w:left w:val="none" w:sz="0" w:space="0" w:color="auto"/>
                <w:bottom w:val="none" w:sz="0" w:space="0" w:color="auto"/>
                <w:right w:val="none" w:sz="0" w:space="0" w:color="auto"/>
              </w:divBdr>
            </w:div>
            <w:div w:id="1278643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73487220">
      <w:bodyDiv w:val="1"/>
      <w:marLeft w:val="0"/>
      <w:marRight w:val="0"/>
      <w:marTop w:val="0"/>
      <w:marBottom w:val="0"/>
      <w:divBdr>
        <w:top w:val="none" w:sz="0" w:space="0" w:color="auto"/>
        <w:left w:val="none" w:sz="0" w:space="0" w:color="auto"/>
        <w:bottom w:val="none" w:sz="0" w:space="0" w:color="auto"/>
        <w:right w:val="none" w:sz="0" w:space="0" w:color="auto"/>
      </w:divBdr>
      <w:divsChild>
        <w:div w:id="1113668606">
          <w:marLeft w:val="0"/>
          <w:marRight w:val="0"/>
          <w:marTop w:val="0"/>
          <w:marBottom w:val="0"/>
          <w:divBdr>
            <w:top w:val="none" w:sz="0" w:space="0" w:color="auto"/>
            <w:left w:val="none" w:sz="0" w:space="0" w:color="auto"/>
            <w:bottom w:val="none" w:sz="0" w:space="0" w:color="auto"/>
            <w:right w:val="none" w:sz="0" w:space="0" w:color="auto"/>
          </w:divBdr>
          <w:divsChild>
            <w:div w:id="708575875">
              <w:blockQuote w:val="1"/>
              <w:marLeft w:val="720"/>
              <w:marRight w:val="720"/>
              <w:marTop w:val="100"/>
              <w:marBottom w:val="100"/>
              <w:divBdr>
                <w:top w:val="none" w:sz="0" w:space="0" w:color="auto"/>
                <w:left w:val="none" w:sz="0" w:space="0" w:color="auto"/>
                <w:bottom w:val="none" w:sz="0" w:space="0" w:color="auto"/>
                <w:right w:val="none" w:sz="0" w:space="0" w:color="auto"/>
              </w:divBdr>
            </w:div>
            <w:div w:id="1360202009">
              <w:blockQuote w:val="1"/>
              <w:marLeft w:val="720"/>
              <w:marRight w:val="720"/>
              <w:marTop w:val="100"/>
              <w:marBottom w:val="100"/>
              <w:divBdr>
                <w:top w:val="none" w:sz="0" w:space="0" w:color="auto"/>
                <w:left w:val="none" w:sz="0" w:space="0" w:color="auto"/>
                <w:bottom w:val="none" w:sz="0" w:space="0" w:color="auto"/>
                <w:right w:val="none" w:sz="0" w:space="0" w:color="auto"/>
              </w:divBdr>
            </w:div>
            <w:div w:id="412118739">
              <w:blockQuote w:val="1"/>
              <w:marLeft w:val="720"/>
              <w:marRight w:val="720"/>
              <w:marTop w:val="100"/>
              <w:marBottom w:val="100"/>
              <w:divBdr>
                <w:top w:val="none" w:sz="0" w:space="0" w:color="auto"/>
                <w:left w:val="none" w:sz="0" w:space="0" w:color="auto"/>
                <w:bottom w:val="none" w:sz="0" w:space="0" w:color="auto"/>
                <w:right w:val="none" w:sz="0" w:space="0" w:color="auto"/>
              </w:divBdr>
            </w:div>
            <w:div w:id="736787272">
              <w:blockQuote w:val="1"/>
              <w:marLeft w:val="720"/>
              <w:marRight w:val="720"/>
              <w:marTop w:val="100"/>
              <w:marBottom w:val="100"/>
              <w:divBdr>
                <w:top w:val="none" w:sz="0" w:space="0" w:color="auto"/>
                <w:left w:val="none" w:sz="0" w:space="0" w:color="auto"/>
                <w:bottom w:val="none" w:sz="0" w:space="0" w:color="auto"/>
                <w:right w:val="none" w:sz="0" w:space="0" w:color="auto"/>
              </w:divBdr>
            </w:div>
            <w:div w:id="923958683">
              <w:blockQuote w:val="1"/>
              <w:marLeft w:val="720"/>
              <w:marRight w:val="720"/>
              <w:marTop w:val="100"/>
              <w:marBottom w:val="100"/>
              <w:divBdr>
                <w:top w:val="none" w:sz="0" w:space="0" w:color="auto"/>
                <w:left w:val="none" w:sz="0" w:space="0" w:color="auto"/>
                <w:bottom w:val="none" w:sz="0" w:space="0" w:color="auto"/>
                <w:right w:val="none" w:sz="0" w:space="0" w:color="auto"/>
              </w:divBdr>
            </w:div>
            <w:div w:id="138234751">
              <w:blockQuote w:val="1"/>
              <w:marLeft w:val="720"/>
              <w:marRight w:val="720"/>
              <w:marTop w:val="100"/>
              <w:marBottom w:val="100"/>
              <w:divBdr>
                <w:top w:val="none" w:sz="0" w:space="0" w:color="auto"/>
                <w:left w:val="none" w:sz="0" w:space="0" w:color="auto"/>
                <w:bottom w:val="none" w:sz="0" w:space="0" w:color="auto"/>
                <w:right w:val="none" w:sz="0" w:space="0" w:color="auto"/>
              </w:divBdr>
            </w:div>
            <w:div w:id="2020810103">
              <w:blockQuote w:val="1"/>
              <w:marLeft w:val="720"/>
              <w:marRight w:val="720"/>
              <w:marTop w:val="100"/>
              <w:marBottom w:val="100"/>
              <w:divBdr>
                <w:top w:val="none" w:sz="0" w:space="0" w:color="auto"/>
                <w:left w:val="none" w:sz="0" w:space="0" w:color="auto"/>
                <w:bottom w:val="none" w:sz="0" w:space="0" w:color="auto"/>
                <w:right w:val="none" w:sz="0" w:space="0" w:color="auto"/>
              </w:divBdr>
            </w:div>
            <w:div w:id="1170027647">
              <w:blockQuote w:val="1"/>
              <w:marLeft w:val="720"/>
              <w:marRight w:val="720"/>
              <w:marTop w:val="100"/>
              <w:marBottom w:val="100"/>
              <w:divBdr>
                <w:top w:val="none" w:sz="0" w:space="0" w:color="auto"/>
                <w:left w:val="none" w:sz="0" w:space="0" w:color="auto"/>
                <w:bottom w:val="none" w:sz="0" w:space="0" w:color="auto"/>
                <w:right w:val="none" w:sz="0" w:space="0" w:color="auto"/>
              </w:divBdr>
            </w:div>
            <w:div w:id="484977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98849929">
      <w:bodyDiv w:val="1"/>
      <w:marLeft w:val="0"/>
      <w:marRight w:val="0"/>
      <w:marTop w:val="0"/>
      <w:marBottom w:val="0"/>
      <w:divBdr>
        <w:top w:val="none" w:sz="0" w:space="0" w:color="auto"/>
        <w:left w:val="none" w:sz="0" w:space="0" w:color="auto"/>
        <w:bottom w:val="none" w:sz="0" w:space="0" w:color="auto"/>
        <w:right w:val="none" w:sz="0" w:space="0" w:color="auto"/>
      </w:divBdr>
      <w:divsChild>
        <w:div w:id="1933972879">
          <w:blockQuote w:val="1"/>
          <w:marLeft w:val="720"/>
          <w:marRight w:val="720"/>
          <w:marTop w:val="100"/>
          <w:marBottom w:val="100"/>
          <w:divBdr>
            <w:top w:val="none" w:sz="0" w:space="0" w:color="auto"/>
            <w:left w:val="none" w:sz="0" w:space="0" w:color="auto"/>
            <w:bottom w:val="none" w:sz="0" w:space="0" w:color="auto"/>
            <w:right w:val="none" w:sz="0" w:space="0" w:color="auto"/>
          </w:divBdr>
        </w:div>
        <w:div w:id="487131027">
          <w:blockQuote w:val="1"/>
          <w:marLeft w:val="720"/>
          <w:marRight w:val="720"/>
          <w:marTop w:val="100"/>
          <w:marBottom w:val="100"/>
          <w:divBdr>
            <w:top w:val="none" w:sz="0" w:space="0" w:color="auto"/>
            <w:left w:val="none" w:sz="0" w:space="0" w:color="auto"/>
            <w:bottom w:val="none" w:sz="0" w:space="0" w:color="auto"/>
            <w:right w:val="none" w:sz="0" w:space="0" w:color="auto"/>
          </w:divBdr>
        </w:div>
        <w:div w:id="7496946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93753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6316926">
      <w:bodyDiv w:val="1"/>
      <w:marLeft w:val="0"/>
      <w:marRight w:val="0"/>
      <w:marTop w:val="0"/>
      <w:marBottom w:val="0"/>
      <w:divBdr>
        <w:top w:val="none" w:sz="0" w:space="0" w:color="auto"/>
        <w:left w:val="none" w:sz="0" w:space="0" w:color="auto"/>
        <w:bottom w:val="none" w:sz="0" w:space="0" w:color="auto"/>
        <w:right w:val="none" w:sz="0" w:space="0" w:color="auto"/>
      </w:divBdr>
      <w:divsChild>
        <w:div w:id="306470254">
          <w:blockQuote w:val="1"/>
          <w:marLeft w:val="720"/>
          <w:marRight w:val="720"/>
          <w:marTop w:val="100"/>
          <w:marBottom w:val="100"/>
          <w:divBdr>
            <w:top w:val="none" w:sz="0" w:space="0" w:color="auto"/>
            <w:left w:val="none" w:sz="0" w:space="0" w:color="auto"/>
            <w:bottom w:val="none" w:sz="0" w:space="0" w:color="auto"/>
            <w:right w:val="none" w:sz="0" w:space="0" w:color="auto"/>
          </w:divBdr>
        </w:div>
        <w:div w:id="1458335247">
          <w:blockQuote w:val="1"/>
          <w:marLeft w:val="720"/>
          <w:marRight w:val="720"/>
          <w:marTop w:val="100"/>
          <w:marBottom w:val="100"/>
          <w:divBdr>
            <w:top w:val="none" w:sz="0" w:space="0" w:color="auto"/>
            <w:left w:val="none" w:sz="0" w:space="0" w:color="auto"/>
            <w:bottom w:val="none" w:sz="0" w:space="0" w:color="auto"/>
            <w:right w:val="none" w:sz="0" w:space="0" w:color="auto"/>
          </w:divBdr>
        </w:div>
        <w:div w:id="1441994644">
          <w:blockQuote w:val="1"/>
          <w:marLeft w:val="720"/>
          <w:marRight w:val="720"/>
          <w:marTop w:val="100"/>
          <w:marBottom w:val="100"/>
          <w:divBdr>
            <w:top w:val="none" w:sz="0" w:space="0" w:color="auto"/>
            <w:left w:val="none" w:sz="0" w:space="0" w:color="auto"/>
            <w:bottom w:val="none" w:sz="0" w:space="0" w:color="auto"/>
            <w:right w:val="none" w:sz="0" w:space="0" w:color="auto"/>
          </w:divBdr>
        </w:div>
        <w:div w:id="6064269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8116363">
      <w:bodyDiv w:val="1"/>
      <w:marLeft w:val="0"/>
      <w:marRight w:val="0"/>
      <w:marTop w:val="0"/>
      <w:marBottom w:val="0"/>
      <w:divBdr>
        <w:top w:val="none" w:sz="0" w:space="0" w:color="auto"/>
        <w:left w:val="none" w:sz="0" w:space="0" w:color="auto"/>
        <w:bottom w:val="none" w:sz="0" w:space="0" w:color="auto"/>
        <w:right w:val="none" w:sz="0" w:space="0" w:color="auto"/>
      </w:divBdr>
      <w:divsChild>
        <w:div w:id="1497459366">
          <w:marLeft w:val="0"/>
          <w:marRight w:val="0"/>
          <w:marTop w:val="0"/>
          <w:marBottom w:val="0"/>
          <w:divBdr>
            <w:top w:val="none" w:sz="0" w:space="0" w:color="auto"/>
            <w:left w:val="none" w:sz="0" w:space="0" w:color="auto"/>
            <w:bottom w:val="none" w:sz="0" w:space="0" w:color="auto"/>
            <w:right w:val="none" w:sz="0" w:space="0" w:color="auto"/>
          </w:divBdr>
          <w:divsChild>
            <w:div w:id="2147382961">
              <w:blockQuote w:val="1"/>
              <w:marLeft w:val="720"/>
              <w:marRight w:val="720"/>
              <w:marTop w:val="100"/>
              <w:marBottom w:val="100"/>
              <w:divBdr>
                <w:top w:val="none" w:sz="0" w:space="0" w:color="auto"/>
                <w:left w:val="none" w:sz="0" w:space="0" w:color="auto"/>
                <w:bottom w:val="none" w:sz="0" w:space="0" w:color="auto"/>
                <w:right w:val="none" w:sz="0" w:space="0" w:color="auto"/>
              </w:divBdr>
            </w:div>
            <w:div w:id="557715147">
              <w:blockQuote w:val="1"/>
              <w:marLeft w:val="720"/>
              <w:marRight w:val="720"/>
              <w:marTop w:val="100"/>
              <w:marBottom w:val="100"/>
              <w:divBdr>
                <w:top w:val="none" w:sz="0" w:space="0" w:color="auto"/>
                <w:left w:val="none" w:sz="0" w:space="0" w:color="auto"/>
                <w:bottom w:val="none" w:sz="0" w:space="0" w:color="auto"/>
                <w:right w:val="none" w:sz="0" w:space="0" w:color="auto"/>
              </w:divBdr>
            </w:div>
            <w:div w:id="411245692">
              <w:blockQuote w:val="1"/>
              <w:marLeft w:val="720"/>
              <w:marRight w:val="720"/>
              <w:marTop w:val="100"/>
              <w:marBottom w:val="100"/>
              <w:divBdr>
                <w:top w:val="none" w:sz="0" w:space="0" w:color="auto"/>
                <w:left w:val="none" w:sz="0" w:space="0" w:color="auto"/>
                <w:bottom w:val="none" w:sz="0" w:space="0" w:color="auto"/>
                <w:right w:val="none" w:sz="0" w:space="0" w:color="auto"/>
              </w:divBdr>
            </w:div>
            <w:div w:id="11346374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23578315">
      <w:bodyDiv w:val="1"/>
      <w:marLeft w:val="0"/>
      <w:marRight w:val="0"/>
      <w:marTop w:val="0"/>
      <w:marBottom w:val="0"/>
      <w:divBdr>
        <w:top w:val="none" w:sz="0" w:space="0" w:color="auto"/>
        <w:left w:val="none" w:sz="0" w:space="0" w:color="auto"/>
        <w:bottom w:val="none" w:sz="0" w:space="0" w:color="auto"/>
        <w:right w:val="none" w:sz="0" w:space="0" w:color="auto"/>
      </w:divBdr>
      <w:divsChild>
        <w:div w:id="1569416282">
          <w:blockQuote w:val="1"/>
          <w:marLeft w:val="720"/>
          <w:marRight w:val="720"/>
          <w:marTop w:val="100"/>
          <w:marBottom w:val="100"/>
          <w:divBdr>
            <w:top w:val="none" w:sz="0" w:space="0" w:color="auto"/>
            <w:left w:val="none" w:sz="0" w:space="0" w:color="auto"/>
            <w:bottom w:val="none" w:sz="0" w:space="0" w:color="auto"/>
            <w:right w:val="none" w:sz="0" w:space="0" w:color="auto"/>
          </w:divBdr>
        </w:div>
        <w:div w:id="1961186287">
          <w:blockQuote w:val="1"/>
          <w:marLeft w:val="720"/>
          <w:marRight w:val="720"/>
          <w:marTop w:val="100"/>
          <w:marBottom w:val="100"/>
          <w:divBdr>
            <w:top w:val="none" w:sz="0" w:space="0" w:color="auto"/>
            <w:left w:val="none" w:sz="0" w:space="0" w:color="auto"/>
            <w:bottom w:val="none" w:sz="0" w:space="0" w:color="auto"/>
            <w:right w:val="none" w:sz="0" w:space="0" w:color="auto"/>
          </w:divBdr>
        </w:div>
        <w:div w:id="500898529">
          <w:blockQuote w:val="1"/>
          <w:marLeft w:val="720"/>
          <w:marRight w:val="720"/>
          <w:marTop w:val="100"/>
          <w:marBottom w:val="100"/>
          <w:divBdr>
            <w:top w:val="none" w:sz="0" w:space="0" w:color="auto"/>
            <w:left w:val="none" w:sz="0" w:space="0" w:color="auto"/>
            <w:bottom w:val="none" w:sz="0" w:space="0" w:color="auto"/>
            <w:right w:val="none" w:sz="0" w:space="0" w:color="auto"/>
          </w:divBdr>
        </w:div>
        <w:div w:id="937367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59010811">
          <w:blockQuote w:val="1"/>
          <w:marLeft w:val="720"/>
          <w:marRight w:val="720"/>
          <w:marTop w:val="100"/>
          <w:marBottom w:val="100"/>
          <w:divBdr>
            <w:top w:val="none" w:sz="0" w:space="0" w:color="auto"/>
            <w:left w:val="none" w:sz="0" w:space="0" w:color="auto"/>
            <w:bottom w:val="none" w:sz="0" w:space="0" w:color="auto"/>
            <w:right w:val="none" w:sz="0" w:space="0" w:color="auto"/>
          </w:divBdr>
        </w:div>
        <w:div w:id="990059169">
          <w:blockQuote w:val="1"/>
          <w:marLeft w:val="720"/>
          <w:marRight w:val="720"/>
          <w:marTop w:val="100"/>
          <w:marBottom w:val="100"/>
          <w:divBdr>
            <w:top w:val="none" w:sz="0" w:space="0" w:color="auto"/>
            <w:left w:val="none" w:sz="0" w:space="0" w:color="auto"/>
            <w:bottom w:val="none" w:sz="0" w:space="0" w:color="auto"/>
            <w:right w:val="none" w:sz="0" w:space="0" w:color="auto"/>
          </w:divBdr>
        </w:div>
        <w:div w:id="559679857">
          <w:blockQuote w:val="1"/>
          <w:marLeft w:val="720"/>
          <w:marRight w:val="720"/>
          <w:marTop w:val="100"/>
          <w:marBottom w:val="100"/>
          <w:divBdr>
            <w:top w:val="none" w:sz="0" w:space="0" w:color="auto"/>
            <w:left w:val="none" w:sz="0" w:space="0" w:color="auto"/>
            <w:bottom w:val="none" w:sz="0" w:space="0" w:color="auto"/>
            <w:right w:val="none" w:sz="0" w:space="0" w:color="auto"/>
          </w:divBdr>
        </w:div>
        <w:div w:id="139854167">
          <w:blockQuote w:val="1"/>
          <w:marLeft w:val="720"/>
          <w:marRight w:val="720"/>
          <w:marTop w:val="100"/>
          <w:marBottom w:val="100"/>
          <w:divBdr>
            <w:top w:val="none" w:sz="0" w:space="0" w:color="auto"/>
            <w:left w:val="none" w:sz="0" w:space="0" w:color="auto"/>
            <w:bottom w:val="none" w:sz="0" w:space="0" w:color="auto"/>
            <w:right w:val="none" w:sz="0" w:space="0" w:color="auto"/>
          </w:divBdr>
        </w:div>
        <w:div w:id="404377995">
          <w:blockQuote w:val="1"/>
          <w:marLeft w:val="720"/>
          <w:marRight w:val="720"/>
          <w:marTop w:val="100"/>
          <w:marBottom w:val="100"/>
          <w:divBdr>
            <w:top w:val="none" w:sz="0" w:space="0" w:color="auto"/>
            <w:left w:val="none" w:sz="0" w:space="0" w:color="auto"/>
            <w:bottom w:val="none" w:sz="0" w:space="0" w:color="auto"/>
            <w:right w:val="none" w:sz="0" w:space="0" w:color="auto"/>
          </w:divBdr>
        </w:div>
        <w:div w:id="1016469473">
          <w:blockQuote w:val="1"/>
          <w:marLeft w:val="720"/>
          <w:marRight w:val="720"/>
          <w:marTop w:val="100"/>
          <w:marBottom w:val="100"/>
          <w:divBdr>
            <w:top w:val="none" w:sz="0" w:space="0" w:color="auto"/>
            <w:left w:val="none" w:sz="0" w:space="0" w:color="auto"/>
            <w:bottom w:val="none" w:sz="0" w:space="0" w:color="auto"/>
            <w:right w:val="none" w:sz="0" w:space="0" w:color="auto"/>
          </w:divBdr>
        </w:div>
        <w:div w:id="674959373">
          <w:blockQuote w:val="1"/>
          <w:marLeft w:val="720"/>
          <w:marRight w:val="720"/>
          <w:marTop w:val="100"/>
          <w:marBottom w:val="100"/>
          <w:divBdr>
            <w:top w:val="none" w:sz="0" w:space="0" w:color="auto"/>
            <w:left w:val="none" w:sz="0" w:space="0" w:color="auto"/>
            <w:bottom w:val="none" w:sz="0" w:space="0" w:color="auto"/>
            <w:right w:val="none" w:sz="0" w:space="0" w:color="auto"/>
          </w:divBdr>
        </w:div>
        <w:div w:id="10849541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1845449">
      <w:bodyDiv w:val="1"/>
      <w:marLeft w:val="0"/>
      <w:marRight w:val="0"/>
      <w:marTop w:val="0"/>
      <w:marBottom w:val="0"/>
      <w:divBdr>
        <w:top w:val="none" w:sz="0" w:space="0" w:color="auto"/>
        <w:left w:val="none" w:sz="0" w:space="0" w:color="auto"/>
        <w:bottom w:val="none" w:sz="0" w:space="0" w:color="auto"/>
        <w:right w:val="none" w:sz="0" w:space="0" w:color="auto"/>
      </w:divBdr>
      <w:divsChild>
        <w:div w:id="1856269270">
          <w:blockQuote w:val="1"/>
          <w:marLeft w:val="720"/>
          <w:marRight w:val="720"/>
          <w:marTop w:val="100"/>
          <w:marBottom w:val="100"/>
          <w:divBdr>
            <w:top w:val="none" w:sz="0" w:space="0" w:color="auto"/>
            <w:left w:val="none" w:sz="0" w:space="0" w:color="auto"/>
            <w:bottom w:val="none" w:sz="0" w:space="0" w:color="auto"/>
            <w:right w:val="none" w:sz="0" w:space="0" w:color="auto"/>
          </w:divBdr>
        </w:div>
        <w:div w:id="277493049">
          <w:blockQuote w:val="1"/>
          <w:marLeft w:val="720"/>
          <w:marRight w:val="720"/>
          <w:marTop w:val="100"/>
          <w:marBottom w:val="100"/>
          <w:divBdr>
            <w:top w:val="none" w:sz="0" w:space="0" w:color="auto"/>
            <w:left w:val="none" w:sz="0" w:space="0" w:color="auto"/>
            <w:bottom w:val="none" w:sz="0" w:space="0" w:color="auto"/>
            <w:right w:val="none" w:sz="0" w:space="0" w:color="auto"/>
          </w:divBdr>
        </w:div>
        <w:div w:id="1895967917">
          <w:blockQuote w:val="1"/>
          <w:marLeft w:val="720"/>
          <w:marRight w:val="720"/>
          <w:marTop w:val="100"/>
          <w:marBottom w:val="100"/>
          <w:divBdr>
            <w:top w:val="none" w:sz="0" w:space="0" w:color="auto"/>
            <w:left w:val="none" w:sz="0" w:space="0" w:color="auto"/>
            <w:bottom w:val="none" w:sz="0" w:space="0" w:color="auto"/>
            <w:right w:val="none" w:sz="0" w:space="0" w:color="auto"/>
          </w:divBdr>
        </w:div>
        <w:div w:id="201329267">
          <w:blockQuote w:val="1"/>
          <w:marLeft w:val="720"/>
          <w:marRight w:val="720"/>
          <w:marTop w:val="100"/>
          <w:marBottom w:val="100"/>
          <w:divBdr>
            <w:top w:val="none" w:sz="0" w:space="0" w:color="auto"/>
            <w:left w:val="none" w:sz="0" w:space="0" w:color="auto"/>
            <w:bottom w:val="none" w:sz="0" w:space="0" w:color="auto"/>
            <w:right w:val="none" w:sz="0" w:space="0" w:color="auto"/>
          </w:divBdr>
        </w:div>
        <w:div w:id="18828589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9858712">
      <w:bodyDiv w:val="1"/>
      <w:marLeft w:val="0"/>
      <w:marRight w:val="0"/>
      <w:marTop w:val="0"/>
      <w:marBottom w:val="0"/>
      <w:divBdr>
        <w:top w:val="none" w:sz="0" w:space="0" w:color="auto"/>
        <w:left w:val="none" w:sz="0" w:space="0" w:color="auto"/>
        <w:bottom w:val="none" w:sz="0" w:space="0" w:color="auto"/>
        <w:right w:val="none" w:sz="0" w:space="0" w:color="auto"/>
      </w:divBdr>
      <w:divsChild>
        <w:div w:id="325280906">
          <w:blockQuote w:val="1"/>
          <w:marLeft w:val="720"/>
          <w:marRight w:val="720"/>
          <w:marTop w:val="100"/>
          <w:marBottom w:val="100"/>
          <w:divBdr>
            <w:top w:val="none" w:sz="0" w:space="0" w:color="auto"/>
            <w:left w:val="none" w:sz="0" w:space="0" w:color="auto"/>
            <w:bottom w:val="none" w:sz="0" w:space="0" w:color="auto"/>
            <w:right w:val="none" w:sz="0" w:space="0" w:color="auto"/>
          </w:divBdr>
        </w:div>
        <w:div w:id="513306355">
          <w:blockQuote w:val="1"/>
          <w:marLeft w:val="720"/>
          <w:marRight w:val="720"/>
          <w:marTop w:val="100"/>
          <w:marBottom w:val="100"/>
          <w:divBdr>
            <w:top w:val="none" w:sz="0" w:space="0" w:color="auto"/>
            <w:left w:val="none" w:sz="0" w:space="0" w:color="auto"/>
            <w:bottom w:val="none" w:sz="0" w:space="0" w:color="auto"/>
            <w:right w:val="none" w:sz="0" w:space="0" w:color="auto"/>
          </w:divBdr>
        </w:div>
        <w:div w:id="187572004">
          <w:blockQuote w:val="1"/>
          <w:marLeft w:val="720"/>
          <w:marRight w:val="720"/>
          <w:marTop w:val="100"/>
          <w:marBottom w:val="100"/>
          <w:divBdr>
            <w:top w:val="none" w:sz="0" w:space="0" w:color="auto"/>
            <w:left w:val="none" w:sz="0" w:space="0" w:color="auto"/>
            <w:bottom w:val="none" w:sz="0" w:space="0" w:color="auto"/>
            <w:right w:val="none" w:sz="0" w:space="0" w:color="auto"/>
          </w:divBdr>
        </w:div>
        <w:div w:id="7671658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8172313">
      <w:bodyDiv w:val="1"/>
      <w:marLeft w:val="0"/>
      <w:marRight w:val="0"/>
      <w:marTop w:val="0"/>
      <w:marBottom w:val="0"/>
      <w:divBdr>
        <w:top w:val="none" w:sz="0" w:space="0" w:color="auto"/>
        <w:left w:val="none" w:sz="0" w:space="0" w:color="auto"/>
        <w:bottom w:val="none" w:sz="0" w:space="0" w:color="auto"/>
        <w:right w:val="none" w:sz="0" w:space="0" w:color="auto"/>
      </w:divBdr>
      <w:divsChild>
        <w:div w:id="770246247">
          <w:marLeft w:val="0"/>
          <w:marRight w:val="0"/>
          <w:marTop w:val="0"/>
          <w:marBottom w:val="0"/>
          <w:divBdr>
            <w:top w:val="none" w:sz="0" w:space="0" w:color="auto"/>
            <w:left w:val="none" w:sz="0" w:space="0" w:color="auto"/>
            <w:bottom w:val="none" w:sz="0" w:space="0" w:color="auto"/>
            <w:right w:val="none" w:sz="0" w:space="0" w:color="auto"/>
          </w:divBdr>
          <w:divsChild>
            <w:div w:id="2026396448">
              <w:blockQuote w:val="1"/>
              <w:marLeft w:val="720"/>
              <w:marRight w:val="720"/>
              <w:marTop w:val="100"/>
              <w:marBottom w:val="100"/>
              <w:divBdr>
                <w:top w:val="none" w:sz="0" w:space="0" w:color="auto"/>
                <w:left w:val="none" w:sz="0" w:space="0" w:color="auto"/>
                <w:bottom w:val="none" w:sz="0" w:space="0" w:color="auto"/>
                <w:right w:val="none" w:sz="0" w:space="0" w:color="auto"/>
              </w:divBdr>
            </w:div>
            <w:div w:id="96561098">
              <w:blockQuote w:val="1"/>
              <w:marLeft w:val="720"/>
              <w:marRight w:val="720"/>
              <w:marTop w:val="100"/>
              <w:marBottom w:val="100"/>
              <w:divBdr>
                <w:top w:val="none" w:sz="0" w:space="0" w:color="auto"/>
                <w:left w:val="none" w:sz="0" w:space="0" w:color="auto"/>
                <w:bottom w:val="none" w:sz="0" w:space="0" w:color="auto"/>
                <w:right w:val="none" w:sz="0" w:space="0" w:color="auto"/>
              </w:divBdr>
            </w:div>
            <w:div w:id="140267971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691569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8442744">
              <w:blockQuote w:val="1"/>
              <w:marLeft w:val="720"/>
              <w:marRight w:val="720"/>
              <w:marTop w:val="100"/>
              <w:marBottom w:val="100"/>
              <w:divBdr>
                <w:top w:val="none" w:sz="0" w:space="0" w:color="auto"/>
                <w:left w:val="none" w:sz="0" w:space="0" w:color="auto"/>
                <w:bottom w:val="none" w:sz="0" w:space="0" w:color="auto"/>
                <w:right w:val="none" w:sz="0" w:space="0" w:color="auto"/>
              </w:divBdr>
            </w:div>
            <w:div w:id="438181579">
              <w:blockQuote w:val="1"/>
              <w:marLeft w:val="720"/>
              <w:marRight w:val="720"/>
              <w:marTop w:val="100"/>
              <w:marBottom w:val="100"/>
              <w:divBdr>
                <w:top w:val="none" w:sz="0" w:space="0" w:color="auto"/>
                <w:left w:val="none" w:sz="0" w:space="0" w:color="auto"/>
                <w:bottom w:val="none" w:sz="0" w:space="0" w:color="auto"/>
                <w:right w:val="none" w:sz="0" w:space="0" w:color="auto"/>
              </w:divBdr>
            </w:div>
            <w:div w:id="18293953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41076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0839836">
              <w:blockQuote w:val="1"/>
              <w:marLeft w:val="720"/>
              <w:marRight w:val="720"/>
              <w:marTop w:val="100"/>
              <w:marBottom w:val="100"/>
              <w:divBdr>
                <w:top w:val="none" w:sz="0" w:space="0" w:color="auto"/>
                <w:left w:val="none" w:sz="0" w:space="0" w:color="auto"/>
                <w:bottom w:val="none" w:sz="0" w:space="0" w:color="auto"/>
                <w:right w:val="none" w:sz="0" w:space="0" w:color="auto"/>
              </w:divBdr>
            </w:div>
            <w:div w:id="773790838">
              <w:blockQuote w:val="1"/>
              <w:marLeft w:val="720"/>
              <w:marRight w:val="720"/>
              <w:marTop w:val="100"/>
              <w:marBottom w:val="100"/>
              <w:divBdr>
                <w:top w:val="none" w:sz="0" w:space="0" w:color="auto"/>
                <w:left w:val="none" w:sz="0" w:space="0" w:color="auto"/>
                <w:bottom w:val="none" w:sz="0" w:space="0" w:color="auto"/>
                <w:right w:val="none" w:sz="0" w:space="0" w:color="auto"/>
              </w:divBdr>
            </w:div>
            <w:div w:id="6644067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72006280">
      <w:bodyDiv w:val="1"/>
      <w:marLeft w:val="0"/>
      <w:marRight w:val="0"/>
      <w:marTop w:val="0"/>
      <w:marBottom w:val="0"/>
      <w:divBdr>
        <w:top w:val="none" w:sz="0" w:space="0" w:color="auto"/>
        <w:left w:val="none" w:sz="0" w:space="0" w:color="auto"/>
        <w:bottom w:val="none" w:sz="0" w:space="0" w:color="auto"/>
        <w:right w:val="none" w:sz="0" w:space="0" w:color="auto"/>
      </w:divBdr>
      <w:divsChild>
        <w:div w:id="651566942">
          <w:blockQuote w:val="1"/>
          <w:marLeft w:val="720"/>
          <w:marRight w:val="720"/>
          <w:marTop w:val="100"/>
          <w:marBottom w:val="100"/>
          <w:divBdr>
            <w:top w:val="none" w:sz="0" w:space="0" w:color="auto"/>
            <w:left w:val="none" w:sz="0" w:space="0" w:color="auto"/>
            <w:bottom w:val="none" w:sz="0" w:space="0" w:color="auto"/>
            <w:right w:val="none" w:sz="0" w:space="0" w:color="auto"/>
          </w:divBdr>
        </w:div>
        <w:div w:id="1617058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750536230">
          <w:blockQuote w:val="1"/>
          <w:marLeft w:val="720"/>
          <w:marRight w:val="720"/>
          <w:marTop w:val="100"/>
          <w:marBottom w:val="100"/>
          <w:divBdr>
            <w:top w:val="none" w:sz="0" w:space="0" w:color="auto"/>
            <w:left w:val="none" w:sz="0" w:space="0" w:color="auto"/>
            <w:bottom w:val="none" w:sz="0" w:space="0" w:color="auto"/>
            <w:right w:val="none" w:sz="0" w:space="0" w:color="auto"/>
          </w:divBdr>
        </w:div>
        <w:div w:id="557056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4920111">
      <w:bodyDiv w:val="1"/>
      <w:marLeft w:val="0"/>
      <w:marRight w:val="0"/>
      <w:marTop w:val="0"/>
      <w:marBottom w:val="0"/>
      <w:divBdr>
        <w:top w:val="none" w:sz="0" w:space="0" w:color="auto"/>
        <w:left w:val="none" w:sz="0" w:space="0" w:color="auto"/>
        <w:bottom w:val="none" w:sz="0" w:space="0" w:color="auto"/>
        <w:right w:val="none" w:sz="0" w:space="0" w:color="auto"/>
      </w:divBdr>
      <w:divsChild>
        <w:div w:id="1234468128">
          <w:blockQuote w:val="1"/>
          <w:marLeft w:val="720"/>
          <w:marRight w:val="720"/>
          <w:marTop w:val="100"/>
          <w:marBottom w:val="100"/>
          <w:divBdr>
            <w:top w:val="none" w:sz="0" w:space="0" w:color="auto"/>
            <w:left w:val="none" w:sz="0" w:space="0" w:color="auto"/>
            <w:bottom w:val="none" w:sz="0" w:space="0" w:color="auto"/>
            <w:right w:val="none" w:sz="0" w:space="0" w:color="auto"/>
          </w:divBdr>
        </w:div>
        <w:div w:id="1342506357">
          <w:blockQuote w:val="1"/>
          <w:marLeft w:val="720"/>
          <w:marRight w:val="720"/>
          <w:marTop w:val="100"/>
          <w:marBottom w:val="100"/>
          <w:divBdr>
            <w:top w:val="none" w:sz="0" w:space="0" w:color="auto"/>
            <w:left w:val="none" w:sz="0" w:space="0" w:color="auto"/>
            <w:bottom w:val="none" w:sz="0" w:space="0" w:color="auto"/>
            <w:right w:val="none" w:sz="0" w:space="0" w:color="auto"/>
          </w:divBdr>
        </w:div>
        <w:div w:id="1491601289">
          <w:blockQuote w:val="1"/>
          <w:marLeft w:val="720"/>
          <w:marRight w:val="720"/>
          <w:marTop w:val="100"/>
          <w:marBottom w:val="100"/>
          <w:divBdr>
            <w:top w:val="none" w:sz="0" w:space="0" w:color="auto"/>
            <w:left w:val="none" w:sz="0" w:space="0" w:color="auto"/>
            <w:bottom w:val="none" w:sz="0" w:space="0" w:color="auto"/>
            <w:right w:val="none" w:sz="0" w:space="0" w:color="auto"/>
          </w:divBdr>
        </w:div>
        <w:div w:id="713388269">
          <w:blockQuote w:val="1"/>
          <w:marLeft w:val="720"/>
          <w:marRight w:val="720"/>
          <w:marTop w:val="100"/>
          <w:marBottom w:val="100"/>
          <w:divBdr>
            <w:top w:val="none" w:sz="0" w:space="0" w:color="auto"/>
            <w:left w:val="none" w:sz="0" w:space="0" w:color="auto"/>
            <w:bottom w:val="none" w:sz="0" w:space="0" w:color="auto"/>
            <w:right w:val="none" w:sz="0" w:space="0" w:color="auto"/>
          </w:divBdr>
        </w:div>
        <w:div w:id="1336954948">
          <w:blockQuote w:val="1"/>
          <w:marLeft w:val="720"/>
          <w:marRight w:val="720"/>
          <w:marTop w:val="100"/>
          <w:marBottom w:val="100"/>
          <w:divBdr>
            <w:top w:val="none" w:sz="0" w:space="0" w:color="auto"/>
            <w:left w:val="none" w:sz="0" w:space="0" w:color="auto"/>
            <w:bottom w:val="none" w:sz="0" w:space="0" w:color="auto"/>
            <w:right w:val="none" w:sz="0" w:space="0" w:color="auto"/>
          </w:divBdr>
        </w:div>
        <w:div w:id="9819265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55928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4758503">
          <w:blockQuote w:val="1"/>
          <w:marLeft w:val="720"/>
          <w:marRight w:val="720"/>
          <w:marTop w:val="100"/>
          <w:marBottom w:val="100"/>
          <w:divBdr>
            <w:top w:val="none" w:sz="0" w:space="0" w:color="auto"/>
            <w:left w:val="none" w:sz="0" w:space="0" w:color="auto"/>
            <w:bottom w:val="none" w:sz="0" w:space="0" w:color="auto"/>
            <w:right w:val="none" w:sz="0" w:space="0" w:color="auto"/>
          </w:divBdr>
        </w:div>
        <w:div w:id="1363046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40623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88076967">
      <w:bodyDiv w:val="1"/>
      <w:marLeft w:val="0"/>
      <w:marRight w:val="0"/>
      <w:marTop w:val="0"/>
      <w:marBottom w:val="0"/>
      <w:divBdr>
        <w:top w:val="none" w:sz="0" w:space="0" w:color="auto"/>
        <w:left w:val="none" w:sz="0" w:space="0" w:color="auto"/>
        <w:bottom w:val="none" w:sz="0" w:space="0" w:color="auto"/>
        <w:right w:val="none" w:sz="0" w:space="0" w:color="auto"/>
      </w:divBdr>
      <w:divsChild>
        <w:div w:id="994993254">
          <w:blockQuote w:val="1"/>
          <w:marLeft w:val="720"/>
          <w:marRight w:val="720"/>
          <w:marTop w:val="100"/>
          <w:marBottom w:val="100"/>
          <w:divBdr>
            <w:top w:val="none" w:sz="0" w:space="0" w:color="auto"/>
            <w:left w:val="none" w:sz="0" w:space="0" w:color="auto"/>
            <w:bottom w:val="none" w:sz="0" w:space="0" w:color="auto"/>
            <w:right w:val="none" w:sz="0" w:space="0" w:color="auto"/>
          </w:divBdr>
        </w:div>
        <w:div w:id="1402210714">
          <w:blockQuote w:val="1"/>
          <w:marLeft w:val="720"/>
          <w:marRight w:val="720"/>
          <w:marTop w:val="100"/>
          <w:marBottom w:val="100"/>
          <w:divBdr>
            <w:top w:val="none" w:sz="0" w:space="0" w:color="auto"/>
            <w:left w:val="none" w:sz="0" w:space="0" w:color="auto"/>
            <w:bottom w:val="none" w:sz="0" w:space="0" w:color="auto"/>
            <w:right w:val="none" w:sz="0" w:space="0" w:color="auto"/>
          </w:divBdr>
        </w:div>
        <w:div w:id="1963879078">
          <w:blockQuote w:val="1"/>
          <w:marLeft w:val="720"/>
          <w:marRight w:val="720"/>
          <w:marTop w:val="100"/>
          <w:marBottom w:val="100"/>
          <w:divBdr>
            <w:top w:val="none" w:sz="0" w:space="0" w:color="auto"/>
            <w:left w:val="none" w:sz="0" w:space="0" w:color="auto"/>
            <w:bottom w:val="none" w:sz="0" w:space="0" w:color="auto"/>
            <w:right w:val="none" w:sz="0" w:space="0" w:color="auto"/>
          </w:divBdr>
        </w:div>
        <w:div w:id="4128984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3442146">
      <w:bodyDiv w:val="1"/>
      <w:marLeft w:val="0"/>
      <w:marRight w:val="0"/>
      <w:marTop w:val="0"/>
      <w:marBottom w:val="0"/>
      <w:divBdr>
        <w:top w:val="none" w:sz="0" w:space="0" w:color="auto"/>
        <w:left w:val="none" w:sz="0" w:space="0" w:color="auto"/>
        <w:bottom w:val="none" w:sz="0" w:space="0" w:color="auto"/>
        <w:right w:val="none" w:sz="0" w:space="0" w:color="auto"/>
      </w:divBdr>
      <w:divsChild>
        <w:div w:id="62921081">
          <w:blockQuote w:val="1"/>
          <w:marLeft w:val="720"/>
          <w:marRight w:val="720"/>
          <w:marTop w:val="100"/>
          <w:marBottom w:val="100"/>
          <w:divBdr>
            <w:top w:val="none" w:sz="0" w:space="0" w:color="auto"/>
            <w:left w:val="none" w:sz="0" w:space="0" w:color="auto"/>
            <w:bottom w:val="none" w:sz="0" w:space="0" w:color="auto"/>
            <w:right w:val="none" w:sz="0" w:space="0" w:color="auto"/>
          </w:divBdr>
        </w:div>
        <w:div w:id="1170408676">
          <w:blockQuote w:val="1"/>
          <w:marLeft w:val="720"/>
          <w:marRight w:val="720"/>
          <w:marTop w:val="100"/>
          <w:marBottom w:val="100"/>
          <w:divBdr>
            <w:top w:val="none" w:sz="0" w:space="0" w:color="auto"/>
            <w:left w:val="none" w:sz="0" w:space="0" w:color="auto"/>
            <w:bottom w:val="none" w:sz="0" w:space="0" w:color="auto"/>
            <w:right w:val="none" w:sz="0" w:space="0" w:color="auto"/>
          </w:divBdr>
        </w:div>
        <w:div w:id="6772690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2811924">
      <w:bodyDiv w:val="1"/>
      <w:marLeft w:val="0"/>
      <w:marRight w:val="0"/>
      <w:marTop w:val="0"/>
      <w:marBottom w:val="0"/>
      <w:divBdr>
        <w:top w:val="none" w:sz="0" w:space="0" w:color="auto"/>
        <w:left w:val="none" w:sz="0" w:space="0" w:color="auto"/>
        <w:bottom w:val="none" w:sz="0" w:space="0" w:color="auto"/>
        <w:right w:val="none" w:sz="0" w:space="0" w:color="auto"/>
      </w:divBdr>
      <w:divsChild>
        <w:div w:id="2106538906">
          <w:marLeft w:val="0"/>
          <w:marRight w:val="0"/>
          <w:marTop w:val="0"/>
          <w:marBottom w:val="0"/>
          <w:divBdr>
            <w:top w:val="none" w:sz="0" w:space="0" w:color="auto"/>
            <w:left w:val="none" w:sz="0" w:space="0" w:color="auto"/>
            <w:bottom w:val="none" w:sz="0" w:space="0" w:color="auto"/>
            <w:right w:val="none" w:sz="0" w:space="0" w:color="auto"/>
          </w:divBdr>
          <w:divsChild>
            <w:div w:id="377245402">
              <w:blockQuote w:val="1"/>
              <w:marLeft w:val="720"/>
              <w:marRight w:val="720"/>
              <w:marTop w:val="100"/>
              <w:marBottom w:val="100"/>
              <w:divBdr>
                <w:top w:val="none" w:sz="0" w:space="0" w:color="auto"/>
                <w:left w:val="none" w:sz="0" w:space="0" w:color="auto"/>
                <w:bottom w:val="none" w:sz="0" w:space="0" w:color="auto"/>
                <w:right w:val="none" w:sz="0" w:space="0" w:color="auto"/>
              </w:divBdr>
            </w:div>
            <w:div w:id="749040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08740945">
              <w:blockQuote w:val="1"/>
              <w:marLeft w:val="720"/>
              <w:marRight w:val="720"/>
              <w:marTop w:val="100"/>
              <w:marBottom w:val="100"/>
              <w:divBdr>
                <w:top w:val="none" w:sz="0" w:space="0" w:color="auto"/>
                <w:left w:val="none" w:sz="0" w:space="0" w:color="auto"/>
                <w:bottom w:val="none" w:sz="0" w:space="0" w:color="auto"/>
                <w:right w:val="none" w:sz="0" w:space="0" w:color="auto"/>
              </w:divBdr>
            </w:div>
            <w:div w:id="1450660751">
              <w:blockQuote w:val="1"/>
              <w:marLeft w:val="720"/>
              <w:marRight w:val="720"/>
              <w:marTop w:val="100"/>
              <w:marBottom w:val="100"/>
              <w:divBdr>
                <w:top w:val="none" w:sz="0" w:space="0" w:color="auto"/>
                <w:left w:val="none" w:sz="0" w:space="0" w:color="auto"/>
                <w:bottom w:val="none" w:sz="0" w:space="0" w:color="auto"/>
                <w:right w:val="none" w:sz="0" w:space="0" w:color="auto"/>
              </w:divBdr>
            </w:div>
            <w:div w:id="813452516">
              <w:blockQuote w:val="1"/>
              <w:marLeft w:val="720"/>
              <w:marRight w:val="720"/>
              <w:marTop w:val="100"/>
              <w:marBottom w:val="100"/>
              <w:divBdr>
                <w:top w:val="none" w:sz="0" w:space="0" w:color="auto"/>
                <w:left w:val="none" w:sz="0" w:space="0" w:color="auto"/>
                <w:bottom w:val="none" w:sz="0" w:space="0" w:color="auto"/>
                <w:right w:val="none" w:sz="0" w:space="0" w:color="auto"/>
              </w:divBdr>
            </w:div>
            <w:div w:id="1923946988">
              <w:blockQuote w:val="1"/>
              <w:marLeft w:val="720"/>
              <w:marRight w:val="720"/>
              <w:marTop w:val="100"/>
              <w:marBottom w:val="100"/>
              <w:divBdr>
                <w:top w:val="none" w:sz="0" w:space="0" w:color="auto"/>
                <w:left w:val="none" w:sz="0" w:space="0" w:color="auto"/>
                <w:bottom w:val="none" w:sz="0" w:space="0" w:color="auto"/>
                <w:right w:val="none" w:sz="0" w:space="0" w:color="auto"/>
              </w:divBdr>
            </w:div>
            <w:div w:id="1992371245">
              <w:blockQuote w:val="1"/>
              <w:marLeft w:val="720"/>
              <w:marRight w:val="720"/>
              <w:marTop w:val="100"/>
              <w:marBottom w:val="100"/>
              <w:divBdr>
                <w:top w:val="none" w:sz="0" w:space="0" w:color="auto"/>
                <w:left w:val="none" w:sz="0" w:space="0" w:color="auto"/>
                <w:bottom w:val="none" w:sz="0" w:space="0" w:color="auto"/>
                <w:right w:val="none" w:sz="0" w:space="0" w:color="auto"/>
              </w:divBdr>
            </w:div>
            <w:div w:id="12858481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26547732">
      <w:bodyDiv w:val="1"/>
      <w:marLeft w:val="0"/>
      <w:marRight w:val="0"/>
      <w:marTop w:val="0"/>
      <w:marBottom w:val="0"/>
      <w:divBdr>
        <w:top w:val="none" w:sz="0" w:space="0" w:color="auto"/>
        <w:left w:val="none" w:sz="0" w:space="0" w:color="auto"/>
        <w:bottom w:val="none" w:sz="0" w:space="0" w:color="auto"/>
        <w:right w:val="none" w:sz="0" w:space="0" w:color="auto"/>
      </w:divBdr>
      <w:divsChild>
        <w:div w:id="977535476">
          <w:blockQuote w:val="1"/>
          <w:marLeft w:val="720"/>
          <w:marRight w:val="720"/>
          <w:marTop w:val="100"/>
          <w:marBottom w:val="100"/>
          <w:divBdr>
            <w:top w:val="none" w:sz="0" w:space="0" w:color="auto"/>
            <w:left w:val="none" w:sz="0" w:space="0" w:color="auto"/>
            <w:bottom w:val="none" w:sz="0" w:space="0" w:color="auto"/>
            <w:right w:val="none" w:sz="0" w:space="0" w:color="auto"/>
          </w:divBdr>
        </w:div>
        <w:div w:id="1958489350">
          <w:blockQuote w:val="1"/>
          <w:marLeft w:val="720"/>
          <w:marRight w:val="720"/>
          <w:marTop w:val="100"/>
          <w:marBottom w:val="100"/>
          <w:divBdr>
            <w:top w:val="none" w:sz="0" w:space="0" w:color="auto"/>
            <w:left w:val="none" w:sz="0" w:space="0" w:color="auto"/>
            <w:bottom w:val="none" w:sz="0" w:space="0" w:color="auto"/>
            <w:right w:val="none" w:sz="0" w:space="0" w:color="auto"/>
          </w:divBdr>
        </w:div>
        <w:div w:id="11232344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6205294">
      <w:bodyDiv w:val="1"/>
      <w:marLeft w:val="0"/>
      <w:marRight w:val="0"/>
      <w:marTop w:val="0"/>
      <w:marBottom w:val="0"/>
      <w:divBdr>
        <w:top w:val="none" w:sz="0" w:space="0" w:color="auto"/>
        <w:left w:val="none" w:sz="0" w:space="0" w:color="auto"/>
        <w:bottom w:val="none" w:sz="0" w:space="0" w:color="auto"/>
        <w:right w:val="none" w:sz="0" w:space="0" w:color="auto"/>
      </w:divBdr>
      <w:divsChild>
        <w:div w:id="395249234">
          <w:blockQuote w:val="1"/>
          <w:marLeft w:val="720"/>
          <w:marRight w:val="720"/>
          <w:marTop w:val="100"/>
          <w:marBottom w:val="100"/>
          <w:divBdr>
            <w:top w:val="none" w:sz="0" w:space="0" w:color="auto"/>
            <w:left w:val="none" w:sz="0" w:space="0" w:color="auto"/>
            <w:bottom w:val="none" w:sz="0" w:space="0" w:color="auto"/>
            <w:right w:val="none" w:sz="0" w:space="0" w:color="auto"/>
          </w:divBdr>
        </w:div>
        <w:div w:id="20902725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99831385">
          <w:blockQuote w:val="1"/>
          <w:marLeft w:val="720"/>
          <w:marRight w:val="720"/>
          <w:marTop w:val="100"/>
          <w:marBottom w:val="100"/>
          <w:divBdr>
            <w:top w:val="none" w:sz="0" w:space="0" w:color="auto"/>
            <w:left w:val="none" w:sz="0" w:space="0" w:color="auto"/>
            <w:bottom w:val="none" w:sz="0" w:space="0" w:color="auto"/>
            <w:right w:val="none" w:sz="0" w:space="0" w:color="auto"/>
          </w:divBdr>
        </w:div>
        <w:div w:id="12612592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4267050">
      <w:bodyDiv w:val="1"/>
      <w:marLeft w:val="0"/>
      <w:marRight w:val="0"/>
      <w:marTop w:val="0"/>
      <w:marBottom w:val="0"/>
      <w:divBdr>
        <w:top w:val="none" w:sz="0" w:space="0" w:color="auto"/>
        <w:left w:val="none" w:sz="0" w:space="0" w:color="auto"/>
        <w:bottom w:val="none" w:sz="0" w:space="0" w:color="auto"/>
        <w:right w:val="none" w:sz="0" w:space="0" w:color="auto"/>
      </w:divBdr>
      <w:divsChild>
        <w:div w:id="275676079">
          <w:marLeft w:val="0"/>
          <w:marRight w:val="0"/>
          <w:marTop w:val="0"/>
          <w:marBottom w:val="0"/>
          <w:divBdr>
            <w:top w:val="none" w:sz="0" w:space="0" w:color="auto"/>
            <w:left w:val="none" w:sz="0" w:space="0" w:color="auto"/>
            <w:bottom w:val="none" w:sz="0" w:space="0" w:color="auto"/>
            <w:right w:val="none" w:sz="0" w:space="0" w:color="auto"/>
          </w:divBdr>
          <w:divsChild>
            <w:div w:id="879787438">
              <w:blockQuote w:val="1"/>
              <w:marLeft w:val="720"/>
              <w:marRight w:val="720"/>
              <w:marTop w:val="100"/>
              <w:marBottom w:val="100"/>
              <w:divBdr>
                <w:top w:val="none" w:sz="0" w:space="0" w:color="auto"/>
                <w:left w:val="none" w:sz="0" w:space="0" w:color="auto"/>
                <w:bottom w:val="none" w:sz="0" w:space="0" w:color="auto"/>
                <w:right w:val="none" w:sz="0" w:space="0" w:color="auto"/>
              </w:divBdr>
            </w:div>
            <w:div w:id="543324996">
              <w:blockQuote w:val="1"/>
              <w:marLeft w:val="720"/>
              <w:marRight w:val="720"/>
              <w:marTop w:val="100"/>
              <w:marBottom w:val="100"/>
              <w:divBdr>
                <w:top w:val="none" w:sz="0" w:space="0" w:color="auto"/>
                <w:left w:val="none" w:sz="0" w:space="0" w:color="auto"/>
                <w:bottom w:val="none" w:sz="0" w:space="0" w:color="auto"/>
                <w:right w:val="none" w:sz="0" w:space="0" w:color="auto"/>
              </w:divBdr>
            </w:div>
            <w:div w:id="421607578">
              <w:blockQuote w:val="1"/>
              <w:marLeft w:val="720"/>
              <w:marRight w:val="720"/>
              <w:marTop w:val="100"/>
              <w:marBottom w:val="100"/>
              <w:divBdr>
                <w:top w:val="none" w:sz="0" w:space="0" w:color="auto"/>
                <w:left w:val="none" w:sz="0" w:space="0" w:color="auto"/>
                <w:bottom w:val="none" w:sz="0" w:space="0" w:color="auto"/>
                <w:right w:val="none" w:sz="0" w:space="0" w:color="auto"/>
              </w:divBdr>
            </w:div>
            <w:div w:id="42533331">
              <w:blockQuote w:val="1"/>
              <w:marLeft w:val="720"/>
              <w:marRight w:val="720"/>
              <w:marTop w:val="100"/>
              <w:marBottom w:val="100"/>
              <w:divBdr>
                <w:top w:val="none" w:sz="0" w:space="0" w:color="auto"/>
                <w:left w:val="none" w:sz="0" w:space="0" w:color="auto"/>
                <w:bottom w:val="none" w:sz="0" w:space="0" w:color="auto"/>
                <w:right w:val="none" w:sz="0" w:space="0" w:color="auto"/>
              </w:divBdr>
            </w:div>
            <w:div w:id="1987582323">
              <w:blockQuote w:val="1"/>
              <w:marLeft w:val="720"/>
              <w:marRight w:val="720"/>
              <w:marTop w:val="100"/>
              <w:marBottom w:val="100"/>
              <w:divBdr>
                <w:top w:val="none" w:sz="0" w:space="0" w:color="auto"/>
                <w:left w:val="none" w:sz="0" w:space="0" w:color="auto"/>
                <w:bottom w:val="none" w:sz="0" w:space="0" w:color="auto"/>
                <w:right w:val="none" w:sz="0" w:space="0" w:color="auto"/>
              </w:divBdr>
            </w:div>
            <w:div w:id="12818385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0928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7952079">
              <w:blockQuote w:val="1"/>
              <w:marLeft w:val="720"/>
              <w:marRight w:val="720"/>
              <w:marTop w:val="100"/>
              <w:marBottom w:val="100"/>
              <w:divBdr>
                <w:top w:val="none" w:sz="0" w:space="0" w:color="auto"/>
                <w:left w:val="none" w:sz="0" w:space="0" w:color="auto"/>
                <w:bottom w:val="none" w:sz="0" w:space="0" w:color="auto"/>
                <w:right w:val="none" w:sz="0" w:space="0" w:color="auto"/>
              </w:divBdr>
            </w:div>
            <w:div w:id="1106117577">
              <w:blockQuote w:val="1"/>
              <w:marLeft w:val="720"/>
              <w:marRight w:val="720"/>
              <w:marTop w:val="100"/>
              <w:marBottom w:val="100"/>
              <w:divBdr>
                <w:top w:val="none" w:sz="0" w:space="0" w:color="auto"/>
                <w:left w:val="none" w:sz="0" w:space="0" w:color="auto"/>
                <w:bottom w:val="none" w:sz="0" w:space="0" w:color="auto"/>
                <w:right w:val="none" w:sz="0" w:space="0" w:color="auto"/>
              </w:divBdr>
            </w:div>
            <w:div w:id="122383528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5767933">
              <w:blockQuote w:val="1"/>
              <w:marLeft w:val="720"/>
              <w:marRight w:val="720"/>
              <w:marTop w:val="100"/>
              <w:marBottom w:val="100"/>
              <w:divBdr>
                <w:top w:val="none" w:sz="0" w:space="0" w:color="auto"/>
                <w:left w:val="none" w:sz="0" w:space="0" w:color="auto"/>
                <w:bottom w:val="none" w:sz="0" w:space="0" w:color="auto"/>
                <w:right w:val="none" w:sz="0" w:space="0" w:color="auto"/>
              </w:divBdr>
            </w:div>
            <w:div w:id="1497842141">
              <w:blockQuote w:val="1"/>
              <w:marLeft w:val="720"/>
              <w:marRight w:val="720"/>
              <w:marTop w:val="100"/>
              <w:marBottom w:val="100"/>
              <w:divBdr>
                <w:top w:val="none" w:sz="0" w:space="0" w:color="auto"/>
                <w:left w:val="none" w:sz="0" w:space="0" w:color="auto"/>
                <w:bottom w:val="none" w:sz="0" w:space="0" w:color="auto"/>
                <w:right w:val="none" w:sz="0" w:space="0" w:color="auto"/>
              </w:divBdr>
            </w:div>
            <w:div w:id="19333170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779259">
      <w:bodyDiv w:val="1"/>
      <w:marLeft w:val="0"/>
      <w:marRight w:val="0"/>
      <w:marTop w:val="0"/>
      <w:marBottom w:val="0"/>
      <w:divBdr>
        <w:top w:val="none" w:sz="0" w:space="0" w:color="auto"/>
        <w:left w:val="none" w:sz="0" w:space="0" w:color="auto"/>
        <w:bottom w:val="none" w:sz="0" w:space="0" w:color="auto"/>
        <w:right w:val="none" w:sz="0" w:space="0" w:color="auto"/>
      </w:divBdr>
      <w:divsChild>
        <w:div w:id="670833222">
          <w:blockQuote w:val="1"/>
          <w:marLeft w:val="720"/>
          <w:marRight w:val="720"/>
          <w:marTop w:val="100"/>
          <w:marBottom w:val="100"/>
          <w:divBdr>
            <w:top w:val="none" w:sz="0" w:space="0" w:color="auto"/>
            <w:left w:val="none" w:sz="0" w:space="0" w:color="auto"/>
            <w:bottom w:val="none" w:sz="0" w:space="0" w:color="auto"/>
            <w:right w:val="none" w:sz="0" w:space="0" w:color="auto"/>
          </w:divBdr>
        </w:div>
        <w:div w:id="87971379">
          <w:blockQuote w:val="1"/>
          <w:marLeft w:val="720"/>
          <w:marRight w:val="720"/>
          <w:marTop w:val="100"/>
          <w:marBottom w:val="100"/>
          <w:divBdr>
            <w:top w:val="none" w:sz="0" w:space="0" w:color="auto"/>
            <w:left w:val="none" w:sz="0" w:space="0" w:color="auto"/>
            <w:bottom w:val="none" w:sz="0" w:space="0" w:color="auto"/>
            <w:right w:val="none" w:sz="0" w:space="0" w:color="auto"/>
          </w:divBdr>
        </w:div>
        <w:div w:id="361368529">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054855">
          <w:blockQuote w:val="1"/>
          <w:marLeft w:val="720"/>
          <w:marRight w:val="720"/>
          <w:marTop w:val="100"/>
          <w:marBottom w:val="100"/>
          <w:divBdr>
            <w:top w:val="none" w:sz="0" w:space="0" w:color="auto"/>
            <w:left w:val="none" w:sz="0" w:space="0" w:color="auto"/>
            <w:bottom w:val="none" w:sz="0" w:space="0" w:color="auto"/>
            <w:right w:val="none" w:sz="0" w:space="0" w:color="auto"/>
          </w:divBdr>
        </w:div>
        <w:div w:id="20838682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4327604">
      <w:bodyDiv w:val="1"/>
      <w:marLeft w:val="0"/>
      <w:marRight w:val="0"/>
      <w:marTop w:val="0"/>
      <w:marBottom w:val="0"/>
      <w:divBdr>
        <w:top w:val="none" w:sz="0" w:space="0" w:color="auto"/>
        <w:left w:val="none" w:sz="0" w:space="0" w:color="auto"/>
        <w:bottom w:val="none" w:sz="0" w:space="0" w:color="auto"/>
        <w:right w:val="none" w:sz="0" w:space="0" w:color="auto"/>
      </w:divBdr>
      <w:divsChild>
        <w:div w:id="590968669">
          <w:blockQuote w:val="1"/>
          <w:marLeft w:val="720"/>
          <w:marRight w:val="720"/>
          <w:marTop w:val="100"/>
          <w:marBottom w:val="100"/>
          <w:divBdr>
            <w:top w:val="none" w:sz="0" w:space="0" w:color="auto"/>
            <w:left w:val="none" w:sz="0" w:space="0" w:color="auto"/>
            <w:bottom w:val="none" w:sz="0" w:space="0" w:color="auto"/>
            <w:right w:val="none" w:sz="0" w:space="0" w:color="auto"/>
          </w:divBdr>
        </w:div>
        <w:div w:id="1441681929">
          <w:blockQuote w:val="1"/>
          <w:marLeft w:val="720"/>
          <w:marRight w:val="720"/>
          <w:marTop w:val="100"/>
          <w:marBottom w:val="100"/>
          <w:divBdr>
            <w:top w:val="none" w:sz="0" w:space="0" w:color="auto"/>
            <w:left w:val="none" w:sz="0" w:space="0" w:color="auto"/>
            <w:bottom w:val="none" w:sz="0" w:space="0" w:color="auto"/>
            <w:right w:val="none" w:sz="0" w:space="0" w:color="auto"/>
          </w:divBdr>
        </w:div>
        <w:div w:id="1161116309">
          <w:blockQuote w:val="1"/>
          <w:marLeft w:val="720"/>
          <w:marRight w:val="720"/>
          <w:marTop w:val="100"/>
          <w:marBottom w:val="100"/>
          <w:divBdr>
            <w:top w:val="none" w:sz="0" w:space="0" w:color="auto"/>
            <w:left w:val="none" w:sz="0" w:space="0" w:color="auto"/>
            <w:bottom w:val="none" w:sz="0" w:space="0" w:color="auto"/>
            <w:right w:val="none" w:sz="0" w:space="0" w:color="auto"/>
          </w:divBdr>
        </w:div>
        <w:div w:id="1839614544">
          <w:blockQuote w:val="1"/>
          <w:marLeft w:val="720"/>
          <w:marRight w:val="720"/>
          <w:marTop w:val="100"/>
          <w:marBottom w:val="100"/>
          <w:divBdr>
            <w:top w:val="none" w:sz="0" w:space="0" w:color="auto"/>
            <w:left w:val="none" w:sz="0" w:space="0" w:color="auto"/>
            <w:bottom w:val="none" w:sz="0" w:space="0" w:color="auto"/>
            <w:right w:val="none" w:sz="0" w:space="0" w:color="auto"/>
          </w:divBdr>
        </w:div>
        <w:div w:id="20723843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1393916">
      <w:bodyDiv w:val="1"/>
      <w:marLeft w:val="0"/>
      <w:marRight w:val="0"/>
      <w:marTop w:val="0"/>
      <w:marBottom w:val="0"/>
      <w:divBdr>
        <w:top w:val="none" w:sz="0" w:space="0" w:color="auto"/>
        <w:left w:val="none" w:sz="0" w:space="0" w:color="auto"/>
        <w:bottom w:val="none" w:sz="0" w:space="0" w:color="auto"/>
        <w:right w:val="none" w:sz="0" w:space="0" w:color="auto"/>
      </w:divBdr>
      <w:divsChild>
        <w:div w:id="1412388357">
          <w:marLeft w:val="0"/>
          <w:marRight w:val="0"/>
          <w:marTop w:val="0"/>
          <w:marBottom w:val="0"/>
          <w:divBdr>
            <w:top w:val="none" w:sz="0" w:space="0" w:color="auto"/>
            <w:left w:val="none" w:sz="0" w:space="0" w:color="auto"/>
            <w:bottom w:val="none" w:sz="0" w:space="0" w:color="auto"/>
            <w:right w:val="none" w:sz="0" w:space="0" w:color="auto"/>
          </w:divBdr>
          <w:divsChild>
            <w:div w:id="1512641646">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998062">
              <w:blockQuote w:val="1"/>
              <w:marLeft w:val="720"/>
              <w:marRight w:val="720"/>
              <w:marTop w:val="100"/>
              <w:marBottom w:val="100"/>
              <w:divBdr>
                <w:top w:val="none" w:sz="0" w:space="0" w:color="auto"/>
                <w:left w:val="none" w:sz="0" w:space="0" w:color="auto"/>
                <w:bottom w:val="none" w:sz="0" w:space="0" w:color="auto"/>
                <w:right w:val="none" w:sz="0" w:space="0" w:color="auto"/>
              </w:divBdr>
            </w:div>
            <w:div w:id="1822116598">
              <w:blockQuote w:val="1"/>
              <w:marLeft w:val="720"/>
              <w:marRight w:val="720"/>
              <w:marTop w:val="100"/>
              <w:marBottom w:val="100"/>
              <w:divBdr>
                <w:top w:val="none" w:sz="0" w:space="0" w:color="auto"/>
                <w:left w:val="none" w:sz="0" w:space="0" w:color="auto"/>
                <w:bottom w:val="none" w:sz="0" w:space="0" w:color="auto"/>
                <w:right w:val="none" w:sz="0" w:space="0" w:color="auto"/>
              </w:divBdr>
            </w:div>
            <w:div w:id="1608076484">
              <w:blockQuote w:val="1"/>
              <w:marLeft w:val="720"/>
              <w:marRight w:val="720"/>
              <w:marTop w:val="100"/>
              <w:marBottom w:val="100"/>
              <w:divBdr>
                <w:top w:val="none" w:sz="0" w:space="0" w:color="auto"/>
                <w:left w:val="none" w:sz="0" w:space="0" w:color="auto"/>
                <w:bottom w:val="none" w:sz="0" w:space="0" w:color="auto"/>
                <w:right w:val="none" w:sz="0" w:space="0" w:color="auto"/>
              </w:divBdr>
            </w:div>
            <w:div w:id="595335128">
              <w:blockQuote w:val="1"/>
              <w:marLeft w:val="720"/>
              <w:marRight w:val="720"/>
              <w:marTop w:val="100"/>
              <w:marBottom w:val="100"/>
              <w:divBdr>
                <w:top w:val="none" w:sz="0" w:space="0" w:color="auto"/>
                <w:left w:val="none" w:sz="0" w:space="0" w:color="auto"/>
                <w:bottom w:val="none" w:sz="0" w:space="0" w:color="auto"/>
                <w:right w:val="none" w:sz="0" w:space="0" w:color="auto"/>
              </w:divBdr>
            </w:div>
            <w:div w:id="17141880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46872161">
      <w:bodyDiv w:val="1"/>
      <w:marLeft w:val="0"/>
      <w:marRight w:val="0"/>
      <w:marTop w:val="0"/>
      <w:marBottom w:val="0"/>
      <w:divBdr>
        <w:top w:val="none" w:sz="0" w:space="0" w:color="auto"/>
        <w:left w:val="none" w:sz="0" w:space="0" w:color="auto"/>
        <w:bottom w:val="none" w:sz="0" w:space="0" w:color="auto"/>
        <w:right w:val="none" w:sz="0" w:space="0" w:color="auto"/>
      </w:divBdr>
      <w:divsChild>
        <w:div w:id="1772970254">
          <w:blockQuote w:val="1"/>
          <w:marLeft w:val="720"/>
          <w:marRight w:val="720"/>
          <w:marTop w:val="100"/>
          <w:marBottom w:val="100"/>
          <w:divBdr>
            <w:top w:val="none" w:sz="0" w:space="0" w:color="auto"/>
            <w:left w:val="none" w:sz="0" w:space="0" w:color="auto"/>
            <w:bottom w:val="none" w:sz="0" w:space="0" w:color="auto"/>
            <w:right w:val="none" w:sz="0" w:space="0" w:color="auto"/>
          </w:divBdr>
        </w:div>
        <w:div w:id="191627986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9673803">
          <w:blockQuote w:val="1"/>
          <w:marLeft w:val="720"/>
          <w:marRight w:val="720"/>
          <w:marTop w:val="100"/>
          <w:marBottom w:val="100"/>
          <w:divBdr>
            <w:top w:val="none" w:sz="0" w:space="0" w:color="auto"/>
            <w:left w:val="none" w:sz="0" w:space="0" w:color="auto"/>
            <w:bottom w:val="none" w:sz="0" w:space="0" w:color="auto"/>
            <w:right w:val="none" w:sz="0" w:space="0" w:color="auto"/>
          </w:divBdr>
        </w:div>
        <w:div w:id="39747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7816849">
      <w:bodyDiv w:val="1"/>
      <w:marLeft w:val="0"/>
      <w:marRight w:val="0"/>
      <w:marTop w:val="0"/>
      <w:marBottom w:val="0"/>
      <w:divBdr>
        <w:top w:val="none" w:sz="0" w:space="0" w:color="auto"/>
        <w:left w:val="none" w:sz="0" w:space="0" w:color="auto"/>
        <w:bottom w:val="none" w:sz="0" w:space="0" w:color="auto"/>
        <w:right w:val="none" w:sz="0" w:space="0" w:color="auto"/>
      </w:divBdr>
      <w:divsChild>
        <w:div w:id="204954994">
          <w:blockQuote w:val="1"/>
          <w:marLeft w:val="720"/>
          <w:marRight w:val="720"/>
          <w:marTop w:val="100"/>
          <w:marBottom w:val="100"/>
          <w:divBdr>
            <w:top w:val="none" w:sz="0" w:space="0" w:color="auto"/>
            <w:left w:val="none" w:sz="0" w:space="0" w:color="auto"/>
            <w:bottom w:val="none" w:sz="0" w:space="0" w:color="auto"/>
            <w:right w:val="none" w:sz="0" w:space="0" w:color="auto"/>
          </w:divBdr>
        </w:div>
        <w:div w:id="281692666">
          <w:blockQuote w:val="1"/>
          <w:marLeft w:val="720"/>
          <w:marRight w:val="720"/>
          <w:marTop w:val="100"/>
          <w:marBottom w:val="100"/>
          <w:divBdr>
            <w:top w:val="none" w:sz="0" w:space="0" w:color="auto"/>
            <w:left w:val="none" w:sz="0" w:space="0" w:color="auto"/>
            <w:bottom w:val="none" w:sz="0" w:space="0" w:color="auto"/>
            <w:right w:val="none" w:sz="0" w:space="0" w:color="auto"/>
          </w:divBdr>
        </w:div>
        <w:div w:id="654377874">
          <w:blockQuote w:val="1"/>
          <w:marLeft w:val="720"/>
          <w:marRight w:val="720"/>
          <w:marTop w:val="100"/>
          <w:marBottom w:val="100"/>
          <w:divBdr>
            <w:top w:val="none" w:sz="0" w:space="0" w:color="auto"/>
            <w:left w:val="none" w:sz="0" w:space="0" w:color="auto"/>
            <w:bottom w:val="none" w:sz="0" w:space="0" w:color="auto"/>
            <w:right w:val="none" w:sz="0" w:space="0" w:color="auto"/>
          </w:divBdr>
        </w:div>
        <w:div w:id="214320972">
          <w:blockQuote w:val="1"/>
          <w:marLeft w:val="720"/>
          <w:marRight w:val="720"/>
          <w:marTop w:val="100"/>
          <w:marBottom w:val="100"/>
          <w:divBdr>
            <w:top w:val="none" w:sz="0" w:space="0" w:color="auto"/>
            <w:left w:val="none" w:sz="0" w:space="0" w:color="auto"/>
            <w:bottom w:val="none" w:sz="0" w:space="0" w:color="auto"/>
            <w:right w:val="none" w:sz="0" w:space="0" w:color="auto"/>
          </w:divBdr>
        </w:div>
        <w:div w:id="14213677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4668571">
      <w:bodyDiv w:val="1"/>
      <w:marLeft w:val="0"/>
      <w:marRight w:val="0"/>
      <w:marTop w:val="0"/>
      <w:marBottom w:val="0"/>
      <w:divBdr>
        <w:top w:val="none" w:sz="0" w:space="0" w:color="auto"/>
        <w:left w:val="none" w:sz="0" w:space="0" w:color="auto"/>
        <w:bottom w:val="none" w:sz="0" w:space="0" w:color="auto"/>
        <w:right w:val="none" w:sz="0" w:space="0" w:color="auto"/>
      </w:divBdr>
      <w:divsChild>
        <w:div w:id="2145654392">
          <w:blockQuote w:val="1"/>
          <w:marLeft w:val="720"/>
          <w:marRight w:val="720"/>
          <w:marTop w:val="100"/>
          <w:marBottom w:val="100"/>
          <w:divBdr>
            <w:top w:val="none" w:sz="0" w:space="0" w:color="auto"/>
            <w:left w:val="none" w:sz="0" w:space="0" w:color="auto"/>
            <w:bottom w:val="none" w:sz="0" w:space="0" w:color="auto"/>
            <w:right w:val="none" w:sz="0" w:space="0" w:color="auto"/>
          </w:divBdr>
        </w:div>
        <w:div w:id="449587343">
          <w:blockQuote w:val="1"/>
          <w:marLeft w:val="720"/>
          <w:marRight w:val="720"/>
          <w:marTop w:val="100"/>
          <w:marBottom w:val="100"/>
          <w:divBdr>
            <w:top w:val="none" w:sz="0" w:space="0" w:color="auto"/>
            <w:left w:val="none" w:sz="0" w:space="0" w:color="auto"/>
            <w:bottom w:val="none" w:sz="0" w:space="0" w:color="auto"/>
            <w:right w:val="none" w:sz="0" w:space="0" w:color="auto"/>
          </w:divBdr>
        </w:div>
        <w:div w:id="444423726">
          <w:blockQuote w:val="1"/>
          <w:marLeft w:val="720"/>
          <w:marRight w:val="720"/>
          <w:marTop w:val="100"/>
          <w:marBottom w:val="100"/>
          <w:divBdr>
            <w:top w:val="none" w:sz="0" w:space="0" w:color="auto"/>
            <w:left w:val="none" w:sz="0" w:space="0" w:color="auto"/>
            <w:bottom w:val="none" w:sz="0" w:space="0" w:color="auto"/>
            <w:right w:val="none" w:sz="0" w:space="0" w:color="auto"/>
          </w:divBdr>
        </w:div>
        <w:div w:id="918639305">
          <w:blockQuote w:val="1"/>
          <w:marLeft w:val="720"/>
          <w:marRight w:val="720"/>
          <w:marTop w:val="100"/>
          <w:marBottom w:val="100"/>
          <w:divBdr>
            <w:top w:val="none" w:sz="0" w:space="0" w:color="auto"/>
            <w:left w:val="none" w:sz="0" w:space="0" w:color="auto"/>
            <w:bottom w:val="none" w:sz="0" w:space="0" w:color="auto"/>
            <w:right w:val="none" w:sz="0" w:space="0" w:color="auto"/>
          </w:divBdr>
        </w:div>
        <w:div w:id="3776286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4373727">
      <w:bodyDiv w:val="1"/>
      <w:marLeft w:val="0"/>
      <w:marRight w:val="0"/>
      <w:marTop w:val="0"/>
      <w:marBottom w:val="0"/>
      <w:divBdr>
        <w:top w:val="none" w:sz="0" w:space="0" w:color="auto"/>
        <w:left w:val="none" w:sz="0" w:space="0" w:color="auto"/>
        <w:bottom w:val="none" w:sz="0" w:space="0" w:color="auto"/>
        <w:right w:val="none" w:sz="0" w:space="0" w:color="auto"/>
      </w:divBdr>
      <w:divsChild>
        <w:div w:id="19103394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47883415">
          <w:blockQuote w:val="1"/>
          <w:marLeft w:val="720"/>
          <w:marRight w:val="720"/>
          <w:marTop w:val="100"/>
          <w:marBottom w:val="100"/>
          <w:divBdr>
            <w:top w:val="none" w:sz="0" w:space="0" w:color="auto"/>
            <w:left w:val="none" w:sz="0" w:space="0" w:color="auto"/>
            <w:bottom w:val="none" w:sz="0" w:space="0" w:color="auto"/>
            <w:right w:val="none" w:sz="0" w:space="0" w:color="auto"/>
          </w:divBdr>
        </w:div>
        <w:div w:id="1589850901">
          <w:blockQuote w:val="1"/>
          <w:marLeft w:val="720"/>
          <w:marRight w:val="720"/>
          <w:marTop w:val="100"/>
          <w:marBottom w:val="100"/>
          <w:divBdr>
            <w:top w:val="none" w:sz="0" w:space="0" w:color="auto"/>
            <w:left w:val="none" w:sz="0" w:space="0" w:color="auto"/>
            <w:bottom w:val="none" w:sz="0" w:space="0" w:color="auto"/>
            <w:right w:val="none" w:sz="0" w:space="0" w:color="auto"/>
          </w:divBdr>
        </w:div>
        <w:div w:id="10823361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3457183">
      <w:bodyDiv w:val="1"/>
      <w:marLeft w:val="0"/>
      <w:marRight w:val="0"/>
      <w:marTop w:val="0"/>
      <w:marBottom w:val="0"/>
      <w:divBdr>
        <w:top w:val="none" w:sz="0" w:space="0" w:color="auto"/>
        <w:left w:val="none" w:sz="0" w:space="0" w:color="auto"/>
        <w:bottom w:val="none" w:sz="0" w:space="0" w:color="auto"/>
        <w:right w:val="none" w:sz="0" w:space="0" w:color="auto"/>
      </w:divBdr>
      <w:divsChild>
        <w:div w:id="411784476">
          <w:marLeft w:val="0"/>
          <w:marRight w:val="0"/>
          <w:marTop w:val="0"/>
          <w:marBottom w:val="0"/>
          <w:divBdr>
            <w:top w:val="none" w:sz="0" w:space="0" w:color="auto"/>
            <w:left w:val="none" w:sz="0" w:space="0" w:color="auto"/>
            <w:bottom w:val="none" w:sz="0" w:space="0" w:color="auto"/>
            <w:right w:val="none" w:sz="0" w:space="0" w:color="auto"/>
          </w:divBdr>
          <w:divsChild>
            <w:div w:id="337004019">
              <w:blockQuote w:val="1"/>
              <w:marLeft w:val="720"/>
              <w:marRight w:val="720"/>
              <w:marTop w:val="100"/>
              <w:marBottom w:val="100"/>
              <w:divBdr>
                <w:top w:val="none" w:sz="0" w:space="0" w:color="auto"/>
                <w:left w:val="none" w:sz="0" w:space="0" w:color="auto"/>
                <w:bottom w:val="none" w:sz="0" w:space="0" w:color="auto"/>
                <w:right w:val="none" w:sz="0" w:space="0" w:color="auto"/>
              </w:divBdr>
            </w:div>
            <w:div w:id="373893520">
              <w:blockQuote w:val="1"/>
              <w:marLeft w:val="720"/>
              <w:marRight w:val="720"/>
              <w:marTop w:val="100"/>
              <w:marBottom w:val="100"/>
              <w:divBdr>
                <w:top w:val="none" w:sz="0" w:space="0" w:color="auto"/>
                <w:left w:val="none" w:sz="0" w:space="0" w:color="auto"/>
                <w:bottom w:val="none" w:sz="0" w:space="0" w:color="auto"/>
                <w:right w:val="none" w:sz="0" w:space="0" w:color="auto"/>
              </w:divBdr>
            </w:div>
            <w:div w:id="444235283">
              <w:blockQuote w:val="1"/>
              <w:marLeft w:val="720"/>
              <w:marRight w:val="720"/>
              <w:marTop w:val="100"/>
              <w:marBottom w:val="100"/>
              <w:divBdr>
                <w:top w:val="none" w:sz="0" w:space="0" w:color="auto"/>
                <w:left w:val="none" w:sz="0" w:space="0" w:color="auto"/>
                <w:bottom w:val="none" w:sz="0" w:space="0" w:color="auto"/>
                <w:right w:val="none" w:sz="0" w:space="0" w:color="auto"/>
              </w:divBdr>
            </w:div>
            <w:div w:id="1196776712">
              <w:blockQuote w:val="1"/>
              <w:marLeft w:val="720"/>
              <w:marRight w:val="720"/>
              <w:marTop w:val="100"/>
              <w:marBottom w:val="100"/>
              <w:divBdr>
                <w:top w:val="none" w:sz="0" w:space="0" w:color="auto"/>
                <w:left w:val="none" w:sz="0" w:space="0" w:color="auto"/>
                <w:bottom w:val="none" w:sz="0" w:space="0" w:color="auto"/>
                <w:right w:val="none" w:sz="0" w:space="0" w:color="auto"/>
              </w:divBdr>
            </w:div>
            <w:div w:id="362747955">
              <w:blockQuote w:val="1"/>
              <w:marLeft w:val="720"/>
              <w:marRight w:val="720"/>
              <w:marTop w:val="100"/>
              <w:marBottom w:val="100"/>
              <w:divBdr>
                <w:top w:val="none" w:sz="0" w:space="0" w:color="auto"/>
                <w:left w:val="none" w:sz="0" w:space="0" w:color="auto"/>
                <w:bottom w:val="none" w:sz="0" w:space="0" w:color="auto"/>
                <w:right w:val="none" w:sz="0" w:space="0" w:color="auto"/>
              </w:divBdr>
            </w:div>
            <w:div w:id="10404024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4661940">
              <w:blockQuote w:val="1"/>
              <w:marLeft w:val="720"/>
              <w:marRight w:val="720"/>
              <w:marTop w:val="100"/>
              <w:marBottom w:val="100"/>
              <w:divBdr>
                <w:top w:val="none" w:sz="0" w:space="0" w:color="auto"/>
                <w:left w:val="none" w:sz="0" w:space="0" w:color="auto"/>
                <w:bottom w:val="none" w:sz="0" w:space="0" w:color="auto"/>
                <w:right w:val="none" w:sz="0" w:space="0" w:color="auto"/>
              </w:divBdr>
            </w:div>
            <w:div w:id="1216623262">
              <w:blockQuote w:val="1"/>
              <w:marLeft w:val="720"/>
              <w:marRight w:val="720"/>
              <w:marTop w:val="100"/>
              <w:marBottom w:val="100"/>
              <w:divBdr>
                <w:top w:val="none" w:sz="0" w:space="0" w:color="auto"/>
                <w:left w:val="none" w:sz="0" w:space="0" w:color="auto"/>
                <w:bottom w:val="none" w:sz="0" w:space="0" w:color="auto"/>
                <w:right w:val="none" w:sz="0" w:space="0" w:color="auto"/>
              </w:divBdr>
            </w:div>
            <w:div w:id="103117676">
              <w:blockQuote w:val="1"/>
              <w:marLeft w:val="720"/>
              <w:marRight w:val="720"/>
              <w:marTop w:val="100"/>
              <w:marBottom w:val="100"/>
              <w:divBdr>
                <w:top w:val="none" w:sz="0" w:space="0" w:color="auto"/>
                <w:left w:val="none" w:sz="0" w:space="0" w:color="auto"/>
                <w:bottom w:val="none" w:sz="0" w:space="0" w:color="auto"/>
                <w:right w:val="none" w:sz="0" w:space="0" w:color="auto"/>
              </w:divBdr>
            </w:div>
            <w:div w:id="343897858">
              <w:blockQuote w:val="1"/>
              <w:marLeft w:val="720"/>
              <w:marRight w:val="720"/>
              <w:marTop w:val="100"/>
              <w:marBottom w:val="100"/>
              <w:divBdr>
                <w:top w:val="none" w:sz="0" w:space="0" w:color="auto"/>
                <w:left w:val="none" w:sz="0" w:space="0" w:color="auto"/>
                <w:bottom w:val="none" w:sz="0" w:space="0" w:color="auto"/>
                <w:right w:val="none" w:sz="0" w:space="0" w:color="auto"/>
              </w:divBdr>
            </w:div>
            <w:div w:id="990912358">
              <w:blockQuote w:val="1"/>
              <w:marLeft w:val="720"/>
              <w:marRight w:val="720"/>
              <w:marTop w:val="100"/>
              <w:marBottom w:val="100"/>
              <w:divBdr>
                <w:top w:val="none" w:sz="0" w:space="0" w:color="auto"/>
                <w:left w:val="none" w:sz="0" w:space="0" w:color="auto"/>
                <w:bottom w:val="none" w:sz="0" w:space="0" w:color="auto"/>
                <w:right w:val="none" w:sz="0" w:space="0" w:color="auto"/>
              </w:divBdr>
            </w:div>
            <w:div w:id="976228888">
              <w:blockQuote w:val="1"/>
              <w:marLeft w:val="720"/>
              <w:marRight w:val="720"/>
              <w:marTop w:val="100"/>
              <w:marBottom w:val="100"/>
              <w:divBdr>
                <w:top w:val="none" w:sz="0" w:space="0" w:color="auto"/>
                <w:left w:val="none" w:sz="0" w:space="0" w:color="auto"/>
                <w:bottom w:val="none" w:sz="0" w:space="0" w:color="auto"/>
                <w:right w:val="none" w:sz="0" w:space="0" w:color="auto"/>
              </w:divBdr>
            </w:div>
            <w:div w:id="787894562">
              <w:blockQuote w:val="1"/>
              <w:marLeft w:val="720"/>
              <w:marRight w:val="720"/>
              <w:marTop w:val="100"/>
              <w:marBottom w:val="100"/>
              <w:divBdr>
                <w:top w:val="none" w:sz="0" w:space="0" w:color="auto"/>
                <w:left w:val="none" w:sz="0" w:space="0" w:color="auto"/>
                <w:bottom w:val="none" w:sz="0" w:space="0" w:color="auto"/>
                <w:right w:val="none" w:sz="0" w:space="0" w:color="auto"/>
              </w:divBdr>
            </w:div>
            <w:div w:id="2057191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29397042">
      <w:bodyDiv w:val="1"/>
      <w:marLeft w:val="0"/>
      <w:marRight w:val="0"/>
      <w:marTop w:val="0"/>
      <w:marBottom w:val="0"/>
      <w:divBdr>
        <w:top w:val="none" w:sz="0" w:space="0" w:color="auto"/>
        <w:left w:val="none" w:sz="0" w:space="0" w:color="auto"/>
        <w:bottom w:val="none" w:sz="0" w:space="0" w:color="auto"/>
        <w:right w:val="none" w:sz="0" w:space="0" w:color="auto"/>
      </w:divBdr>
      <w:divsChild>
        <w:div w:id="1940327667">
          <w:blockQuote w:val="1"/>
          <w:marLeft w:val="720"/>
          <w:marRight w:val="720"/>
          <w:marTop w:val="100"/>
          <w:marBottom w:val="100"/>
          <w:divBdr>
            <w:top w:val="none" w:sz="0" w:space="0" w:color="auto"/>
            <w:left w:val="none" w:sz="0" w:space="0" w:color="auto"/>
            <w:bottom w:val="none" w:sz="0" w:space="0" w:color="auto"/>
            <w:right w:val="none" w:sz="0" w:space="0" w:color="auto"/>
          </w:divBdr>
        </w:div>
        <w:div w:id="1063799250">
          <w:blockQuote w:val="1"/>
          <w:marLeft w:val="720"/>
          <w:marRight w:val="720"/>
          <w:marTop w:val="100"/>
          <w:marBottom w:val="100"/>
          <w:divBdr>
            <w:top w:val="none" w:sz="0" w:space="0" w:color="auto"/>
            <w:left w:val="none" w:sz="0" w:space="0" w:color="auto"/>
            <w:bottom w:val="none" w:sz="0" w:space="0" w:color="auto"/>
            <w:right w:val="none" w:sz="0" w:space="0" w:color="auto"/>
          </w:divBdr>
        </w:div>
        <w:div w:id="232784213">
          <w:blockQuote w:val="1"/>
          <w:marLeft w:val="720"/>
          <w:marRight w:val="720"/>
          <w:marTop w:val="100"/>
          <w:marBottom w:val="100"/>
          <w:divBdr>
            <w:top w:val="none" w:sz="0" w:space="0" w:color="auto"/>
            <w:left w:val="none" w:sz="0" w:space="0" w:color="auto"/>
            <w:bottom w:val="none" w:sz="0" w:space="0" w:color="auto"/>
            <w:right w:val="none" w:sz="0" w:space="0" w:color="auto"/>
          </w:divBdr>
        </w:div>
        <w:div w:id="275842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5507225">
      <w:bodyDiv w:val="1"/>
      <w:marLeft w:val="0"/>
      <w:marRight w:val="0"/>
      <w:marTop w:val="0"/>
      <w:marBottom w:val="0"/>
      <w:divBdr>
        <w:top w:val="none" w:sz="0" w:space="0" w:color="auto"/>
        <w:left w:val="none" w:sz="0" w:space="0" w:color="auto"/>
        <w:bottom w:val="none" w:sz="0" w:space="0" w:color="auto"/>
        <w:right w:val="none" w:sz="0" w:space="0" w:color="auto"/>
      </w:divBdr>
      <w:divsChild>
        <w:div w:id="749500850">
          <w:marLeft w:val="0"/>
          <w:marRight w:val="0"/>
          <w:marTop w:val="0"/>
          <w:marBottom w:val="0"/>
          <w:divBdr>
            <w:top w:val="none" w:sz="0" w:space="0" w:color="auto"/>
            <w:left w:val="none" w:sz="0" w:space="0" w:color="auto"/>
            <w:bottom w:val="none" w:sz="0" w:space="0" w:color="auto"/>
            <w:right w:val="none" w:sz="0" w:space="0" w:color="auto"/>
          </w:divBdr>
          <w:divsChild>
            <w:div w:id="2085957033">
              <w:blockQuote w:val="1"/>
              <w:marLeft w:val="720"/>
              <w:marRight w:val="720"/>
              <w:marTop w:val="100"/>
              <w:marBottom w:val="100"/>
              <w:divBdr>
                <w:top w:val="none" w:sz="0" w:space="0" w:color="auto"/>
                <w:left w:val="none" w:sz="0" w:space="0" w:color="auto"/>
                <w:bottom w:val="none" w:sz="0" w:space="0" w:color="auto"/>
                <w:right w:val="none" w:sz="0" w:space="0" w:color="auto"/>
              </w:divBdr>
            </w:div>
            <w:div w:id="1178689241">
              <w:blockQuote w:val="1"/>
              <w:marLeft w:val="720"/>
              <w:marRight w:val="720"/>
              <w:marTop w:val="100"/>
              <w:marBottom w:val="100"/>
              <w:divBdr>
                <w:top w:val="none" w:sz="0" w:space="0" w:color="auto"/>
                <w:left w:val="none" w:sz="0" w:space="0" w:color="auto"/>
                <w:bottom w:val="none" w:sz="0" w:space="0" w:color="auto"/>
                <w:right w:val="none" w:sz="0" w:space="0" w:color="auto"/>
              </w:divBdr>
            </w:div>
            <w:div w:id="1142424040">
              <w:blockQuote w:val="1"/>
              <w:marLeft w:val="720"/>
              <w:marRight w:val="720"/>
              <w:marTop w:val="100"/>
              <w:marBottom w:val="100"/>
              <w:divBdr>
                <w:top w:val="none" w:sz="0" w:space="0" w:color="auto"/>
                <w:left w:val="none" w:sz="0" w:space="0" w:color="auto"/>
                <w:bottom w:val="none" w:sz="0" w:space="0" w:color="auto"/>
                <w:right w:val="none" w:sz="0" w:space="0" w:color="auto"/>
              </w:divBdr>
            </w:div>
            <w:div w:id="814491596">
              <w:blockQuote w:val="1"/>
              <w:marLeft w:val="720"/>
              <w:marRight w:val="720"/>
              <w:marTop w:val="100"/>
              <w:marBottom w:val="100"/>
              <w:divBdr>
                <w:top w:val="none" w:sz="0" w:space="0" w:color="auto"/>
                <w:left w:val="none" w:sz="0" w:space="0" w:color="auto"/>
                <w:bottom w:val="none" w:sz="0" w:space="0" w:color="auto"/>
                <w:right w:val="none" w:sz="0" w:space="0" w:color="auto"/>
              </w:divBdr>
            </w:div>
            <w:div w:id="1425105292">
              <w:blockQuote w:val="1"/>
              <w:marLeft w:val="720"/>
              <w:marRight w:val="720"/>
              <w:marTop w:val="100"/>
              <w:marBottom w:val="100"/>
              <w:divBdr>
                <w:top w:val="none" w:sz="0" w:space="0" w:color="auto"/>
                <w:left w:val="none" w:sz="0" w:space="0" w:color="auto"/>
                <w:bottom w:val="none" w:sz="0" w:space="0" w:color="auto"/>
                <w:right w:val="none" w:sz="0" w:space="0" w:color="auto"/>
              </w:divBdr>
            </w:div>
            <w:div w:id="606079666">
              <w:blockQuote w:val="1"/>
              <w:marLeft w:val="720"/>
              <w:marRight w:val="720"/>
              <w:marTop w:val="100"/>
              <w:marBottom w:val="100"/>
              <w:divBdr>
                <w:top w:val="none" w:sz="0" w:space="0" w:color="auto"/>
                <w:left w:val="none" w:sz="0" w:space="0" w:color="auto"/>
                <w:bottom w:val="none" w:sz="0" w:space="0" w:color="auto"/>
                <w:right w:val="none" w:sz="0" w:space="0" w:color="auto"/>
              </w:divBdr>
            </w:div>
            <w:div w:id="484708856">
              <w:blockQuote w:val="1"/>
              <w:marLeft w:val="720"/>
              <w:marRight w:val="720"/>
              <w:marTop w:val="100"/>
              <w:marBottom w:val="100"/>
              <w:divBdr>
                <w:top w:val="none" w:sz="0" w:space="0" w:color="auto"/>
                <w:left w:val="none" w:sz="0" w:space="0" w:color="auto"/>
                <w:bottom w:val="none" w:sz="0" w:space="0" w:color="auto"/>
                <w:right w:val="none" w:sz="0" w:space="0" w:color="auto"/>
              </w:divBdr>
            </w:div>
            <w:div w:id="18399256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53203227">
      <w:bodyDiv w:val="1"/>
      <w:marLeft w:val="0"/>
      <w:marRight w:val="0"/>
      <w:marTop w:val="0"/>
      <w:marBottom w:val="0"/>
      <w:divBdr>
        <w:top w:val="none" w:sz="0" w:space="0" w:color="auto"/>
        <w:left w:val="none" w:sz="0" w:space="0" w:color="auto"/>
        <w:bottom w:val="none" w:sz="0" w:space="0" w:color="auto"/>
        <w:right w:val="none" w:sz="0" w:space="0" w:color="auto"/>
      </w:divBdr>
      <w:divsChild>
        <w:div w:id="298000724">
          <w:blockQuote w:val="1"/>
          <w:marLeft w:val="720"/>
          <w:marRight w:val="720"/>
          <w:marTop w:val="100"/>
          <w:marBottom w:val="100"/>
          <w:divBdr>
            <w:top w:val="none" w:sz="0" w:space="0" w:color="auto"/>
            <w:left w:val="none" w:sz="0" w:space="0" w:color="auto"/>
            <w:bottom w:val="none" w:sz="0" w:space="0" w:color="auto"/>
            <w:right w:val="none" w:sz="0" w:space="0" w:color="auto"/>
          </w:divBdr>
        </w:div>
        <w:div w:id="616450612">
          <w:blockQuote w:val="1"/>
          <w:marLeft w:val="720"/>
          <w:marRight w:val="720"/>
          <w:marTop w:val="100"/>
          <w:marBottom w:val="100"/>
          <w:divBdr>
            <w:top w:val="none" w:sz="0" w:space="0" w:color="auto"/>
            <w:left w:val="none" w:sz="0" w:space="0" w:color="auto"/>
            <w:bottom w:val="none" w:sz="0" w:space="0" w:color="auto"/>
            <w:right w:val="none" w:sz="0" w:space="0" w:color="auto"/>
          </w:divBdr>
        </w:div>
        <w:div w:id="1258825706">
          <w:blockQuote w:val="1"/>
          <w:marLeft w:val="720"/>
          <w:marRight w:val="720"/>
          <w:marTop w:val="100"/>
          <w:marBottom w:val="100"/>
          <w:divBdr>
            <w:top w:val="none" w:sz="0" w:space="0" w:color="auto"/>
            <w:left w:val="none" w:sz="0" w:space="0" w:color="auto"/>
            <w:bottom w:val="none" w:sz="0" w:space="0" w:color="auto"/>
            <w:right w:val="none" w:sz="0" w:space="0" w:color="auto"/>
          </w:divBdr>
        </w:div>
        <w:div w:id="1468744700">
          <w:blockQuote w:val="1"/>
          <w:marLeft w:val="720"/>
          <w:marRight w:val="720"/>
          <w:marTop w:val="100"/>
          <w:marBottom w:val="100"/>
          <w:divBdr>
            <w:top w:val="none" w:sz="0" w:space="0" w:color="auto"/>
            <w:left w:val="none" w:sz="0" w:space="0" w:color="auto"/>
            <w:bottom w:val="none" w:sz="0" w:space="0" w:color="auto"/>
            <w:right w:val="none" w:sz="0" w:space="0" w:color="auto"/>
          </w:divBdr>
        </w:div>
        <w:div w:id="6612781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6305629">
      <w:bodyDiv w:val="1"/>
      <w:marLeft w:val="0"/>
      <w:marRight w:val="0"/>
      <w:marTop w:val="0"/>
      <w:marBottom w:val="0"/>
      <w:divBdr>
        <w:top w:val="none" w:sz="0" w:space="0" w:color="auto"/>
        <w:left w:val="none" w:sz="0" w:space="0" w:color="auto"/>
        <w:bottom w:val="none" w:sz="0" w:space="0" w:color="auto"/>
        <w:right w:val="none" w:sz="0" w:space="0" w:color="auto"/>
      </w:divBdr>
      <w:divsChild>
        <w:div w:id="1398867410">
          <w:marLeft w:val="0"/>
          <w:marRight w:val="0"/>
          <w:marTop w:val="0"/>
          <w:marBottom w:val="0"/>
          <w:divBdr>
            <w:top w:val="none" w:sz="0" w:space="0" w:color="auto"/>
            <w:left w:val="none" w:sz="0" w:space="0" w:color="auto"/>
            <w:bottom w:val="none" w:sz="0" w:space="0" w:color="auto"/>
            <w:right w:val="none" w:sz="0" w:space="0" w:color="auto"/>
          </w:divBdr>
          <w:divsChild>
            <w:div w:id="199904980">
              <w:blockQuote w:val="1"/>
              <w:marLeft w:val="720"/>
              <w:marRight w:val="720"/>
              <w:marTop w:val="100"/>
              <w:marBottom w:val="100"/>
              <w:divBdr>
                <w:top w:val="none" w:sz="0" w:space="0" w:color="auto"/>
                <w:left w:val="none" w:sz="0" w:space="0" w:color="auto"/>
                <w:bottom w:val="none" w:sz="0" w:space="0" w:color="auto"/>
                <w:right w:val="none" w:sz="0" w:space="0" w:color="auto"/>
              </w:divBdr>
            </w:div>
            <w:div w:id="774447675">
              <w:blockQuote w:val="1"/>
              <w:marLeft w:val="720"/>
              <w:marRight w:val="720"/>
              <w:marTop w:val="100"/>
              <w:marBottom w:val="100"/>
              <w:divBdr>
                <w:top w:val="none" w:sz="0" w:space="0" w:color="auto"/>
                <w:left w:val="none" w:sz="0" w:space="0" w:color="auto"/>
                <w:bottom w:val="none" w:sz="0" w:space="0" w:color="auto"/>
                <w:right w:val="none" w:sz="0" w:space="0" w:color="auto"/>
              </w:divBdr>
            </w:div>
            <w:div w:id="823012309">
              <w:blockQuote w:val="1"/>
              <w:marLeft w:val="720"/>
              <w:marRight w:val="720"/>
              <w:marTop w:val="100"/>
              <w:marBottom w:val="100"/>
              <w:divBdr>
                <w:top w:val="none" w:sz="0" w:space="0" w:color="auto"/>
                <w:left w:val="none" w:sz="0" w:space="0" w:color="auto"/>
                <w:bottom w:val="none" w:sz="0" w:space="0" w:color="auto"/>
                <w:right w:val="none" w:sz="0" w:space="0" w:color="auto"/>
              </w:divBdr>
            </w:div>
            <w:div w:id="390542963">
              <w:blockQuote w:val="1"/>
              <w:marLeft w:val="720"/>
              <w:marRight w:val="720"/>
              <w:marTop w:val="100"/>
              <w:marBottom w:val="100"/>
              <w:divBdr>
                <w:top w:val="none" w:sz="0" w:space="0" w:color="auto"/>
                <w:left w:val="none" w:sz="0" w:space="0" w:color="auto"/>
                <w:bottom w:val="none" w:sz="0" w:space="0" w:color="auto"/>
                <w:right w:val="none" w:sz="0" w:space="0" w:color="auto"/>
              </w:divBdr>
            </w:div>
            <w:div w:id="42221529">
              <w:blockQuote w:val="1"/>
              <w:marLeft w:val="720"/>
              <w:marRight w:val="720"/>
              <w:marTop w:val="100"/>
              <w:marBottom w:val="100"/>
              <w:divBdr>
                <w:top w:val="none" w:sz="0" w:space="0" w:color="auto"/>
                <w:left w:val="none" w:sz="0" w:space="0" w:color="auto"/>
                <w:bottom w:val="none" w:sz="0" w:space="0" w:color="auto"/>
                <w:right w:val="none" w:sz="0" w:space="0" w:color="auto"/>
              </w:divBdr>
            </w:div>
            <w:div w:id="1265187725">
              <w:blockQuote w:val="1"/>
              <w:marLeft w:val="720"/>
              <w:marRight w:val="720"/>
              <w:marTop w:val="100"/>
              <w:marBottom w:val="100"/>
              <w:divBdr>
                <w:top w:val="none" w:sz="0" w:space="0" w:color="auto"/>
                <w:left w:val="none" w:sz="0" w:space="0" w:color="auto"/>
                <w:bottom w:val="none" w:sz="0" w:space="0" w:color="auto"/>
                <w:right w:val="none" w:sz="0" w:space="0" w:color="auto"/>
              </w:divBdr>
            </w:div>
            <w:div w:id="1660572876">
              <w:blockQuote w:val="1"/>
              <w:marLeft w:val="720"/>
              <w:marRight w:val="720"/>
              <w:marTop w:val="100"/>
              <w:marBottom w:val="100"/>
              <w:divBdr>
                <w:top w:val="none" w:sz="0" w:space="0" w:color="auto"/>
                <w:left w:val="none" w:sz="0" w:space="0" w:color="auto"/>
                <w:bottom w:val="none" w:sz="0" w:space="0" w:color="auto"/>
                <w:right w:val="none" w:sz="0" w:space="0" w:color="auto"/>
              </w:divBdr>
            </w:div>
            <w:div w:id="1780644088">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633511">
              <w:blockQuote w:val="1"/>
              <w:marLeft w:val="720"/>
              <w:marRight w:val="720"/>
              <w:marTop w:val="100"/>
              <w:marBottom w:val="100"/>
              <w:divBdr>
                <w:top w:val="none" w:sz="0" w:space="0" w:color="auto"/>
                <w:left w:val="none" w:sz="0" w:space="0" w:color="auto"/>
                <w:bottom w:val="none" w:sz="0" w:space="0" w:color="auto"/>
                <w:right w:val="none" w:sz="0" w:space="0" w:color="auto"/>
              </w:divBdr>
            </w:div>
            <w:div w:id="6743105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68580539">
      <w:bodyDiv w:val="1"/>
      <w:marLeft w:val="0"/>
      <w:marRight w:val="0"/>
      <w:marTop w:val="0"/>
      <w:marBottom w:val="0"/>
      <w:divBdr>
        <w:top w:val="none" w:sz="0" w:space="0" w:color="auto"/>
        <w:left w:val="none" w:sz="0" w:space="0" w:color="auto"/>
        <w:bottom w:val="none" w:sz="0" w:space="0" w:color="auto"/>
        <w:right w:val="none" w:sz="0" w:space="0" w:color="auto"/>
      </w:divBdr>
      <w:divsChild>
        <w:div w:id="476839961">
          <w:blockQuote w:val="1"/>
          <w:marLeft w:val="720"/>
          <w:marRight w:val="720"/>
          <w:marTop w:val="100"/>
          <w:marBottom w:val="100"/>
          <w:divBdr>
            <w:top w:val="none" w:sz="0" w:space="0" w:color="auto"/>
            <w:left w:val="none" w:sz="0" w:space="0" w:color="auto"/>
            <w:bottom w:val="none" w:sz="0" w:space="0" w:color="auto"/>
            <w:right w:val="none" w:sz="0" w:space="0" w:color="auto"/>
          </w:divBdr>
        </w:div>
        <w:div w:id="1340234765">
          <w:blockQuote w:val="1"/>
          <w:marLeft w:val="720"/>
          <w:marRight w:val="720"/>
          <w:marTop w:val="100"/>
          <w:marBottom w:val="100"/>
          <w:divBdr>
            <w:top w:val="none" w:sz="0" w:space="0" w:color="auto"/>
            <w:left w:val="none" w:sz="0" w:space="0" w:color="auto"/>
            <w:bottom w:val="none" w:sz="0" w:space="0" w:color="auto"/>
            <w:right w:val="none" w:sz="0" w:space="0" w:color="auto"/>
          </w:divBdr>
        </w:div>
        <w:div w:id="197739925">
          <w:blockQuote w:val="1"/>
          <w:marLeft w:val="720"/>
          <w:marRight w:val="720"/>
          <w:marTop w:val="100"/>
          <w:marBottom w:val="100"/>
          <w:divBdr>
            <w:top w:val="none" w:sz="0" w:space="0" w:color="auto"/>
            <w:left w:val="none" w:sz="0" w:space="0" w:color="auto"/>
            <w:bottom w:val="none" w:sz="0" w:space="0" w:color="auto"/>
            <w:right w:val="none" w:sz="0" w:space="0" w:color="auto"/>
          </w:divBdr>
        </w:div>
        <w:div w:id="315426126">
          <w:blockQuote w:val="1"/>
          <w:marLeft w:val="720"/>
          <w:marRight w:val="720"/>
          <w:marTop w:val="100"/>
          <w:marBottom w:val="100"/>
          <w:divBdr>
            <w:top w:val="none" w:sz="0" w:space="0" w:color="auto"/>
            <w:left w:val="none" w:sz="0" w:space="0" w:color="auto"/>
            <w:bottom w:val="none" w:sz="0" w:space="0" w:color="auto"/>
            <w:right w:val="none" w:sz="0" w:space="0" w:color="auto"/>
          </w:divBdr>
        </w:div>
        <w:div w:id="3175410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2206055">
      <w:bodyDiv w:val="1"/>
      <w:marLeft w:val="0"/>
      <w:marRight w:val="0"/>
      <w:marTop w:val="0"/>
      <w:marBottom w:val="0"/>
      <w:divBdr>
        <w:top w:val="none" w:sz="0" w:space="0" w:color="auto"/>
        <w:left w:val="none" w:sz="0" w:space="0" w:color="auto"/>
        <w:bottom w:val="none" w:sz="0" w:space="0" w:color="auto"/>
        <w:right w:val="none" w:sz="0" w:space="0" w:color="auto"/>
      </w:divBdr>
      <w:divsChild>
        <w:div w:id="1496606662">
          <w:marLeft w:val="0"/>
          <w:marRight w:val="0"/>
          <w:marTop w:val="0"/>
          <w:marBottom w:val="0"/>
          <w:divBdr>
            <w:top w:val="none" w:sz="0" w:space="0" w:color="auto"/>
            <w:left w:val="none" w:sz="0" w:space="0" w:color="auto"/>
            <w:bottom w:val="none" w:sz="0" w:space="0" w:color="auto"/>
            <w:right w:val="none" w:sz="0" w:space="0" w:color="auto"/>
          </w:divBdr>
          <w:divsChild>
            <w:div w:id="327369701">
              <w:blockQuote w:val="1"/>
              <w:marLeft w:val="720"/>
              <w:marRight w:val="720"/>
              <w:marTop w:val="100"/>
              <w:marBottom w:val="100"/>
              <w:divBdr>
                <w:top w:val="none" w:sz="0" w:space="0" w:color="auto"/>
                <w:left w:val="none" w:sz="0" w:space="0" w:color="auto"/>
                <w:bottom w:val="none" w:sz="0" w:space="0" w:color="auto"/>
                <w:right w:val="none" w:sz="0" w:space="0" w:color="auto"/>
              </w:divBdr>
            </w:div>
            <w:div w:id="1451245386">
              <w:blockQuote w:val="1"/>
              <w:marLeft w:val="720"/>
              <w:marRight w:val="720"/>
              <w:marTop w:val="100"/>
              <w:marBottom w:val="100"/>
              <w:divBdr>
                <w:top w:val="none" w:sz="0" w:space="0" w:color="auto"/>
                <w:left w:val="none" w:sz="0" w:space="0" w:color="auto"/>
                <w:bottom w:val="none" w:sz="0" w:space="0" w:color="auto"/>
                <w:right w:val="none" w:sz="0" w:space="0" w:color="auto"/>
              </w:divBdr>
            </w:div>
            <w:div w:id="237446072">
              <w:blockQuote w:val="1"/>
              <w:marLeft w:val="720"/>
              <w:marRight w:val="720"/>
              <w:marTop w:val="100"/>
              <w:marBottom w:val="100"/>
              <w:divBdr>
                <w:top w:val="none" w:sz="0" w:space="0" w:color="auto"/>
                <w:left w:val="none" w:sz="0" w:space="0" w:color="auto"/>
                <w:bottom w:val="none" w:sz="0" w:space="0" w:color="auto"/>
                <w:right w:val="none" w:sz="0" w:space="0" w:color="auto"/>
              </w:divBdr>
            </w:div>
            <w:div w:id="12895110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01809206">
      <w:bodyDiv w:val="1"/>
      <w:marLeft w:val="0"/>
      <w:marRight w:val="0"/>
      <w:marTop w:val="0"/>
      <w:marBottom w:val="0"/>
      <w:divBdr>
        <w:top w:val="none" w:sz="0" w:space="0" w:color="auto"/>
        <w:left w:val="none" w:sz="0" w:space="0" w:color="auto"/>
        <w:bottom w:val="none" w:sz="0" w:space="0" w:color="auto"/>
        <w:right w:val="none" w:sz="0" w:space="0" w:color="auto"/>
      </w:divBdr>
      <w:divsChild>
        <w:div w:id="1306544428">
          <w:blockQuote w:val="1"/>
          <w:marLeft w:val="720"/>
          <w:marRight w:val="720"/>
          <w:marTop w:val="100"/>
          <w:marBottom w:val="100"/>
          <w:divBdr>
            <w:top w:val="none" w:sz="0" w:space="0" w:color="auto"/>
            <w:left w:val="none" w:sz="0" w:space="0" w:color="auto"/>
            <w:bottom w:val="none" w:sz="0" w:space="0" w:color="auto"/>
            <w:right w:val="none" w:sz="0" w:space="0" w:color="auto"/>
          </w:divBdr>
        </w:div>
        <w:div w:id="882405097">
          <w:blockQuote w:val="1"/>
          <w:marLeft w:val="720"/>
          <w:marRight w:val="720"/>
          <w:marTop w:val="100"/>
          <w:marBottom w:val="100"/>
          <w:divBdr>
            <w:top w:val="none" w:sz="0" w:space="0" w:color="auto"/>
            <w:left w:val="none" w:sz="0" w:space="0" w:color="auto"/>
            <w:bottom w:val="none" w:sz="0" w:space="0" w:color="auto"/>
            <w:right w:val="none" w:sz="0" w:space="0" w:color="auto"/>
          </w:divBdr>
        </w:div>
        <w:div w:id="176384707">
          <w:blockQuote w:val="1"/>
          <w:marLeft w:val="720"/>
          <w:marRight w:val="720"/>
          <w:marTop w:val="100"/>
          <w:marBottom w:val="100"/>
          <w:divBdr>
            <w:top w:val="none" w:sz="0" w:space="0" w:color="auto"/>
            <w:left w:val="none" w:sz="0" w:space="0" w:color="auto"/>
            <w:bottom w:val="none" w:sz="0" w:space="0" w:color="auto"/>
            <w:right w:val="none" w:sz="0" w:space="0" w:color="auto"/>
          </w:divBdr>
        </w:div>
        <w:div w:id="1516648575">
          <w:blockQuote w:val="1"/>
          <w:marLeft w:val="720"/>
          <w:marRight w:val="720"/>
          <w:marTop w:val="100"/>
          <w:marBottom w:val="100"/>
          <w:divBdr>
            <w:top w:val="none" w:sz="0" w:space="0" w:color="auto"/>
            <w:left w:val="none" w:sz="0" w:space="0" w:color="auto"/>
            <w:bottom w:val="none" w:sz="0" w:space="0" w:color="auto"/>
            <w:right w:val="none" w:sz="0" w:space="0" w:color="auto"/>
          </w:divBdr>
        </w:div>
        <w:div w:id="106488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8987499">
      <w:bodyDiv w:val="1"/>
      <w:marLeft w:val="0"/>
      <w:marRight w:val="0"/>
      <w:marTop w:val="0"/>
      <w:marBottom w:val="0"/>
      <w:divBdr>
        <w:top w:val="none" w:sz="0" w:space="0" w:color="auto"/>
        <w:left w:val="none" w:sz="0" w:space="0" w:color="auto"/>
        <w:bottom w:val="none" w:sz="0" w:space="0" w:color="auto"/>
        <w:right w:val="none" w:sz="0" w:space="0" w:color="auto"/>
      </w:divBdr>
      <w:divsChild>
        <w:div w:id="750079567">
          <w:marLeft w:val="0"/>
          <w:marRight w:val="0"/>
          <w:marTop w:val="0"/>
          <w:marBottom w:val="0"/>
          <w:divBdr>
            <w:top w:val="none" w:sz="0" w:space="0" w:color="auto"/>
            <w:left w:val="none" w:sz="0" w:space="0" w:color="auto"/>
            <w:bottom w:val="none" w:sz="0" w:space="0" w:color="auto"/>
            <w:right w:val="none" w:sz="0" w:space="0" w:color="auto"/>
          </w:divBdr>
          <w:divsChild>
            <w:div w:id="921371621">
              <w:blockQuote w:val="1"/>
              <w:marLeft w:val="720"/>
              <w:marRight w:val="720"/>
              <w:marTop w:val="100"/>
              <w:marBottom w:val="100"/>
              <w:divBdr>
                <w:top w:val="none" w:sz="0" w:space="0" w:color="auto"/>
                <w:left w:val="none" w:sz="0" w:space="0" w:color="auto"/>
                <w:bottom w:val="none" w:sz="0" w:space="0" w:color="auto"/>
                <w:right w:val="none" w:sz="0" w:space="0" w:color="auto"/>
              </w:divBdr>
            </w:div>
            <w:div w:id="1776822137">
              <w:blockQuote w:val="1"/>
              <w:marLeft w:val="720"/>
              <w:marRight w:val="720"/>
              <w:marTop w:val="100"/>
              <w:marBottom w:val="100"/>
              <w:divBdr>
                <w:top w:val="none" w:sz="0" w:space="0" w:color="auto"/>
                <w:left w:val="none" w:sz="0" w:space="0" w:color="auto"/>
                <w:bottom w:val="none" w:sz="0" w:space="0" w:color="auto"/>
                <w:right w:val="none" w:sz="0" w:space="0" w:color="auto"/>
              </w:divBdr>
            </w:div>
            <w:div w:id="1559897690">
              <w:blockQuote w:val="1"/>
              <w:marLeft w:val="720"/>
              <w:marRight w:val="720"/>
              <w:marTop w:val="100"/>
              <w:marBottom w:val="100"/>
              <w:divBdr>
                <w:top w:val="none" w:sz="0" w:space="0" w:color="auto"/>
                <w:left w:val="none" w:sz="0" w:space="0" w:color="auto"/>
                <w:bottom w:val="none" w:sz="0" w:space="0" w:color="auto"/>
                <w:right w:val="none" w:sz="0" w:space="0" w:color="auto"/>
              </w:divBdr>
            </w:div>
            <w:div w:id="1467165697">
              <w:blockQuote w:val="1"/>
              <w:marLeft w:val="720"/>
              <w:marRight w:val="720"/>
              <w:marTop w:val="100"/>
              <w:marBottom w:val="100"/>
              <w:divBdr>
                <w:top w:val="none" w:sz="0" w:space="0" w:color="auto"/>
                <w:left w:val="none" w:sz="0" w:space="0" w:color="auto"/>
                <w:bottom w:val="none" w:sz="0" w:space="0" w:color="auto"/>
                <w:right w:val="none" w:sz="0" w:space="0" w:color="auto"/>
              </w:divBdr>
            </w:div>
            <w:div w:id="717166454">
              <w:blockQuote w:val="1"/>
              <w:marLeft w:val="720"/>
              <w:marRight w:val="720"/>
              <w:marTop w:val="100"/>
              <w:marBottom w:val="100"/>
              <w:divBdr>
                <w:top w:val="none" w:sz="0" w:space="0" w:color="auto"/>
                <w:left w:val="none" w:sz="0" w:space="0" w:color="auto"/>
                <w:bottom w:val="none" w:sz="0" w:space="0" w:color="auto"/>
                <w:right w:val="none" w:sz="0" w:space="0" w:color="auto"/>
              </w:divBdr>
            </w:div>
            <w:div w:id="616801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63618394">
              <w:blockQuote w:val="1"/>
              <w:marLeft w:val="720"/>
              <w:marRight w:val="720"/>
              <w:marTop w:val="100"/>
              <w:marBottom w:val="100"/>
              <w:divBdr>
                <w:top w:val="none" w:sz="0" w:space="0" w:color="auto"/>
                <w:left w:val="none" w:sz="0" w:space="0" w:color="auto"/>
                <w:bottom w:val="none" w:sz="0" w:space="0" w:color="auto"/>
                <w:right w:val="none" w:sz="0" w:space="0" w:color="auto"/>
              </w:divBdr>
            </w:div>
            <w:div w:id="13574982">
              <w:blockQuote w:val="1"/>
              <w:marLeft w:val="720"/>
              <w:marRight w:val="720"/>
              <w:marTop w:val="100"/>
              <w:marBottom w:val="100"/>
              <w:divBdr>
                <w:top w:val="none" w:sz="0" w:space="0" w:color="auto"/>
                <w:left w:val="none" w:sz="0" w:space="0" w:color="auto"/>
                <w:bottom w:val="none" w:sz="0" w:space="0" w:color="auto"/>
                <w:right w:val="none" w:sz="0" w:space="0" w:color="auto"/>
              </w:divBdr>
            </w:div>
            <w:div w:id="119924497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080733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69403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22263612">
      <w:bodyDiv w:val="1"/>
      <w:marLeft w:val="0"/>
      <w:marRight w:val="0"/>
      <w:marTop w:val="0"/>
      <w:marBottom w:val="0"/>
      <w:divBdr>
        <w:top w:val="none" w:sz="0" w:space="0" w:color="auto"/>
        <w:left w:val="none" w:sz="0" w:space="0" w:color="auto"/>
        <w:bottom w:val="none" w:sz="0" w:space="0" w:color="auto"/>
        <w:right w:val="none" w:sz="0" w:space="0" w:color="auto"/>
      </w:divBdr>
      <w:divsChild>
        <w:div w:id="1150947931">
          <w:blockQuote w:val="1"/>
          <w:marLeft w:val="720"/>
          <w:marRight w:val="720"/>
          <w:marTop w:val="100"/>
          <w:marBottom w:val="100"/>
          <w:divBdr>
            <w:top w:val="none" w:sz="0" w:space="0" w:color="auto"/>
            <w:left w:val="none" w:sz="0" w:space="0" w:color="auto"/>
            <w:bottom w:val="none" w:sz="0" w:space="0" w:color="auto"/>
            <w:right w:val="none" w:sz="0" w:space="0" w:color="auto"/>
          </w:divBdr>
        </w:div>
        <w:div w:id="1090732141">
          <w:blockQuote w:val="1"/>
          <w:marLeft w:val="720"/>
          <w:marRight w:val="720"/>
          <w:marTop w:val="100"/>
          <w:marBottom w:val="100"/>
          <w:divBdr>
            <w:top w:val="none" w:sz="0" w:space="0" w:color="auto"/>
            <w:left w:val="none" w:sz="0" w:space="0" w:color="auto"/>
            <w:bottom w:val="none" w:sz="0" w:space="0" w:color="auto"/>
            <w:right w:val="none" w:sz="0" w:space="0" w:color="auto"/>
          </w:divBdr>
        </w:div>
        <w:div w:id="519319998">
          <w:blockQuote w:val="1"/>
          <w:marLeft w:val="720"/>
          <w:marRight w:val="720"/>
          <w:marTop w:val="100"/>
          <w:marBottom w:val="100"/>
          <w:divBdr>
            <w:top w:val="none" w:sz="0" w:space="0" w:color="auto"/>
            <w:left w:val="none" w:sz="0" w:space="0" w:color="auto"/>
            <w:bottom w:val="none" w:sz="0" w:space="0" w:color="auto"/>
            <w:right w:val="none" w:sz="0" w:space="0" w:color="auto"/>
          </w:divBdr>
        </w:div>
        <w:div w:id="12615997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4523905">
      <w:bodyDiv w:val="1"/>
      <w:marLeft w:val="0"/>
      <w:marRight w:val="0"/>
      <w:marTop w:val="0"/>
      <w:marBottom w:val="0"/>
      <w:divBdr>
        <w:top w:val="none" w:sz="0" w:space="0" w:color="auto"/>
        <w:left w:val="none" w:sz="0" w:space="0" w:color="auto"/>
        <w:bottom w:val="none" w:sz="0" w:space="0" w:color="auto"/>
        <w:right w:val="none" w:sz="0" w:space="0" w:color="auto"/>
      </w:divBdr>
      <w:divsChild>
        <w:div w:id="733623174">
          <w:blockQuote w:val="1"/>
          <w:marLeft w:val="720"/>
          <w:marRight w:val="720"/>
          <w:marTop w:val="100"/>
          <w:marBottom w:val="100"/>
          <w:divBdr>
            <w:top w:val="none" w:sz="0" w:space="0" w:color="auto"/>
            <w:left w:val="none" w:sz="0" w:space="0" w:color="auto"/>
            <w:bottom w:val="none" w:sz="0" w:space="0" w:color="auto"/>
            <w:right w:val="none" w:sz="0" w:space="0" w:color="auto"/>
          </w:divBdr>
        </w:div>
        <w:div w:id="1051659440">
          <w:blockQuote w:val="1"/>
          <w:marLeft w:val="720"/>
          <w:marRight w:val="720"/>
          <w:marTop w:val="100"/>
          <w:marBottom w:val="100"/>
          <w:divBdr>
            <w:top w:val="none" w:sz="0" w:space="0" w:color="auto"/>
            <w:left w:val="none" w:sz="0" w:space="0" w:color="auto"/>
            <w:bottom w:val="none" w:sz="0" w:space="0" w:color="auto"/>
            <w:right w:val="none" w:sz="0" w:space="0" w:color="auto"/>
          </w:divBdr>
        </w:div>
        <w:div w:id="1127356271">
          <w:blockQuote w:val="1"/>
          <w:marLeft w:val="720"/>
          <w:marRight w:val="720"/>
          <w:marTop w:val="100"/>
          <w:marBottom w:val="100"/>
          <w:divBdr>
            <w:top w:val="none" w:sz="0" w:space="0" w:color="auto"/>
            <w:left w:val="none" w:sz="0" w:space="0" w:color="auto"/>
            <w:bottom w:val="none" w:sz="0" w:space="0" w:color="auto"/>
            <w:right w:val="none" w:sz="0" w:space="0" w:color="auto"/>
          </w:divBdr>
        </w:div>
        <w:div w:id="65761219">
          <w:blockQuote w:val="1"/>
          <w:marLeft w:val="720"/>
          <w:marRight w:val="720"/>
          <w:marTop w:val="100"/>
          <w:marBottom w:val="100"/>
          <w:divBdr>
            <w:top w:val="none" w:sz="0" w:space="0" w:color="auto"/>
            <w:left w:val="none" w:sz="0" w:space="0" w:color="auto"/>
            <w:bottom w:val="none" w:sz="0" w:space="0" w:color="auto"/>
            <w:right w:val="none" w:sz="0" w:space="0" w:color="auto"/>
          </w:divBdr>
        </w:div>
        <w:div w:id="726564229">
          <w:blockQuote w:val="1"/>
          <w:marLeft w:val="720"/>
          <w:marRight w:val="720"/>
          <w:marTop w:val="100"/>
          <w:marBottom w:val="100"/>
          <w:divBdr>
            <w:top w:val="none" w:sz="0" w:space="0" w:color="auto"/>
            <w:left w:val="none" w:sz="0" w:space="0" w:color="auto"/>
            <w:bottom w:val="none" w:sz="0" w:space="0" w:color="auto"/>
            <w:right w:val="none" w:sz="0" w:space="0" w:color="auto"/>
          </w:divBdr>
        </w:div>
        <w:div w:id="1517229605">
          <w:blockQuote w:val="1"/>
          <w:marLeft w:val="720"/>
          <w:marRight w:val="720"/>
          <w:marTop w:val="100"/>
          <w:marBottom w:val="100"/>
          <w:divBdr>
            <w:top w:val="none" w:sz="0" w:space="0" w:color="auto"/>
            <w:left w:val="none" w:sz="0" w:space="0" w:color="auto"/>
            <w:bottom w:val="none" w:sz="0" w:space="0" w:color="auto"/>
            <w:right w:val="none" w:sz="0" w:space="0" w:color="auto"/>
          </w:divBdr>
        </w:div>
        <w:div w:id="1757365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05929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7871170">
          <w:blockQuote w:val="1"/>
          <w:marLeft w:val="720"/>
          <w:marRight w:val="720"/>
          <w:marTop w:val="100"/>
          <w:marBottom w:val="100"/>
          <w:divBdr>
            <w:top w:val="none" w:sz="0" w:space="0" w:color="auto"/>
            <w:left w:val="none" w:sz="0" w:space="0" w:color="auto"/>
            <w:bottom w:val="none" w:sz="0" w:space="0" w:color="auto"/>
            <w:right w:val="none" w:sz="0" w:space="0" w:color="auto"/>
          </w:divBdr>
        </w:div>
        <w:div w:id="1533152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3991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5512665">
          <w:blockQuote w:val="1"/>
          <w:marLeft w:val="720"/>
          <w:marRight w:val="720"/>
          <w:marTop w:val="100"/>
          <w:marBottom w:val="100"/>
          <w:divBdr>
            <w:top w:val="none" w:sz="0" w:space="0" w:color="auto"/>
            <w:left w:val="none" w:sz="0" w:space="0" w:color="auto"/>
            <w:bottom w:val="none" w:sz="0" w:space="0" w:color="auto"/>
            <w:right w:val="none" w:sz="0" w:space="0" w:color="auto"/>
          </w:divBdr>
        </w:div>
        <w:div w:id="2024428775">
          <w:blockQuote w:val="1"/>
          <w:marLeft w:val="720"/>
          <w:marRight w:val="720"/>
          <w:marTop w:val="100"/>
          <w:marBottom w:val="100"/>
          <w:divBdr>
            <w:top w:val="none" w:sz="0" w:space="0" w:color="auto"/>
            <w:left w:val="none" w:sz="0" w:space="0" w:color="auto"/>
            <w:bottom w:val="none" w:sz="0" w:space="0" w:color="auto"/>
            <w:right w:val="none" w:sz="0" w:space="0" w:color="auto"/>
          </w:divBdr>
        </w:div>
        <w:div w:id="97133117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1203436">
          <w:blockQuote w:val="1"/>
          <w:marLeft w:val="720"/>
          <w:marRight w:val="720"/>
          <w:marTop w:val="100"/>
          <w:marBottom w:val="100"/>
          <w:divBdr>
            <w:top w:val="none" w:sz="0" w:space="0" w:color="auto"/>
            <w:left w:val="none" w:sz="0" w:space="0" w:color="auto"/>
            <w:bottom w:val="none" w:sz="0" w:space="0" w:color="auto"/>
            <w:right w:val="none" w:sz="0" w:space="0" w:color="auto"/>
          </w:divBdr>
        </w:div>
        <w:div w:id="1188449931">
          <w:blockQuote w:val="1"/>
          <w:marLeft w:val="720"/>
          <w:marRight w:val="720"/>
          <w:marTop w:val="100"/>
          <w:marBottom w:val="100"/>
          <w:divBdr>
            <w:top w:val="none" w:sz="0" w:space="0" w:color="auto"/>
            <w:left w:val="none" w:sz="0" w:space="0" w:color="auto"/>
            <w:bottom w:val="none" w:sz="0" w:space="0" w:color="auto"/>
            <w:right w:val="none" w:sz="0" w:space="0" w:color="auto"/>
          </w:divBdr>
        </w:div>
        <w:div w:id="35556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0867282">
      <w:bodyDiv w:val="1"/>
      <w:marLeft w:val="0"/>
      <w:marRight w:val="0"/>
      <w:marTop w:val="0"/>
      <w:marBottom w:val="0"/>
      <w:divBdr>
        <w:top w:val="none" w:sz="0" w:space="0" w:color="auto"/>
        <w:left w:val="none" w:sz="0" w:space="0" w:color="auto"/>
        <w:bottom w:val="none" w:sz="0" w:space="0" w:color="auto"/>
        <w:right w:val="none" w:sz="0" w:space="0" w:color="auto"/>
      </w:divBdr>
      <w:divsChild>
        <w:div w:id="158036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98793972">
          <w:blockQuote w:val="1"/>
          <w:marLeft w:val="720"/>
          <w:marRight w:val="720"/>
          <w:marTop w:val="100"/>
          <w:marBottom w:val="100"/>
          <w:divBdr>
            <w:top w:val="none" w:sz="0" w:space="0" w:color="auto"/>
            <w:left w:val="none" w:sz="0" w:space="0" w:color="auto"/>
            <w:bottom w:val="none" w:sz="0" w:space="0" w:color="auto"/>
            <w:right w:val="none" w:sz="0" w:space="0" w:color="auto"/>
          </w:divBdr>
        </w:div>
        <w:div w:id="685985144">
          <w:blockQuote w:val="1"/>
          <w:marLeft w:val="720"/>
          <w:marRight w:val="720"/>
          <w:marTop w:val="100"/>
          <w:marBottom w:val="100"/>
          <w:divBdr>
            <w:top w:val="none" w:sz="0" w:space="0" w:color="auto"/>
            <w:left w:val="none" w:sz="0" w:space="0" w:color="auto"/>
            <w:bottom w:val="none" w:sz="0" w:space="0" w:color="auto"/>
            <w:right w:val="none" w:sz="0" w:space="0" w:color="auto"/>
          </w:divBdr>
        </w:div>
        <w:div w:id="353926875">
          <w:blockQuote w:val="1"/>
          <w:marLeft w:val="720"/>
          <w:marRight w:val="720"/>
          <w:marTop w:val="100"/>
          <w:marBottom w:val="100"/>
          <w:divBdr>
            <w:top w:val="none" w:sz="0" w:space="0" w:color="auto"/>
            <w:left w:val="none" w:sz="0" w:space="0" w:color="auto"/>
            <w:bottom w:val="none" w:sz="0" w:space="0" w:color="auto"/>
            <w:right w:val="none" w:sz="0" w:space="0" w:color="auto"/>
          </w:divBdr>
        </w:div>
        <w:div w:id="9011370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5239699">
      <w:bodyDiv w:val="1"/>
      <w:marLeft w:val="0"/>
      <w:marRight w:val="0"/>
      <w:marTop w:val="0"/>
      <w:marBottom w:val="0"/>
      <w:divBdr>
        <w:top w:val="none" w:sz="0" w:space="0" w:color="auto"/>
        <w:left w:val="none" w:sz="0" w:space="0" w:color="auto"/>
        <w:bottom w:val="none" w:sz="0" w:space="0" w:color="auto"/>
        <w:right w:val="none" w:sz="0" w:space="0" w:color="auto"/>
      </w:divBdr>
      <w:divsChild>
        <w:div w:id="1576469595">
          <w:blockQuote w:val="1"/>
          <w:marLeft w:val="720"/>
          <w:marRight w:val="720"/>
          <w:marTop w:val="100"/>
          <w:marBottom w:val="100"/>
          <w:divBdr>
            <w:top w:val="none" w:sz="0" w:space="0" w:color="auto"/>
            <w:left w:val="none" w:sz="0" w:space="0" w:color="auto"/>
            <w:bottom w:val="none" w:sz="0" w:space="0" w:color="auto"/>
            <w:right w:val="none" w:sz="0" w:space="0" w:color="auto"/>
          </w:divBdr>
        </w:div>
        <w:div w:id="426971123">
          <w:blockQuote w:val="1"/>
          <w:marLeft w:val="720"/>
          <w:marRight w:val="720"/>
          <w:marTop w:val="100"/>
          <w:marBottom w:val="100"/>
          <w:divBdr>
            <w:top w:val="none" w:sz="0" w:space="0" w:color="auto"/>
            <w:left w:val="none" w:sz="0" w:space="0" w:color="auto"/>
            <w:bottom w:val="none" w:sz="0" w:space="0" w:color="auto"/>
            <w:right w:val="none" w:sz="0" w:space="0" w:color="auto"/>
          </w:divBdr>
        </w:div>
        <w:div w:id="1501431162">
          <w:blockQuote w:val="1"/>
          <w:marLeft w:val="720"/>
          <w:marRight w:val="720"/>
          <w:marTop w:val="100"/>
          <w:marBottom w:val="100"/>
          <w:divBdr>
            <w:top w:val="none" w:sz="0" w:space="0" w:color="auto"/>
            <w:left w:val="none" w:sz="0" w:space="0" w:color="auto"/>
            <w:bottom w:val="none" w:sz="0" w:space="0" w:color="auto"/>
            <w:right w:val="none" w:sz="0" w:space="0" w:color="auto"/>
          </w:divBdr>
        </w:div>
        <w:div w:id="2647324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4679735">
      <w:bodyDiv w:val="1"/>
      <w:marLeft w:val="0"/>
      <w:marRight w:val="0"/>
      <w:marTop w:val="0"/>
      <w:marBottom w:val="0"/>
      <w:divBdr>
        <w:top w:val="none" w:sz="0" w:space="0" w:color="auto"/>
        <w:left w:val="none" w:sz="0" w:space="0" w:color="auto"/>
        <w:bottom w:val="none" w:sz="0" w:space="0" w:color="auto"/>
        <w:right w:val="none" w:sz="0" w:space="0" w:color="auto"/>
      </w:divBdr>
      <w:divsChild>
        <w:div w:id="345061221">
          <w:blockQuote w:val="1"/>
          <w:marLeft w:val="720"/>
          <w:marRight w:val="720"/>
          <w:marTop w:val="100"/>
          <w:marBottom w:val="100"/>
          <w:divBdr>
            <w:top w:val="none" w:sz="0" w:space="0" w:color="auto"/>
            <w:left w:val="none" w:sz="0" w:space="0" w:color="auto"/>
            <w:bottom w:val="none" w:sz="0" w:space="0" w:color="auto"/>
            <w:right w:val="none" w:sz="0" w:space="0" w:color="auto"/>
          </w:divBdr>
        </w:div>
        <w:div w:id="636254498">
          <w:blockQuote w:val="1"/>
          <w:marLeft w:val="720"/>
          <w:marRight w:val="720"/>
          <w:marTop w:val="100"/>
          <w:marBottom w:val="100"/>
          <w:divBdr>
            <w:top w:val="none" w:sz="0" w:space="0" w:color="auto"/>
            <w:left w:val="none" w:sz="0" w:space="0" w:color="auto"/>
            <w:bottom w:val="none" w:sz="0" w:space="0" w:color="auto"/>
            <w:right w:val="none" w:sz="0" w:space="0" w:color="auto"/>
          </w:divBdr>
        </w:div>
        <w:div w:id="1171876238">
          <w:blockQuote w:val="1"/>
          <w:marLeft w:val="720"/>
          <w:marRight w:val="720"/>
          <w:marTop w:val="100"/>
          <w:marBottom w:val="100"/>
          <w:divBdr>
            <w:top w:val="none" w:sz="0" w:space="0" w:color="auto"/>
            <w:left w:val="none" w:sz="0" w:space="0" w:color="auto"/>
            <w:bottom w:val="none" w:sz="0" w:space="0" w:color="auto"/>
            <w:right w:val="none" w:sz="0" w:space="0" w:color="auto"/>
          </w:divBdr>
        </w:div>
        <w:div w:id="295915284">
          <w:blockQuote w:val="1"/>
          <w:marLeft w:val="720"/>
          <w:marRight w:val="720"/>
          <w:marTop w:val="100"/>
          <w:marBottom w:val="100"/>
          <w:divBdr>
            <w:top w:val="none" w:sz="0" w:space="0" w:color="auto"/>
            <w:left w:val="none" w:sz="0" w:space="0" w:color="auto"/>
            <w:bottom w:val="none" w:sz="0" w:space="0" w:color="auto"/>
            <w:right w:val="none" w:sz="0" w:space="0" w:color="auto"/>
          </w:divBdr>
        </w:div>
        <w:div w:id="1154637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8876034">
      <w:bodyDiv w:val="1"/>
      <w:marLeft w:val="0"/>
      <w:marRight w:val="0"/>
      <w:marTop w:val="0"/>
      <w:marBottom w:val="0"/>
      <w:divBdr>
        <w:top w:val="none" w:sz="0" w:space="0" w:color="auto"/>
        <w:left w:val="none" w:sz="0" w:space="0" w:color="auto"/>
        <w:bottom w:val="none" w:sz="0" w:space="0" w:color="auto"/>
        <w:right w:val="none" w:sz="0" w:space="0" w:color="auto"/>
      </w:divBdr>
      <w:divsChild>
        <w:div w:id="688797732">
          <w:blockQuote w:val="1"/>
          <w:marLeft w:val="720"/>
          <w:marRight w:val="720"/>
          <w:marTop w:val="100"/>
          <w:marBottom w:val="100"/>
          <w:divBdr>
            <w:top w:val="none" w:sz="0" w:space="0" w:color="auto"/>
            <w:left w:val="none" w:sz="0" w:space="0" w:color="auto"/>
            <w:bottom w:val="none" w:sz="0" w:space="0" w:color="auto"/>
            <w:right w:val="none" w:sz="0" w:space="0" w:color="auto"/>
          </w:divBdr>
        </w:div>
        <w:div w:id="1426456593">
          <w:blockQuote w:val="1"/>
          <w:marLeft w:val="720"/>
          <w:marRight w:val="720"/>
          <w:marTop w:val="100"/>
          <w:marBottom w:val="100"/>
          <w:divBdr>
            <w:top w:val="none" w:sz="0" w:space="0" w:color="auto"/>
            <w:left w:val="none" w:sz="0" w:space="0" w:color="auto"/>
            <w:bottom w:val="none" w:sz="0" w:space="0" w:color="auto"/>
            <w:right w:val="none" w:sz="0" w:space="0" w:color="auto"/>
          </w:divBdr>
        </w:div>
        <w:div w:id="215241967">
          <w:blockQuote w:val="1"/>
          <w:marLeft w:val="720"/>
          <w:marRight w:val="720"/>
          <w:marTop w:val="100"/>
          <w:marBottom w:val="100"/>
          <w:divBdr>
            <w:top w:val="none" w:sz="0" w:space="0" w:color="auto"/>
            <w:left w:val="none" w:sz="0" w:space="0" w:color="auto"/>
            <w:bottom w:val="none" w:sz="0" w:space="0" w:color="auto"/>
            <w:right w:val="none" w:sz="0" w:space="0" w:color="auto"/>
          </w:divBdr>
        </w:div>
        <w:div w:id="2131387872">
          <w:blockQuote w:val="1"/>
          <w:marLeft w:val="720"/>
          <w:marRight w:val="720"/>
          <w:marTop w:val="100"/>
          <w:marBottom w:val="100"/>
          <w:divBdr>
            <w:top w:val="none" w:sz="0" w:space="0" w:color="auto"/>
            <w:left w:val="none" w:sz="0" w:space="0" w:color="auto"/>
            <w:bottom w:val="none" w:sz="0" w:space="0" w:color="auto"/>
            <w:right w:val="none" w:sz="0" w:space="0" w:color="auto"/>
          </w:divBdr>
        </w:div>
        <w:div w:id="1460876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4364795">
      <w:bodyDiv w:val="1"/>
      <w:marLeft w:val="0"/>
      <w:marRight w:val="0"/>
      <w:marTop w:val="0"/>
      <w:marBottom w:val="0"/>
      <w:divBdr>
        <w:top w:val="none" w:sz="0" w:space="0" w:color="auto"/>
        <w:left w:val="none" w:sz="0" w:space="0" w:color="auto"/>
        <w:bottom w:val="none" w:sz="0" w:space="0" w:color="auto"/>
        <w:right w:val="none" w:sz="0" w:space="0" w:color="auto"/>
      </w:divBdr>
      <w:divsChild>
        <w:div w:id="569076568">
          <w:blockQuote w:val="1"/>
          <w:marLeft w:val="720"/>
          <w:marRight w:val="720"/>
          <w:marTop w:val="100"/>
          <w:marBottom w:val="100"/>
          <w:divBdr>
            <w:top w:val="none" w:sz="0" w:space="0" w:color="auto"/>
            <w:left w:val="none" w:sz="0" w:space="0" w:color="auto"/>
            <w:bottom w:val="none" w:sz="0" w:space="0" w:color="auto"/>
            <w:right w:val="none" w:sz="0" w:space="0" w:color="auto"/>
          </w:divBdr>
        </w:div>
        <w:div w:id="662273433">
          <w:blockQuote w:val="1"/>
          <w:marLeft w:val="720"/>
          <w:marRight w:val="720"/>
          <w:marTop w:val="100"/>
          <w:marBottom w:val="100"/>
          <w:divBdr>
            <w:top w:val="none" w:sz="0" w:space="0" w:color="auto"/>
            <w:left w:val="none" w:sz="0" w:space="0" w:color="auto"/>
            <w:bottom w:val="none" w:sz="0" w:space="0" w:color="auto"/>
            <w:right w:val="none" w:sz="0" w:space="0" w:color="auto"/>
          </w:divBdr>
        </w:div>
        <w:div w:id="315916007">
          <w:blockQuote w:val="1"/>
          <w:marLeft w:val="720"/>
          <w:marRight w:val="720"/>
          <w:marTop w:val="100"/>
          <w:marBottom w:val="100"/>
          <w:divBdr>
            <w:top w:val="none" w:sz="0" w:space="0" w:color="auto"/>
            <w:left w:val="none" w:sz="0" w:space="0" w:color="auto"/>
            <w:bottom w:val="none" w:sz="0" w:space="0" w:color="auto"/>
            <w:right w:val="none" w:sz="0" w:space="0" w:color="auto"/>
          </w:divBdr>
        </w:div>
        <w:div w:id="492910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915970867">
          <w:blockQuote w:val="1"/>
          <w:marLeft w:val="720"/>
          <w:marRight w:val="720"/>
          <w:marTop w:val="100"/>
          <w:marBottom w:val="100"/>
          <w:divBdr>
            <w:top w:val="none" w:sz="0" w:space="0" w:color="auto"/>
            <w:left w:val="none" w:sz="0" w:space="0" w:color="auto"/>
            <w:bottom w:val="none" w:sz="0" w:space="0" w:color="auto"/>
            <w:right w:val="none" w:sz="0" w:space="0" w:color="auto"/>
          </w:divBdr>
        </w:div>
        <w:div w:id="18543008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4892211">
      <w:bodyDiv w:val="1"/>
      <w:marLeft w:val="0"/>
      <w:marRight w:val="0"/>
      <w:marTop w:val="0"/>
      <w:marBottom w:val="0"/>
      <w:divBdr>
        <w:top w:val="none" w:sz="0" w:space="0" w:color="auto"/>
        <w:left w:val="none" w:sz="0" w:space="0" w:color="auto"/>
        <w:bottom w:val="none" w:sz="0" w:space="0" w:color="auto"/>
        <w:right w:val="none" w:sz="0" w:space="0" w:color="auto"/>
      </w:divBdr>
      <w:divsChild>
        <w:div w:id="825972634">
          <w:marLeft w:val="0"/>
          <w:marRight w:val="0"/>
          <w:marTop w:val="0"/>
          <w:marBottom w:val="0"/>
          <w:divBdr>
            <w:top w:val="none" w:sz="0" w:space="0" w:color="auto"/>
            <w:left w:val="none" w:sz="0" w:space="0" w:color="auto"/>
            <w:bottom w:val="none" w:sz="0" w:space="0" w:color="auto"/>
            <w:right w:val="none" w:sz="0" w:space="0" w:color="auto"/>
          </w:divBdr>
          <w:divsChild>
            <w:div w:id="1137451971">
              <w:blockQuote w:val="1"/>
              <w:marLeft w:val="720"/>
              <w:marRight w:val="720"/>
              <w:marTop w:val="100"/>
              <w:marBottom w:val="100"/>
              <w:divBdr>
                <w:top w:val="none" w:sz="0" w:space="0" w:color="auto"/>
                <w:left w:val="none" w:sz="0" w:space="0" w:color="auto"/>
                <w:bottom w:val="none" w:sz="0" w:space="0" w:color="auto"/>
                <w:right w:val="none" w:sz="0" w:space="0" w:color="auto"/>
              </w:divBdr>
            </w:div>
            <w:div w:id="277030614">
              <w:blockQuote w:val="1"/>
              <w:marLeft w:val="720"/>
              <w:marRight w:val="720"/>
              <w:marTop w:val="100"/>
              <w:marBottom w:val="100"/>
              <w:divBdr>
                <w:top w:val="none" w:sz="0" w:space="0" w:color="auto"/>
                <w:left w:val="none" w:sz="0" w:space="0" w:color="auto"/>
                <w:bottom w:val="none" w:sz="0" w:space="0" w:color="auto"/>
                <w:right w:val="none" w:sz="0" w:space="0" w:color="auto"/>
              </w:divBdr>
            </w:div>
            <w:div w:id="1723556704">
              <w:blockQuote w:val="1"/>
              <w:marLeft w:val="720"/>
              <w:marRight w:val="720"/>
              <w:marTop w:val="100"/>
              <w:marBottom w:val="100"/>
              <w:divBdr>
                <w:top w:val="none" w:sz="0" w:space="0" w:color="auto"/>
                <w:left w:val="none" w:sz="0" w:space="0" w:color="auto"/>
                <w:bottom w:val="none" w:sz="0" w:space="0" w:color="auto"/>
                <w:right w:val="none" w:sz="0" w:space="0" w:color="auto"/>
              </w:divBdr>
            </w:div>
            <w:div w:id="115149096">
              <w:blockQuote w:val="1"/>
              <w:marLeft w:val="720"/>
              <w:marRight w:val="720"/>
              <w:marTop w:val="100"/>
              <w:marBottom w:val="100"/>
              <w:divBdr>
                <w:top w:val="none" w:sz="0" w:space="0" w:color="auto"/>
                <w:left w:val="none" w:sz="0" w:space="0" w:color="auto"/>
                <w:bottom w:val="none" w:sz="0" w:space="0" w:color="auto"/>
                <w:right w:val="none" w:sz="0" w:space="0" w:color="auto"/>
              </w:divBdr>
            </w:div>
            <w:div w:id="1310524794">
              <w:blockQuote w:val="1"/>
              <w:marLeft w:val="720"/>
              <w:marRight w:val="720"/>
              <w:marTop w:val="100"/>
              <w:marBottom w:val="100"/>
              <w:divBdr>
                <w:top w:val="none" w:sz="0" w:space="0" w:color="auto"/>
                <w:left w:val="none" w:sz="0" w:space="0" w:color="auto"/>
                <w:bottom w:val="none" w:sz="0" w:space="0" w:color="auto"/>
                <w:right w:val="none" w:sz="0" w:space="0" w:color="auto"/>
              </w:divBdr>
            </w:div>
            <w:div w:id="1311594223">
              <w:blockQuote w:val="1"/>
              <w:marLeft w:val="720"/>
              <w:marRight w:val="720"/>
              <w:marTop w:val="100"/>
              <w:marBottom w:val="100"/>
              <w:divBdr>
                <w:top w:val="none" w:sz="0" w:space="0" w:color="auto"/>
                <w:left w:val="none" w:sz="0" w:space="0" w:color="auto"/>
                <w:bottom w:val="none" w:sz="0" w:space="0" w:color="auto"/>
                <w:right w:val="none" w:sz="0" w:space="0" w:color="auto"/>
              </w:divBdr>
            </w:div>
            <w:div w:id="812604943">
              <w:blockQuote w:val="1"/>
              <w:marLeft w:val="720"/>
              <w:marRight w:val="720"/>
              <w:marTop w:val="100"/>
              <w:marBottom w:val="100"/>
              <w:divBdr>
                <w:top w:val="none" w:sz="0" w:space="0" w:color="auto"/>
                <w:left w:val="none" w:sz="0" w:space="0" w:color="auto"/>
                <w:bottom w:val="none" w:sz="0" w:space="0" w:color="auto"/>
                <w:right w:val="none" w:sz="0" w:space="0" w:color="auto"/>
              </w:divBdr>
            </w:div>
            <w:div w:id="1673412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02021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15271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86440342">
      <w:bodyDiv w:val="1"/>
      <w:marLeft w:val="0"/>
      <w:marRight w:val="0"/>
      <w:marTop w:val="0"/>
      <w:marBottom w:val="0"/>
      <w:divBdr>
        <w:top w:val="none" w:sz="0" w:space="0" w:color="auto"/>
        <w:left w:val="none" w:sz="0" w:space="0" w:color="auto"/>
        <w:bottom w:val="none" w:sz="0" w:space="0" w:color="auto"/>
        <w:right w:val="none" w:sz="0" w:space="0" w:color="auto"/>
      </w:divBdr>
      <w:divsChild>
        <w:div w:id="638923191">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841285">
          <w:blockQuote w:val="1"/>
          <w:marLeft w:val="720"/>
          <w:marRight w:val="720"/>
          <w:marTop w:val="100"/>
          <w:marBottom w:val="100"/>
          <w:divBdr>
            <w:top w:val="none" w:sz="0" w:space="0" w:color="auto"/>
            <w:left w:val="none" w:sz="0" w:space="0" w:color="auto"/>
            <w:bottom w:val="none" w:sz="0" w:space="0" w:color="auto"/>
            <w:right w:val="none" w:sz="0" w:space="0" w:color="auto"/>
          </w:divBdr>
        </w:div>
        <w:div w:id="631444461">
          <w:blockQuote w:val="1"/>
          <w:marLeft w:val="720"/>
          <w:marRight w:val="720"/>
          <w:marTop w:val="100"/>
          <w:marBottom w:val="100"/>
          <w:divBdr>
            <w:top w:val="none" w:sz="0" w:space="0" w:color="auto"/>
            <w:left w:val="none" w:sz="0" w:space="0" w:color="auto"/>
            <w:bottom w:val="none" w:sz="0" w:space="0" w:color="auto"/>
            <w:right w:val="none" w:sz="0" w:space="0" w:color="auto"/>
          </w:divBdr>
        </w:div>
        <w:div w:id="194737146">
          <w:blockQuote w:val="1"/>
          <w:marLeft w:val="720"/>
          <w:marRight w:val="720"/>
          <w:marTop w:val="100"/>
          <w:marBottom w:val="100"/>
          <w:divBdr>
            <w:top w:val="none" w:sz="0" w:space="0" w:color="auto"/>
            <w:left w:val="none" w:sz="0" w:space="0" w:color="auto"/>
            <w:bottom w:val="none" w:sz="0" w:space="0" w:color="auto"/>
            <w:right w:val="none" w:sz="0" w:space="0" w:color="auto"/>
          </w:divBdr>
        </w:div>
        <w:div w:id="1796563293">
          <w:blockQuote w:val="1"/>
          <w:marLeft w:val="720"/>
          <w:marRight w:val="720"/>
          <w:marTop w:val="100"/>
          <w:marBottom w:val="100"/>
          <w:divBdr>
            <w:top w:val="none" w:sz="0" w:space="0" w:color="auto"/>
            <w:left w:val="none" w:sz="0" w:space="0" w:color="auto"/>
            <w:bottom w:val="none" w:sz="0" w:space="0" w:color="auto"/>
            <w:right w:val="none" w:sz="0" w:space="0" w:color="auto"/>
          </w:divBdr>
        </w:div>
        <w:div w:id="253635370">
          <w:blockQuote w:val="1"/>
          <w:marLeft w:val="720"/>
          <w:marRight w:val="720"/>
          <w:marTop w:val="100"/>
          <w:marBottom w:val="100"/>
          <w:divBdr>
            <w:top w:val="none" w:sz="0" w:space="0" w:color="auto"/>
            <w:left w:val="none" w:sz="0" w:space="0" w:color="auto"/>
            <w:bottom w:val="none" w:sz="0" w:space="0" w:color="auto"/>
            <w:right w:val="none" w:sz="0" w:space="0" w:color="auto"/>
          </w:divBdr>
        </w:div>
        <w:div w:id="1381979161">
          <w:blockQuote w:val="1"/>
          <w:marLeft w:val="720"/>
          <w:marRight w:val="720"/>
          <w:marTop w:val="100"/>
          <w:marBottom w:val="100"/>
          <w:divBdr>
            <w:top w:val="none" w:sz="0" w:space="0" w:color="auto"/>
            <w:left w:val="none" w:sz="0" w:space="0" w:color="auto"/>
            <w:bottom w:val="none" w:sz="0" w:space="0" w:color="auto"/>
            <w:right w:val="none" w:sz="0" w:space="0" w:color="auto"/>
          </w:divBdr>
        </w:div>
        <w:div w:id="1372077297">
          <w:blockQuote w:val="1"/>
          <w:marLeft w:val="720"/>
          <w:marRight w:val="720"/>
          <w:marTop w:val="100"/>
          <w:marBottom w:val="100"/>
          <w:divBdr>
            <w:top w:val="none" w:sz="0" w:space="0" w:color="auto"/>
            <w:left w:val="none" w:sz="0" w:space="0" w:color="auto"/>
            <w:bottom w:val="none" w:sz="0" w:space="0" w:color="auto"/>
            <w:right w:val="none" w:sz="0" w:space="0" w:color="auto"/>
          </w:divBdr>
        </w:div>
        <w:div w:id="500392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89904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0309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39547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392784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1250477">
      <w:bodyDiv w:val="1"/>
      <w:marLeft w:val="0"/>
      <w:marRight w:val="0"/>
      <w:marTop w:val="0"/>
      <w:marBottom w:val="0"/>
      <w:divBdr>
        <w:top w:val="none" w:sz="0" w:space="0" w:color="auto"/>
        <w:left w:val="none" w:sz="0" w:space="0" w:color="auto"/>
        <w:bottom w:val="none" w:sz="0" w:space="0" w:color="auto"/>
        <w:right w:val="none" w:sz="0" w:space="0" w:color="auto"/>
      </w:divBdr>
      <w:divsChild>
        <w:div w:id="1227567630">
          <w:marLeft w:val="0"/>
          <w:marRight w:val="0"/>
          <w:marTop w:val="0"/>
          <w:marBottom w:val="0"/>
          <w:divBdr>
            <w:top w:val="none" w:sz="0" w:space="0" w:color="auto"/>
            <w:left w:val="none" w:sz="0" w:space="0" w:color="auto"/>
            <w:bottom w:val="none" w:sz="0" w:space="0" w:color="auto"/>
            <w:right w:val="none" w:sz="0" w:space="0" w:color="auto"/>
          </w:divBdr>
          <w:divsChild>
            <w:div w:id="1295327093">
              <w:blockQuote w:val="1"/>
              <w:marLeft w:val="720"/>
              <w:marRight w:val="720"/>
              <w:marTop w:val="100"/>
              <w:marBottom w:val="100"/>
              <w:divBdr>
                <w:top w:val="none" w:sz="0" w:space="0" w:color="auto"/>
                <w:left w:val="none" w:sz="0" w:space="0" w:color="auto"/>
                <w:bottom w:val="none" w:sz="0" w:space="0" w:color="auto"/>
                <w:right w:val="none" w:sz="0" w:space="0" w:color="auto"/>
              </w:divBdr>
            </w:div>
            <w:div w:id="1337420182">
              <w:blockQuote w:val="1"/>
              <w:marLeft w:val="720"/>
              <w:marRight w:val="720"/>
              <w:marTop w:val="100"/>
              <w:marBottom w:val="100"/>
              <w:divBdr>
                <w:top w:val="none" w:sz="0" w:space="0" w:color="auto"/>
                <w:left w:val="none" w:sz="0" w:space="0" w:color="auto"/>
                <w:bottom w:val="none" w:sz="0" w:space="0" w:color="auto"/>
                <w:right w:val="none" w:sz="0" w:space="0" w:color="auto"/>
              </w:divBdr>
            </w:div>
            <w:div w:id="1394308575">
              <w:blockQuote w:val="1"/>
              <w:marLeft w:val="720"/>
              <w:marRight w:val="720"/>
              <w:marTop w:val="100"/>
              <w:marBottom w:val="100"/>
              <w:divBdr>
                <w:top w:val="none" w:sz="0" w:space="0" w:color="auto"/>
                <w:left w:val="none" w:sz="0" w:space="0" w:color="auto"/>
                <w:bottom w:val="none" w:sz="0" w:space="0" w:color="auto"/>
                <w:right w:val="none" w:sz="0" w:space="0" w:color="auto"/>
              </w:divBdr>
            </w:div>
            <w:div w:id="603804080">
              <w:blockQuote w:val="1"/>
              <w:marLeft w:val="720"/>
              <w:marRight w:val="720"/>
              <w:marTop w:val="100"/>
              <w:marBottom w:val="100"/>
              <w:divBdr>
                <w:top w:val="none" w:sz="0" w:space="0" w:color="auto"/>
                <w:left w:val="none" w:sz="0" w:space="0" w:color="auto"/>
                <w:bottom w:val="none" w:sz="0" w:space="0" w:color="auto"/>
                <w:right w:val="none" w:sz="0" w:space="0" w:color="auto"/>
              </w:divBdr>
            </w:div>
            <w:div w:id="1995791927">
              <w:blockQuote w:val="1"/>
              <w:marLeft w:val="720"/>
              <w:marRight w:val="720"/>
              <w:marTop w:val="100"/>
              <w:marBottom w:val="100"/>
              <w:divBdr>
                <w:top w:val="none" w:sz="0" w:space="0" w:color="auto"/>
                <w:left w:val="none" w:sz="0" w:space="0" w:color="auto"/>
                <w:bottom w:val="none" w:sz="0" w:space="0" w:color="auto"/>
                <w:right w:val="none" w:sz="0" w:space="0" w:color="auto"/>
              </w:divBdr>
            </w:div>
            <w:div w:id="165631679">
              <w:blockQuote w:val="1"/>
              <w:marLeft w:val="720"/>
              <w:marRight w:val="720"/>
              <w:marTop w:val="100"/>
              <w:marBottom w:val="100"/>
              <w:divBdr>
                <w:top w:val="none" w:sz="0" w:space="0" w:color="auto"/>
                <w:left w:val="none" w:sz="0" w:space="0" w:color="auto"/>
                <w:bottom w:val="none" w:sz="0" w:space="0" w:color="auto"/>
                <w:right w:val="none" w:sz="0" w:space="0" w:color="auto"/>
              </w:divBdr>
            </w:div>
            <w:div w:id="1976639239">
              <w:blockQuote w:val="1"/>
              <w:marLeft w:val="720"/>
              <w:marRight w:val="720"/>
              <w:marTop w:val="100"/>
              <w:marBottom w:val="100"/>
              <w:divBdr>
                <w:top w:val="none" w:sz="0" w:space="0" w:color="auto"/>
                <w:left w:val="none" w:sz="0" w:space="0" w:color="auto"/>
                <w:bottom w:val="none" w:sz="0" w:space="0" w:color="auto"/>
                <w:right w:val="none" w:sz="0" w:space="0" w:color="auto"/>
              </w:divBdr>
            </w:div>
            <w:div w:id="13114481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11159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1605567">
              <w:blockQuote w:val="1"/>
              <w:marLeft w:val="720"/>
              <w:marRight w:val="720"/>
              <w:marTop w:val="100"/>
              <w:marBottom w:val="100"/>
              <w:divBdr>
                <w:top w:val="none" w:sz="0" w:space="0" w:color="auto"/>
                <w:left w:val="none" w:sz="0" w:space="0" w:color="auto"/>
                <w:bottom w:val="none" w:sz="0" w:space="0" w:color="auto"/>
                <w:right w:val="none" w:sz="0" w:space="0" w:color="auto"/>
              </w:divBdr>
            </w:div>
            <w:div w:id="326788304">
              <w:blockQuote w:val="1"/>
              <w:marLeft w:val="720"/>
              <w:marRight w:val="720"/>
              <w:marTop w:val="100"/>
              <w:marBottom w:val="100"/>
              <w:divBdr>
                <w:top w:val="none" w:sz="0" w:space="0" w:color="auto"/>
                <w:left w:val="none" w:sz="0" w:space="0" w:color="auto"/>
                <w:bottom w:val="none" w:sz="0" w:space="0" w:color="auto"/>
                <w:right w:val="none" w:sz="0" w:space="0" w:color="auto"/>
              </w:divBdr>
            </w:div>
            <w:div w:id="1033772266">
              <w:blockQuote w:val="1"/>
              <w:marLeft w:val="720"/>
              <w:marRight w:val="720"/>
              <w:marTop w:val="100"/>
              <w:marBottom w:val="100"/>
              <w:divBdr>
                <w:top w:val="none" w:sz="0" w:space="0" w:color="auto"/>
                <w:left w:val="none" w:sz="0" w:space="0" w:color="auto"/>
                <w:bottom w:val="none" w:sz="0" w:space="0" w:color="auto"/>
                <w:right w:val="none" w:sz="0" w:space="0" w:color="auto"/>
              </w:divBdr>
            </w:div>
            <w:div w:id="6085086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32381546">
      <w:bodyDiv w:val="1"/>
      <w:marLeft w:val="0"/>
      <w:marRight w:val="0"/>
      <w:marTop w:val="0"/>
      <w:marBottom w:val="0"/>
      <w:divBdr>
        <w:top w:val="none" w:sz="0" w:space="0" w:color="auto"/>
        <w:left w:val="none" w:sz="0" w:space="0" w:color="auto"/>
        <w:bottom w:val="none" w:sz="0" w:space="0" w:color="auto"/>
        <w:right w:val="none" w:sz="0" w:space="0" w:color="auto"/>
      </w:divBdr>
      <w:divsChild>
        <w:div w:id="1836726845">
          <w:blockQuote w:val="1"/>
          <w:marLeft w:val="720"/>
          <w:marRight w:val="720"/>
          <w:marTop w:val="100"/>
          <w:marBottom w:val="100"/>
          <w:divBdr>
            <w:top w:val="none" w:sz="0" w:space="0" w:color="auto"/>
            <w:left w:val="none" w:sz="0" w:space="0" w:color="auto"/>
            <w:bottom w:val="none" w:sz="0" w:space="0" w:color="auto"/>
            <w:right w:val="none" w:sz="0" w:space="0" w:color="auto"/>
          </w:divBdr>
        </w:div>
        <w:div w:id="1155072787">
          <w:blockQuote w:val="1"/>
          <w:marLeft w:val="720"/>
          <w:marRight w:val="720"/>
          <w:marTop w:val="100"/>
          <w:marBottom w:val="100"/>
          <w:divBdr>
            <w:top w:val="none" w:sz="0" w:space="0" w:color="auto"/>
            <w:left w:val="none" w:sz="0" w:space="0" w:color="auto"/>
            <w:bottom w:val="none" w:sz="0" w:space="0" w:color="auto"/>
            <w:right w:val="none" w:sz="0" w:space="0" w:color="auto"/>
          </w:divBdr>
        </w:div>
        <w:div w:id="32462847">
          <w:blockQuote w:val="1"/>
          <w:marLeft w:val="720"/>
          <w:marRight w:val="720"/>
          <w:marTop w:val="100"/>
          <w:marBottom w:val="100"/>
          <w:divBdr>
            <w:top w:val="none" w:sz="0" w:space="0" w:color="auto"/>
            <w:left w:val="none" w:sz="0" w:space="0" w:color="auto"/>
            <w:bottom w:val="none" w:sz="0" w:space="0" w:color="auto"/>
            <w:right w:val="none" w:sz="0" w:space="0" w:color="auto"/>
          </w:divBdr>
        </w:div>
        <w:div w:id="1471874">
          <w:blockQuote w:val="1"/>
          <w:marLeft w:val="720"/>
          <w:marRight w:val="720"/>
          <w:marTop w:val="100"/>
          <w:marBottom w:val="100"/>
          <w:divBdr>
            <w:top w:val="none" w:sz="0" w:space="0" w:color="auto"/>
            <w:left w:val="none" w:sz="0" w:space="0" w:color="auto"/>
            <w:bottom w:val="none" w:sz="0" w:space="0" w:color="auto"/>
            <w:right w:val="none" w:sz="0" w:space="0" w:color="auto"/>
          </w:divBdr>
        </w:div>
        <w:div w:id="4642748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3505801">
      <w:bodyDiv w:val="1"/>
      <w:marLeft w:val="0"/>
      <w:marRight w:val="0"/>
      <w:marTop w:val="0"/>
      <w:marBottom w:val="0"/>
      <w:divBdr>
        <w:top w:val="none" w:sz="0" w:space="0" w:color="auto"/>
        <w:left w:val="none" w:sz="0" w:space="0" w:color="auto"/>
        <w:bottom w:val="none" w:sz="0" w:space="0" w:color="auto"/>
        <w:right w:val="none" w:sz="0" w:space="0" w:color="auto"/>
      </w:divBdr>
      <w:divsChild>
        <w:div w:id="208491595">
          <w:blockQuote w:val="1"/>
          <w:marLeft w:val="720"/>
          <w:marRight w:val="720"/>
          <w:marTop w:val="100"/>
          <w:marBottom w:val="100"/>
          <w:divBdr>
            <w:top w:val="none" w:sz="0" w:space="0" w:color="auto"/>
            <w:left w:val="none" w:sz="0" w:space="0" w:color="auto"/>
            <w:bottom w:val="none" w:sz="0" w:space="0" w:color="auto"/>
            <w:right w:val="none" w:sz="0" w:space="0" w:color="auto"/>
          </w:divBdr>
        </w:div>
        <w:div w:id="1720200242">
          <w:blockQuote w:val="1"/>
          <w:marLeft w:val="720"/>
          <w:marRight w:val="720"/>
          <w:marTop w:val="100"/>
          <w:marBottom w:val="100"/>
          <w:divBdr>
            <w:top w:val="none" w:sz="0" w:space="0" w:color="auto"/>
            <w:left w:val="none" w:sz="0" w:space="0" w:color="auto"/>
            <w:bottom w:val="none" w:sz="0" w:space="0" w:color="auto"/>
            <w:right w:val="none" w:sz="0" w:space="0" w:color="auto"/>
          </w:divBdr>
        </w:div>
        <w:div w:id="428156894">
          <w:blockQuote w:val="1"/>
          <w:marLeft w:val="720"/>
          <w:marRight w:val="720"/>
          <w:marTop w:val="100"/>
          <w:marBottom w:val="100"/>
          <w:divBdr>
            <w:top w:val="none" w:sz="0" w:space="0" w:color="auto"/>
            <w:left w:val="none" w:sz="0" w:space="0" w:color="auto"/>
            <w:bottom w:val="none" w:sz="0" w:space="0" w:color="auto"/>
            <w:right w:val="none" w:sz="0" w:space="0" w:color="auto"/>
          </w:divBdr>
        </w:div>
        <w:div w:id="188228495">
          <w:blockQuote w:val="1"/>
          <w:marLeft w:val="720"/>
          <w:marRight w:val="720"/>
          <w:marTop w:val="100"/>
          <w:marBottom w:val="100"/>
          <w:divBdr>
            <w:top w:val="none" w:sz="0" w:space="0" w:color="auto"/>
            <w:left w:val="none" w:sz="0" w:space="0" w:color="auto"/>
            <w:bottom w:val="none" w:sz="0" w:space="0" w:color="auto"/>
            <w:right w:val="none" w:sz="0" w:space="0" w:color="auto"/>
          </w:divBdr>
        </w:div>
        <w:div w:id="10791372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7723314">
      <w:bodyDiv w:val="1"/>
      <w:marLeft w:val="0"/>
      <w:marRight w:val="0"/>
      <w:marTop w:val="0"/>
      <w:marBottom w:val="0"/>
      <w:divBdr>
        <w:top w:val="none" w:sz="0" w:space="0" w:color="auto"/>
        <w:left w:val="none" w:sz="0" w:space="0" w:color="auto"/>
        <w:bottom w:val="none" w:sz="0" w:space="0" w:color="auto"/>
        <w:right w:val="none" w:sz="0" w:space="0" w:color="auto"/>
      </w:divBdr>
      <w:divsChild>
        <w:div w:id="2052803518">
          <w:blockQuote w:val="1"/>
          <w:marLeft w:val="720"/>
          <w:marRight w:val="720"/>
          <w:marTop w:val="100"/>
          <w:marBottom w:val="100"/>
          <w:divBdr>
            <w:top w:val="none" w:sz="0" w:space="0" w:color="auto"/>
            <w:left w:val="none" w:sz="0" w:space="0" w:color="auto"/>
            <w:bottom w:val="none" w:sz="0" w:space="0" w:color="auto"/>
            <w:right w:val="none" w:sz="0" w:space="0" w:color="auto"/>
          </w:divBdr>
        </w:div>
        <w:div w:id="15650977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10094268">
          <w:blockQuote w:val="1"/>
          <w:marLeft w:val="720"/>
          <w:marRight w:val="720"/>
          <w:marTop w:val="100"/>
          <w:marBottom w:val="100"/>
          <w:divBdr>
            <w:top w:val="none" w:sz="0" w:space="0" w:color="auto"/>
            <w:left w:val="none" w:sz="0" w:space="0" w:color="auto"/>
            <w:bottom w:val="none" w:sz="0" w:space="0" w:color="auto"/>
            <w:right w:val="none" w:sz="0" w:space="0" w:color="auto"/>
          </w:divBdr>
        </w:div>
        <w:div w:id="537399486">
          <w:blockQuote w:val="1"/>
          <w:marLeft w:val="720"/>
          <w:marRight w:val="720"/>
          <w:marTop w:val="100"/>
          <w:marBottom w:val="100"/>
          <w:divBdr>
            <w:top w:val="none" w:sz="0" w:space="0" w:color="auto"/>
            <w:left w:val="none" w:sz="0" w:space="0" w:color="auto"/>
            <w:bottom w:val="none" w:sz="0" w:space="0" w:color="auto"/>
            <w:right w:val="none" w:sz="0" w:space="0" w:color="auto"/>
          </w:divBdr>
        </w:div>
        <w:div w:id="1577281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0390864">
      <w:bodyDiv w:val="1"/>
      <w:marLeft w:val="0"/>
      <w:marRight w:val="0"/>
      <w:marTop w:val="0"/>
      <w:marBottom w:val="0"/>
      <w:divBdr>
        <w:top w:val="none" w:sz="0" w:space="0" w:color="auto"/>
        <w:left w:val="none" w:sz="0" w:space="0" w:color="auto"/>
        <w:bottom w:val="none" w:sz="0" w:space="0" w:color="auto"/>
        <w:right w:val="none" w:sz="0" w:space="0" w:color="auto"/>
      </w:divBdr>
      <w:divsChild>
        <w:div w:id="374046002">
          <w:blockQuote w:val="1"/>
          <w:marLeft w:val="720"/>
          <w:marRight w:val="720"/>
          <w:marTop w:val="100"/>
          <w:marBottom w:val="100"/>
          <w:divBdr>
            <w:top w:val="none" w:sz="0" w:space="0" w:color="auto"/>
            <w:left w:val="none" w:sz="0" w:space="0" w:color="auto"/>
            <w:bottom w:val="none" w:sz="0" w:space="0" w:color="auto"/>
            <w:right w:val="none" w:sz="0" w:space="0" w:color="auto"/>
          </w:divBdr>
        </w:div>
        <w:div w:id="458963211">
          <w:blockQuote w:val="1"/>
          <w:marLeft w:val="720"/>
          <w:marRight w:val="720"/>
          <w:marTop w:val="100"/>
          <w:marBottom w:val="100"/>
          <w:divBdr>
            <w:top w:val="none" w:sz="0" w:space="0" w:color="auto"/>
            <w:left w:val="none" w:sz="0" w:space="0" w:color="auto"/>
            <w:bottom w:val="none" w:sz="0" w:space="0" w:color="auto"/>
            <w:right w:val="none" w:sz="0" w:space="0" w:color="auto"/>
          </w:divBdr>
        </w:div>
        <w:div w:id="77987867">
          <w:blockQuote w:val="1"/>
          <w:marLeft w:val="720"/>
          <w:marRight w:val="720"/>
          <w:marTop w:val="100"/>
          <w:marBottom w:val="100"/>
          <w:divBdr>
            <w:top w:val="none" w:sz="0" w:space="0" w:color="auto"/>
            <w:left w:val="none" w:sz="0" w:space="0" w:color="auto"/>
            <w:bottom w:val="none" w:sz="0" w:space="0" w:color="auto"/>
            <w:right w:val="none" w:sz="0" w:space="0" w:color="auto"/>
          </w:divBdr>
        </w:div>
        <w:div w:id="306864424">
          <w:blockQuote w:val="1"/>
          <w:marLeft w:val="720"/>
          <w:marRight w:val="720"/>
          <w:marTop w:val="100"/>
          <w:marBottom w:val="100"/>
          <w:divBdr>
            <w:top w:val="none" w:sz="0" w:space="0" w:color="auto"/>
            <w:left w:val="none" w:sz="0" w:space="0" w:color="auto"/>
            <w:bottom w:val="none" w:sz="0" w:space="0" w:color="auto"/>
            <w:right w:val="none" w:sz="0" w:space="0" w:color="auto"/>
          </w:divBdr>
        </w:div>
        <w:div w:id="15519649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7378270">
      <w:bodyDiv w:val="1"/>
      <w:marLeft w:val="0"/>
      <w:marRight w:val="0"/>
      <w:marTop w:val="0"/>
      <w:marBottom w:val="0"/>
      <w:divBdr>
        <w:top w:val="none" w:sz="0" w:space="0" w:color="auto"/>
        <w:left w:val="none" w:sz="0" w:space="0" w:color="auto"/>
        <w:bottom w:val="none" w:sz="0" w:space="0" w:color="auto"/>
        <w:right w:val="none" w:sz="0" w:space="0" w:color="auto"/>
      </w:divBdr>
      <w:divsChild>
        <w:div w:id="665396720">
          <w:blockQuote w:val="1"/>
          <w:marLeft w:val="720"/>
          <w:marRight w:val="720"/>
          <w:marTop w:val="100"/>
          <w:marBottom w:val="100"/>
          <w:divBdr>
            <w:top w:val="none" w:sz="0" w:space="0" w:color="auto"/>
            <w:left w:val="none" w:sz="0" w:space="0" w:color="auto"/>
            <w:bottom w:val="none" w:sz="0" w:space="0" w:color="auto"/>
            <w:right w:val="none" w:sz="0" w:space="0" w:color="auto"/>
          </w:divBdr>
        </w:div>
        <w:div w:id="149755511">
          <w:blockQuote w:val="1"/>
          <w:marLeft w:val="720"/>
          <w:marRight w:val="720"/>
          <w:marTop w:val="100"/>
          <w:marBottom w:val="100"/>
          <w:divBdr>
            <w:top w:val="none" w:sz="0" w:space="0" w:color="auto"/>
            <w:left w:val="none" w:sz="0" w:space="0" w:color="auto"/>
            <w:bottom w:val="none" w:sz="0" w:space="0" w:color="auto"/>
            <w:right w:val="none" w:sz="0" w:space="0" w:color="auto"/>
          </w:divBdr>
        </w:div>
        <w:div w:id="1809666837">
          <w:blockQuote w:val="1"/>
          <w:marLeft w:val="720"/>
          <w:marRight w:val="720"/>
          <w:marTop w:val="100"/>
          <w:marBottom w:val="100"/>
          <w:divBdr>
            <w:top w:val="none" w:sz="0" w:space="0" w:color="auto"/>
            <w:left w:val="none" w:sz="0" w:space="0" w:color="auto"/>
            <w:bottom w:val="none" w:sz="0" w:space="0" w:color="auto"/>
            <w:right w:val="none" w:sz="0" w:space="0" w:color="auto"/>
          </w:divBdr>
        </w:div>
        <w:div w:id="15292236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1598057">
      <w:bodyDiv w:val="1"/>
      <w:marLeft w:val="0"/>
      <w:marRight w:val="0"/>
      <w:marTop w:val="0"/>
      <w:marBottom w:val="0"/>
      <w:divBdr>
        <w:top w:val="none" w:sz="0" w:space="0" w:color="auto"/>
        <w:left w:val="none" w:sz="0" w:space="0" w:color="auto"/>
        <w:bottom w:val="none" w:sz="0" w:space="0" w:color="auto"/>
        <w:right w:val="none" w:sz="0" w:space="0" w:color="auto"/>
      </w:divBdr>
      <w:divsChild>
        <w:div w:id="1407143896">
          <w:blockQuote w:val="1"/>
          <w:marLeft w:val="720"/>
          <w:marRight w:val="720"/>
          <w:marTop w:val="100"/>
          <w:marBottom w:val="100"/>
          <w:divBdr>
            <w:top w:val="none" w:sz="0" w:space="0" w:color="auto"/>
            <w:left w:val="none" w:sz="0" w:space="0" w:color="auto"/>
            <w:bottom w:val="none" w:sz="0" w:space="0" w:color="auto"/>
            <w:right w:val="none" w:sz="0" w:space="0" w:color="auto"/>
          </w:divBdr>
        </w:div>
        <w:div w:id="919289161">
          <w:blockQuote w:val="1"/>
          <w:marLeft w:val="720"/>
          <w:marRight w:val="720"/>
          <w:marTop w:val="100"/>
          <w:marBottom w:val="100"/>
          <w:divBdr>
            <w:top w:val="none" w:sz="0" w:space="0" w:color="auto"/>
            <w:left w:val="none" w:sz="0" w:space="0" w:color="auto"/>
            <w:bottom w:val="none" w:sz="0" w:space="0" w:color="auto"/>
            <w:right w:val="none" w:sz="0" w:space="0" w:color="auto"/>
          </w:divBdr>
        </w:div>
        <w:div w:id="572083761">
          <w:blockQuote w:val="1"/>
          <w:marLeft w:val="720"/>
          <w:marRight w:val="720"/>
          <w:marTop w:val="100"/>
          <w:marBottom w:val="100"/>
          <w:divBdr>
            <w:top w:val="none" w:sz="0" w:space="0" w:color="auto"/>
            <w:left w:val="none" w:sz="0" w:space="0" w:color="auto"/>
            <w:bottom w:val="none" w:sz="0" w:space="0" w:color="auto"/>
            <w:right w:val="none" w:sz="0" w:space="0" w:color="auto"/>
          </w:divBdr>
        </w:div>
        <w:div w:id="10917793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3826197">
      <w:bodyDiv w:val="1"/>
      <w:marLeft w:val="0"/>
      <w:marRight w:val="0"/>
      <w:marTop w:val="0"/>
      <w:marBottom w:val="0"/>
      <w:divBdr>
        <w:top w:val="none" w:sz="0" w:space="0" w:color="auto"/>
        <w:left w:val="none" w:sz="0" w:space="0" w:color="auto"/>
        <w:bottom w:val="none" w:sz="0" w:space="0" w:color="auto"/>
        <w:right w:val="none" w:sz="0" w:space="0" w:color="auto"/>
      </w:divBdr>
      <w:divsChild>
        <w:div w:id="1795438735">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387446">
          <w:blockQuote w:val="1"/>
          <w:marLeft w:val="720"/>
          <w:marRight w:val="720"/>
          <w:marTop w:val="100"/>
          <w:marBottom w:val="100"/>
          <w:divBdr>
            <w:top w:val="none" w:sz="0" w:space="0" w:color="auto"/>
            <w:left w:val="none" w:sz="0" w:space="0" w:color="auto"/>
            <w:bottom w:val="none" w:sz="0" w:space="0" w:color="auto"/>
            <w:right w:val="none" w:sz="0" w:space="0" w:color="auto"/>
          </w:divBdr>
        </w:div>
        <w:div w:id="245726538">
          <w:blockQuote w:val="1"/>
          <w:marLeft w:val="720"/>
          <w:marRight w:val="720"/>
          <w:marTop w:val="100"/>
          <w:marBottom w:val="100"/>
          <w:divBdr>
            <w:top w:val="none" w:sz="0" w:space="0" w:color="auto"/>
            <w:left w:val="none" w:sz="0" w:space="0" w:color="auto"/>
            <w:bottom w:val="none" w:sz="0" w:space="0" w:color="auto"/>
            <w:right w:val="none" w:sz="0" w:space="0" w:color="auto"/>
          </w:divBdr>
        </w:div>
        <w:div w:id="9241923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4380536">
      <w:bodyDiv w:val="1"/>
      <w:marLeft w:val="0"/>
      <w:marRight w:val="0"/>
      <w:marTop w:val="0"/>
      <w:marBottom w:val="0"/>
      <w:divBdr>
        <w:top w:val="none" w:sz="0" w:space="0" w:color="auto"/>
        <w:left w:val="none" w:sz="0" w:space="0" w:color="auto"/>
        <w:bottom w:val="none" w:sz="0" w:space="0" w:color="auto"/>
        <w:right w:val="none" w:sz="0" w:space="0" w:color="auto"/>
      </w:divBdr>
      <w:divsChild>
        <w:div w:id="584920940">
          <w:blockQuote w:val="1"/>
          <w:marLeft w:val="720"/>
          <w:marRight w:val="720"/>
          <w:marTop w:val="100"/>
          <w:marBottom w:val="100"/>
          <w:divBdr>
            <w:top w:val="none" w:sz="0" w:space="0" w:color="auto"/>
            <w:left w:val="none" w:sz="0" w:space="0" w:color="auto"/>
            <w:bottom w:val="none" w:sz="0" w:space="0" w:color="auto"/>
            <w:right w:val="none" w:sz="0" w:space="0" w:color="auto"/>
          </w:divBdr>
        </w:div>
        <w:div w:id="1625884909">
          <w:blockQuote w:val="1"/>
          <w:marLeft w:val="720"/>
          <w:marRight w:val="720"/>
          <w:marTop w:val="100"/>
          <w:marBottom w:val="100"/>
          <w:divBdr>
            <w:top w:val="none" w:sz="0" w:space="0" w:color="auto"/>
            <w:left w:val="none" w:sz="0" w:space="0" w:color="auto"/>
            <w:bottom w:val="none" w:sz="0" w:space="0" w:color="auto"/>
            <w:right w:val="none" w:sz="0" w:space="0" w:color="auto"/>
          </w:divBdr>
        </w:div>
        <w:div w:id="2141337522">
          <w:blockQuote w:val="1"/>
          <w:marLeft w:val="720"/>
          <w:marRight w:val="720"/>
          <w:marTop w:val="100"/>
          <w:marBottom w:val="100"/>
          <w:divBdr>
            <w:top w:val="none" w:sz="0" w:space="0" w:color="auto"/>
            <w:left w:val="none" w:sz="0" w:space="0" w:color="auto"/>
            <w:bottom w:val="none" w:sz="0" w:space="0" w:color="auto"/>
            <w:right w:val="none" w:sz="0" w:space="0" w:color="auto"/>
          </w:divBdr>
        </w:div>
        <w:div w:id="13719507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4407238">
      <w:bodyDiv w:val="1"/>
      <w:marLeft w:val="0"/>
      <w:marRight w:val="0"/>
      <w:marTop w:val="0"/>
      <w:marBottom w:val="0"/>
      <w:divBdr>
        <w:top w:val="none" w:sz="0" w:space="0" w:color="auto"/>
        <w:left w:val="none" w:sz="0" w:space="0" w:color="auto"/>
        <w:bottom w:val="none" w:sz="0" w:space="0" w:color="auto"/>
        <w:right w:val="none" w:sz="0" w:space="0" w:color="auto"/>
      </w:divBdr>
      <w:divsChild>
        <w:div w:id="851529454">
          <w:blockQuote w:val="1"/>
          <w:marLeft w:val="720"/>
          <w:marRight w:val="720"/>
          <w:marTop w:val="100"/>
          <w:marBottom w:val="100"/>
          <w:divBdr>
            <w:top w:val="none" w:sz="0" w:space="0" w:color="auto"/>
            <w:left w:val="none" w:sz="0" w:space="0" w:color="auto"/>
            <w:bottom w:val="none" w:sz="0" w:space="0" w:color="auto"/>
            <w:right w:val="none" w:sz="0" w:space="0" w:color="auto"/>
          </w:divBdr>
        </w:div>
        <w:div w:id="272596699">
          <w:blockQuote w:val="1"/>
          <w:marLeft w:val="720"/>
          <w:marRight w:val="720"/>
          <w:marTop w:val="100"/>
          <w:marBottom w:val="100"/>
          <w:divBdr>
            <w:top w:val="none" w:sz="0" w:space="0" w:color="auto"/>
            <w:left w:val="none" w:sz="0" w:space="0" w:color="auto"/>
            <w:bottom w:val="none" w:sz="0" w:space="0" w:color="auto"/>
            <w:right w:val="none" w:sz="0" w:space="0" w:color="auto"/>
          </w:divBdr>
        </w:div>
        <w:div w:id="1371804647">
          <w:blockQuote w:val="1"/>
          <w:marLeft w:val="720"/>
          <w:marRight w:val="720"/>
          <w:marTop w:val="100"/>
          <w:marBottom w:val="100"/>
          <w:divBdr>
            <w:top w:val="none" w:sz="0" w:space="0" w:color="auto"/>
            <w:left w:val="none" w:sz="0" w:space="0" w:color="auto"/>
            <w:bottom w:val="none" w:sz="0" w:space="0" w:color="auto"/>
            <w:right w:val="none" w:sz="0" w:space="0" w:color="auto"/>
          </w:divBdr>
        </w:div>
        <w:div w:id="417755917">
          <w:blockQuote w:val="1"/>
          <w:marLeft w:val="720"/>
          <w:marRight w:val="720"/>
          <w:marTop w:val="100"/>
          <w:marBottom w:val="100"/>
          <w:divBdr>
            <w:top w:val="none" w:sz="0" w:space="0" w:color="auto"/>
            <w:left w:val="none" w:sz="0" w:space="0" w:color="auto"/>
            <w:bottom w:val="none" w:sz="0" w:space="0" w:color="auto"/>
            <w:right w:val="none" w:sz="0" w:space="0" w:color="auto"/>
          </w:divBdr>
        </w:div>
        <w:div w:id="18853653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9723289">
      <w:bodyDiv w:val="1"/>
      <w:marLeft w:val="0"/>
      <w:marRight w:val="0"/>
      <w:marTop w:val="0"/>
      <w:marBottom w:val="0"/>
      <w:divBdr>
        <w:top w:val="none" w:sz="0" w:space="0" w:color="auto"/>
        <w:left w:val="none" w:sz="0" w:space="0" w:color="auto"/>
        <w:bottom w:val="none" w:sz="0" w:space="0" w:color="auto"/>
        <w:right w:val="none" w:sz="0" w:space="0" w:color="auto"/>
      </w:divBdr>
      <w:divsChild>
        <w:div w:id="1876314013">
          <w:blockQuote w:val="1"/>
          <w:marLeft w:val="720"/>
          <w:marRight w:val="720"/>
          <w:marTop w:val="100"/>
          <w:marBottom w:val="100"/>
          <w:divBdr>
            <w:top w:val="none" w:sz="0" w:space="0" w:color="auto"/>
            <w:left w:val="none" w:sz="0" w:space="0" w:color="auto"/>
            <w:bottom w:val="none" w:sz="0" w:space="0" w:color="auto"/>
            <w:right w:val="none" w:sz="0" w:space="0" w:color="auto"/>
          </w:divBdr>
        </w:div>
        <w:div w:id="1660305216">
          <w:blockQuote w:val="1"/>
          <w:marLeft w:val="720"/>
          <w:marRight w:val="720"/>
          <w:marTop w:val="100"/>
          <w:marBottom w:val="100"/>
          <w:divBdr>
            <w:top w:val="none" w:sz="0" w:space="0" w:color="auto"/>
            <w:left w:val="none" w:sz="0" w:space="0" w:color="auto"/>
            <w:bottom w:val="none" w:sz="0" w:space="0" w:color="auto"/>
            <w:right w:val="none" w:sz="0" w:space="0" w:color="auto"/>
          </w:divBdr>
        </w:div>
        <w:div w:id="438257245">
          <w:blockQuote w:val="1"/>
          <w:marLeft w:val="720"/>
          <w:marRight w:val="720"/>
          <w:marTop w:val="100"/>
          <w:marBottom w:val="100"/>
          <w:divBdr>
            <w:top w:val="none" w:sz="0" w:space="0" w:color="auto"/>
            <w:left w:val="none" w:sz="0" w:space="0" w:color="auto"/>
            <w:bottom w:val="none" w:sz="0" w:space="0" w:color="auto"/>
            <w:right w:val="none" w:sz="0" w:space="0" w:color="auto"/>
          </w:divBdr>
        </w:div>
        <w:div w:id="93791508">
          <w:blockQuote w:val="1"/>
          <w:marLeft w:val="720"/>
          <w:marRight w:val="720"/>
          <w:marTop w:val="100"/>
          <w:marBottom w:val="100"/>
          <w:divBdr>
            <w:top w:val="none" w:sz="0" w:space="0" w:color="auto"/>
            <w:left w:val="none" w:sz="0" w:space="0" w:color="auto"/>
            <w:bottom w:val="none" w:sz="0" w:space="0" w:color="auto"/>
            <w:right w:val="none" w:sz="0" w:space="0" w:color="auto"/>
          </w:divBdr>
        </w:div>
        <w:div w:id="19516190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6367346">
      <w:bodyDiv w:val="1"/>
      <w:marLeft w:val="0"/>
      <w:marRight w:val="0"/>
      <w:marTop w:val="0"/>
      <w:marBottom w:val="0"/>
      <w:divBdr>
        <w:top w:val="none" w:sz="0" w:space="0" w:color="auto"/>
        <w:left w:val="none" w:sz="0" w:space="0" w:color="auto"/>
        <w:bottom w:val="none" w:sz="0" w:space="0" w:color="auto"/>
        <w:right w:val="none" w:sz="0" w:space="0" w:color="auto"/>
      </w:divBdr>
      <w:divsChild>
        <w:div w:id="1647128236">
          <w:blockQuote w:val="1"/>
          <w:marLeft w:val="720"/>
          <w:marRight w:val="720"/>
          <w:marTop w:val="100"/>
          <w:marBottom w:val="100"/>
          <w:divBdr>
            <w:top w:val="none" w:sz="0" w:space="0" w:color="auto"/>
            <w:left w:val="none" w:sz="0" w:space="0" w:color="auto"/>
            <w:bottom w:val="none" w:sz="0" w:space="0" w:color="auto"/>
            <w:right w:val="none" w:sz="0" w:space="0" w:color="auto"/>
          </w:divBdr>
        </w:div>
        <w:div w:id="112477936">
          <w:blockQuote w:val="1"/>
          <w:marLeft w:val="720"/>
          <w:marRight w:val="720"/>
          <w:marTop w:val="100"/>
          <w:marBottom w:val="100"/>
          <w:divBdr>
            <w:top w:val="none" w:sz="0" w:space="0" w:color="auto"/>
            <w:left w:val="none" w:sz="0" w:space="0" w:color="auto"/>
            <w:bottom w:val="none" w:sz="0" w:space="0" w:color="auto"/>
            <w:right w:val="none" w:sz="0" w:space="0" w:color="auto"/>
          </w:divBdr>
        </w:div>
        <w:div w:id="228879609">
          <w:blockQuote w:val="1"/>
          <w:marLeft w:val="720"/>
          <w:marRight w:val="720"/>
          <w:marTop w:val="100"/>
          <w:marBottom w:val="100"/>
          <w:divBdr>
            <w:top w:val="none" w:sz="0" w:space="0" w:color="auto"/>
            <w:left w:val="none" w:sz="0" w:space="0" w:color="auto"/>
            <w:bottom w:val="none" w:sz="0" w:space="0" w:color="auto"/>
            <w:right w:val="none" w:sz="0" w:space="0" w:color="auto"/>
          </w:divBdr>
        </w:div>
        <w:div w:id="5710895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7286718">
      <w:bodyDiv w:val="1"/>
      <w:marLeft w:val="0"/>
      <w:marRight w:val="0"/>
      <w:marTop w:val="0"/>
      <w:marBottom w:val="0"/>
      <w:divBdr>
        <w:top w:val="none" w:sz="0" w:space="0" w:color="auto"/>
        <w:left w:val="none" w:sz="0" w:space="0" w:color="auto"/>
        <w:bottom w:val="none" w:sz="0" w:space="0" w:color="auto"/>
        <w:right w:val="none" w:sz="0" w:space="0" w:color="auto"/>
      </w:divBdr>
      <w:divsChild>
        <w:div w:id="1702508888">
          <w:marLeft w:val="0"/>
          <w:marRight w:val="0"/>
          <w:marTop w:val="0"/>
          <w:marBottom w:val="0"/>
          <w:divBdr>
            <w:top w:val="none" w:sz="0" w:space="0" w:color="auto"/>
            <w:left w:val="none" w:sz="0" w:space="0" w:color="auto"/>
            <w:bottom w:val="none" w:sz="0" w:space="0" w:color="auto"/>
            <w:right w:val="none" w:sz="0" w:space="0" w:color="auto"/>
          </w:divBdr>
          <w:divsChild>
            <w:div w:id="839274213">
              <w:blockQuote w:val="1"/>
              <w:marLeft w:val="720"/>
              <w:marRight w:val="720"/>
              <w:marTop w:val="100"/>
              <w:marBottom w:val="100"/>
              <w:divBdr>
                <w:top w:val="none" w:sz="0" w:space="0" w:color="auto"/>
                <w:left w:val="none" w:sz="0" w:space="0" w:color="auto"/>
                <w:bottom w:val="none" w:sz="0" w:space="0" w:color="auto"/>
                <w:right w:val="none" w:sz="0" w:space="0" w:color="auto"/>
              </w:divBdr>
            </w:div>
            <w:div w:id="1042827566">
              <w:blockQuote w:val="1"/>
              <w:marLeft w:val="720"/>
              <w:marRight w:val="720"/>
              <w:marTop w:val="100"/>
              <w:marBottom w:val="100"/>
              <w:divBdr>
                <w:top w:val="none" w:sz="0" w:space="0" w:color="auto"/>
                <w:left w:val="none" w:sz="0" w:space="0" w:color="auto"/>
                <w:bottom w:val="none" w:sz="0" w:space="0" w:color="auto"/>
                <w:right w:val="none" w:sz="0" w:space="0" w:color="auto"/>
              </w:divBdr>
            </w:div>
            <w:div w:id="4283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10589173">
              <w:blockQuote w:val="1"/>
              <w:marLeft w:val="720"/>
              <w:marRight w:val="720"/>
              <w:marTop w:val="100"/>
              <w:marBottom w:val="100"/>
              <w:divBdr>
                <w:top w:val="none" w:sz="0" w:space="0" w:color="auto"/>
                <w:left w:val="none" w:sz="0" w:space="0" w:color="auto"/>
                <w:bottom w:val="none" w:sz="0" w:space="0" w:color="auto"/>
                <w:right w:val="none" w:sz="0" w:space="0" w:color="auto"/>
              </w:divBdr>
            </w:div>
            <w:div w:id="1955137695">
              <w:blockQuote w:val="1"/>
              <w:marLeft w:val="720"/>
              <w:marRight w:val="720"/>
              <w:marTop w:val="100"/>
              <w:marBottom w:val="100"/>
              <w:divBdr>
                <w:top w:val="none" w:sz="0" w:space="0" w:color="auto"/>
                <w:left w:val="none" w:sz="0" w:space="0" w:color="auto"/>
                <w:bottom w:val="none" w:sz="0" w:space="0" w:color="auto"/>
                <w:right w:val="none" w:sz="0" w:space="0" w:color="auto"/>
              </w:divBdr>
            </w:div>
            <w:div w:id="385103239">
              <w:blockQuote w:val="1"/>
              <w:marLeft w:val="720"/>
              <w:marRight w:val="720"/>
              <w:marTop w:val="100"/>
              <w:marBottom w:val="100"/>
              <w:divBdr>
                <w:top w:val="none" w:sz="0" w:space="0" w:color="auto"/>
                <w:left w:val="none" w:sz="0" w:space="0" w:color="auto"/>
                <w:bottom w:val="none" w:sz="0" w:space="0" w:color="auto"/>
                <w:right w:val="none" w:sz="0" w:space="0" w:color="auto"/>
              </w:divBdr>
            </w:div>
            <w:div w:id="99303422">
              <w:blockQuote w:val="1"/>
              <w:marLeft w:val="720"/>
              <w:marRight w:val="720"/>
              <w:marTop w:val="100"/>
              <w:marBottom w:val="100"/>
              <w:divBdr>
                <w:top w:val="none" w:sz="0" w:space="0" w:color="auto"/>
                <w:left w:val="none" w:sz="0" w:space="0" w:color="auto"/>
                <w:bottom w:val="none" w:sz="0" w:space="0" w:color="auto"/>
                <w:right w:val="none" w:sz="0" w:space="0" w:color="auto"/>
              </w:divBdr>
            </w:div>
            <w:div w:id="2066944953">
              <w:blockQuote w:val="1"/>
              <w:marLeft w:val="720"/>
              <w:marRight w:val="720"/>
              <w:marTop w:val="100"/>
              <w:marBottom w:val="100"/>
              <w:divBdr>
                <w:top w:val="none" w:sz="0" w:space="0" w:color="auto"/>
                <w:left w:val="none" w:sz="0" w:space="0" w:color="auto"/>
                <w:bottom w:val="none" w:sz="0" w:space="0" w:color="auto"/>
                <w:right w:val="none" w:sz="0" w:space="0" w:color="auto"/>
              </w:divBdr>
            </w:div>
            <w:div w:id="869032588">
              <w:blockQuote w:val="1"/>
              <w:marLeft w:val="720"/>
              <w:marRight w:val="720"/>
              <w:marTop w:val="100"/>
              <w:marBottom w:val="100"/>
              <w:divBdr>
                <w:top w:val="none" w:sz="0" w:space="0" w:color="auto"/>
                <w:left w:val="none" w:sz="0" w:space="0" w:color="auto"/>
                <w:bottom w:val="none" w:sz="0" w:space="0" w:color="auto"/>
                <w:right w:val="none" w:sz="0" w:space="0" w:color="auto"/>
              </w:divBdr>
            </w:div>
            <w:div w:id="10785507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01" Type="http://schemas.openxmlformats.org/officeDocument/2006/relationships/hyperlink" Target="http://www.law.unimelb.edu.au/bulletins/158%20October%202010.htm%236" TargetMode="External"/><Relationship Id="rId102" Type="http://schemas.openxmlformats.org/officeDocument/2006/relationships/hyperlink" Target="http://www.law.unimelb.edu.au/bulletins/158%20October%202010.htm%23h5" TargetMode="External"/><Relationship Id="rId103" Type="http://schemas.openxmlformats.org/officeDocument/2006/relationships/hyperlink" Target="mailto:helpdesk.asiapac@saiglobal.com" TargetMode="External"/><Relationship Id="rId104" Type="http://schemas.openxmlformats.org/officeDocument/2006/relationships/fontTable" Target="fontTable.xml"/><Relationship Id="rId10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hyperlink" Target="http://www.lawlex.com.au" TargetMode="External"/><Relationship Id="rId8" Type="http://schemas.openxmlformats.org/officeDocument/2006/relationships/image" Target="media/image2.bmp"/><Relationship Id="rId9" Type="http://schemas.openxmlformats.org/officeDocument/2006/relationships/image" Target="media/image3.gif"/><Relationship Id="rId10" Type="http://schemas.openxmlformats.org/officeDocument/2006/relationships/hyperlink" Target="http://www.law.unimelb.edu.au/bulletins/158%20October%202010.htm" TargetMode="External"/><Relationship Id="rId11" Type="http://schemas.openxmlformats.org/officeDocument/2006/relationships/hyperlink" Target="http://www.law.unimelb.edu.au/bulletins/158%20October%202010.htm" TargetMode="External"/><Relationship Id="rId12" Type="http://schemas.openxmlformats.org/officeDocument/2006/relationships/hyperlink" Target="http://www.law.unimelb.edu.au/bulletins/158%20October%202010.htm" TargetMode="External"/><Relationship Id="rId13" Type="http://schemas.openxmlformats.org/officeDocument/2006/relationships/hyperlink" Target="http://www.law.unimelb.edu.au/bulletins/158%20October%202010.htm" TargetMode="External"/><Relationship Id="rId14" Type="http://schemas.openxmlformats.org/officeDocument/2006/relationships/hyperlink" Target="http://www.law.unimelb.edu.au/bulletins/158%20October%202010.htm" TargetMode="External"/><Relationship Id="rId15" Type="http://schemas.openxmlformats.org/officeDocument/2006/relationships/hyperlink" Target="http://www.law.unimelb.edu.au/bulletins/158%20October%202010.htm" TargetMode="External"/><Relationship Id="rId16" Type="http://schemas.openxmlformats.org/officeDocument/2006/relationships/hyperlink" Target="http://my.lawlex.com.au/default.asp?goto=news_sub" TargetMode="External"/><Relationship Id="rId17" Type="http://schemas.openxmlformats.org/officeDocument/2006/relationships/image" Target="media/image4.gif"/><Relationship Id="rId18" Type="http://schemas.openxmlformats.org/officeDocument/2006/relationships/hyperlink" Target="http://my.lawlex.com.au/default.asp?goto=news" TargetMode="External"/><Relationship Id="rId19" Type="http://schemas.openxmlformats.org/officeDocument/2006/relationships/image" Target="media/image5.gif"/><Relationship Id="rId30" Type="http://schemas.openxmlformats.org/officeDocument/2006/relationships/hyperlink" Target="http://www.law.unimelb.edu.au/bulletins/158%20October%202010.htm%231" TargetMode="External"/><Relationship Id="rId31" Type="http://schemas.openxmlformats.org/officeDocument/2006/relationships/image" Target="media/image11.gif"/><Relationship Id="rId32" Type="http://schemas.openxmlformats.org/officeDocument/2006/relationships/hyperlink" Target="http://www.law.unimelb.edu.au/bulletins/158%20October%202010.htm" TargetMode="External"/><Relationship Id="rId33" Type="http://schemas.openxmlformats.org/officeDocument/2006/relationships/hyperlink" Target="http://www.law.unimelb.edu.au/bulletins/158%20October%202010.htm" TargetMode="External"/><Relationship Id="rId34" Type="http://schemas.openxmlformats.org/officeDocument/2006/relationships/hyperlink" Target="http://www.law.unimelb.edu.au/bulletins/158%20October%202010.htm" TargetMode="External"/><Relationship Id="rId35" Type="http://schemas.openxmlformats.org/officeDocument/2006/relationships/hyperlink" Target="http://www.law.unimelb.edu.au/bulletins/158%20October%202010.htm" TargetMode="External"/><Relationship Id="rId36" Type="http://schemas.openxmlformats.org/officeDocument/2006/relationships/hyperlink" Target="http://www.law.unimelb.edu.au/bulletins/158%20October%202010.htm" TargetMode="External"/><Relationship Id="rId37" Type="http://schemas.openxmlformats.org/officeDocument/2006/relationships/hyperlink" Target="http://www.law.unimelb.edu.au/bulletins/158%20October%202010.htm" TargetMode="External"/><Relationship Id="rId38" Type="http://schemas.openxmlformats.org/officeDocument/2006/relationships/hyperlink" Target="http://www.law.unimelb.edu.au/bulletins/158%20October%202010.htm" TargetMode="External"/><Relationship Id="rId39" Type="http://schemas.openxmlformats.org/officeDocument/2006/relationships/hyperlink" Target="http://www.law.unimelb.edu.au/bulletins/158%20October%202010.htm" TargetMode="External"/><Relationship Id="rId50" Type="http://schemas.openxmlformats.org/officeDocument/2006/relationships/hyperlink" Target="http://www.law.unimelb.edu.au/bulletins/158%20October%202010.htm" TargetMode="External"/><Relationship Id="rId51" Type="http://schemas.openxmlformats.org/officeDocument/2006/relationships/hyperlink" Target="http://www.law.unimelb.edu.au/bulletins/158%20October%202010.htm" TargetMode="External"/><Relationship Id="rId52" Type="http://schemas.openxmlformats.org/officeDocument/2006/relationships/hyperlink" Target="http://www.law.unimelb.edu.au/bulletins/158%20October%202010.htm" TargetMode="External"/><Relationship Id="rId53" Type="http://schemas.openxmlformats.org/officeDocument/2006/relationships/hyperlink" Target="http://www.law.unimelb.edu.au/bulletins/158%20October%202010.htm" TargetMode="External"/><Relationship Id="rId54" Type="http://schemas.openxmlformats.org/officeDocument/2006/relationships/hyperlink" Target="http://www.law.unimelb.edu.au/bulletins/158%20October%202010.htm" TargetMode="External"/><Relationship Id="rId55" Type="http://schemas.openxmlformats.org/officeDocument/2006/relationships/hyperlink" Target="http://www.law.unimelb.edu.au/bulletins/158%20October%202010.htm" TargetMode="External"/><Relationship Id="rId56" Type="http://schemas.openxmlformats.org/officeDocument/2006/relationships/hyperlink" Target="http://www.law.unimelb.edu.au/bulletins/158%20October%202010.htm" TargetMode="External"/><Relationship Id="rId57" Type="http://schemas.openxmlformats.org/officeDocument/2006/relationships/hyperlink" Target="http://www.law.unimelb.edu.au/bulletins/158%20October%202010.htm" TargetMode="External"/><Relationship Id="rId58" Type="http://schemas.openxmlformats.org/officeDocument/2006/relationships/hyperlink" Target="http://www.law.unimelb.edu.au/bulletins/158%20October%202010.htm" TargetMode="External"/><Relationship Id="rId59" Type="http://schemas.openxmlformats.org/officeDocument/2006/relationships/hyperlink" Target="http://www.law.unimelb.edu.au/bulletins/158%20October%202010.htm" TargetMode="External"/><Relationship Id="rId70" Type="http://schemas.openxmlformats.org/officeDocument/2006/relationships/hyperlink" Target="http://www.law.unimelb.edu.au/bulletins/158%20October%202010.htm" TargetMode="External"/><Relationship Id="rId71" Type="http://schemas.openxmlformats.org/officeDocument/2006/relationships/hyperlink" Target="http://www.law.unimelb.edu.au/bulletins/158%20October%202010.htm" TargetMode="External"/><Relationship Id="rId72" Type="http://schemas.openxmlformats.org/officeDocument/2006/relationships/hyperlink" Target="http://www.law.unimelb.edu.au/bulletins/158%20October%202010.htm" TargetMode="External"/><Relationship Id="rId73" Type="http://schemas.openxmlformats.org/officeDocument/2006/relationships/hyperlink" Target="http://www.law.unimelb.edu.au/bulletins/158%20October%202010.htm" TargetMode="External"/><Relationship Id="rId74" Type="http://schemas.openxmlformats.org/officeDocument/2006/relationships/hyperlink" Target="http://www.law.unimelb.edu.au/bulletins/158%20October%202010.htm" TargetMode="External"/><Relationship Id="rId75" Type="http://schemas.openxmlformats.org/officeDocument/2006/relationships/hyperlink" Target="http://www.law.unimelb.edu.au/bulletins/158%20October%202010.htm" TargetMode="External"/><Relationship Id="rId76" Type="http://schemas.openxmlformats.org/officeDocument/2006/relationships/hyperlink" Target="http://www.law.unimelb.edu.au/bulletins/158%20October%202010.htm" TargetMode="External"/><Relationship Id="rId77" Type="http://schemas.openxmlformats.org/officeDocument/2006/relationships/hyperlink" Target="http://www.law.unimelb.edu.au/bulletins/158%20October%202010.htm" TargetMode="External"/><Relationship Id="rId78" Type="http://schemas.openxmlformats.org/officeDocument/2006/relationships/hyperlink" Target="http://www.law.unimelb.edu.au/bulletins/158%20October%202010.htm" TargetMode="External"/><Relationship Id="rId79" Type="http://schemas.openxmlformats.org/officeDocument/2006/relationships/hyperlink" Target="http://www.law.unimelb.edu.au/bulletins/158%20October%202010.htm" TargetMode="External"/><Relationship Id="rId90" Type="http://schemas.openxmlformats.org/officeDocument/2006/relationships/hyperlink" Target="http://www.law.unimelb.edu.au/bulletins/158%20October%202010.htm" TargetMode="External"/><Relationship Id="rId91" Type="http://schemas.openxmlformats.org/officeDocument/2006/relationships/hyperlink" Target="http://www.law.unimelb.edu.au/bulletins/158%20October%202010.htm" TargetMode="External"/><Relationship Id="rId92" Type="http://schemas.openxmlformats.org/officeDocument/2006/relationships/hyperlink" Target="http://www.law.unimelb.edu.au/bulletins/158%20October%202010.htm%232" TargetMode="External"/><Relationship Id="rId93" Type="http://schemas.openxmlformats.org/officeDocument/2006/relationships/hyperlink" Target="http://www.law.unimelb.edu.au/bulletins/158%20October%202010.htm%23h1" TargetMode="External"/><Relationship Id="rId94" Type="http://schemas.openxmlformats.org/officeDocument/2006/relationships/image" Target="media/image12.gif"/><Relationship Id="rId95" Type="http://schemas.openxmlformats.org/officeDocument/2006/relationships/hyperlink" Target="http://www.law.unimelb.edu.au/bulletins/158%20October%202010.htm%233" TargetMode="External"/><Relationship Id="rId96" Type="http://schemas.openxmlformats.org/officeDocument/2006/relationships/hyperlink" Target="http://www.law.unimelb.edu.au/bulletins/158%20October%202010.htm%23h2" TargetMode="External"/><Relationship Id="rId97" Type="http://schemas.openxmlformats.org/officeDocument/2006/relationships/hyperlink" Target="http://www.law.unimelb.edu.au/bulletins/158%20October%202010.htm%234" TargetMode="External"/><Relationship Id="rId98" Type="http://schemas.openxmlformats.org/officeDocument/2006/relationships/hyperlink" Target="http://www.law.unimelb.edu.au/bulletins/158%20October%202010.htm%23h3" TargetMode="External"/><Relationship Id="rId99" Type="http://schemas.openxmlformats.org/officeDocument/2006/relationships/hyperlink" Target="http://www.law.unimelb.edu.au/bulletins/158%20October%202010.htm%235" TargetMode="External"/><Relationship Id="rId20" Type="http://schemas.openxmlformats.org/officeDocument/2006/relationships/hyperlink" Target="http://infostore.saiglobal.com/store/results2.aspx?searchType=subject&amp;publisher=All&amp;doctype=All&amp;status=Current&amp;sfld1=ICS%20Code&amp;sval1=03.160" TargetMode="External"/><Relationship Id="rId21" Type="http://schemas.openxmlformats.org/officeDocument/2006/relationships/image" Target="media/image6.gif"/><Relationship Id="rId22" Type="http://schemas.openxmlformats.org/officeDocument/2006/relationships/hyperlink" Target="http://my.lawlex.com.au/default.asp?goto=search_leg" TargetMode="External"/><Relationship Id="rId23" Type="http://schemas.openxmlformats.org/officeDocument/2006/relationships/image" Target="media/image7.gif"/><Relationship Id="rId24" Type="http://schemas.openxmlformats.org/officeDocument/2006/relationships/hyperlink" Target="http://www.saiglobal.com/Compliance/regulatory-news/asiapac/lawlex-legislative-alert.htm" TargetMode="External"/><Relationship Id="rId25" Type="http://schemas.openxmlformats.org/officeDocument/2006/relationships/image" Target="media/image8.gif"/><Relationship Id="rId26" Type="http://schemas.openxmlformats.org/officeDocument/2006/relationships/hyperlink" Target="http://www.saiglobal.com/compliance/regulatory-news/default.htm" TargetMode="External"/><Relationship Id="rId27" Type="http://schemas.openxmlformats.org/officeDocument/2006/relationships/image" Target="media/image9.gif"/><Relationship Id="rId28" Type="http://schemas.openxmlformats.org/officeDocument/2006/relationships/hyperlink" Target="http://www.saiglobal.com/compliance/about/" TargetMode="External"/><Relationship Id="rId29" Type="http://schemas.openxmlformats.org/officeDocument/2006/relationships/image" Target="media/image10.gif"/><Relationship Id="rId40" Type="http://schemas.openxmlformats.org/officeDocument/2006/relationships/hyperlink" Target="http://www.law.unimelb.edu.au/bulletins/158%20October%202010.htm" TargetMode="External"/><Relationship Id="rId41" Type="http://schemas.openxmlformats.org/officeDocument/2006/relationships/hyperlink" Target="http://www.law.unimelb.edu.au/bulletins/158%20October%202010.htm" TargetMode="External"/><Relationship Id="rId42" Type="http://schemas.openxmlformats.org/officeDocument/2006/relationships/hyperlink" Target="http://www.law.unimelb.edu.au/bulletins/158%20October%202010.htm" TargetMode="External"/><Relationship Id="rId43" Type="http://schemas.openxmlformats.org/officeDocument/2006/relationships/hyperlink" Target="http://www.law.unimelb.edu.au/bulletins/158%20October%202010.htm" TargetMode="External"/><Relationship Id="rId44" Type="http://schemas.openxmlformats.org/officeDocument/2006/relationships/hyperlink" Target="http://www.law.unimelb.edu.au/bulletins/158%20October%202010.htm" TargetMode="External"/><Relationship Id="rId45" Type="http://schemas.openxmlformats.org/officeDocument/2006/relationships/hyperlink" Target="http://www.law.unimelb.edu.au/bulletins/158%20October%202010.htm" TargetMode="External"/><Relationship Id="rId46" Type="http://schemas.openxmlformats.org/officeDocument/2006/relationships/hyperlink" Target="http://www.law.unimelb.edu.au/bulletins/158%20October%202010.htm" TargetMode="External"/><Relationship Id="rId47" Type="http://schemas.openxmlformats.org/officeDocument/2006/relationships/hyperlink" Target="http://www.law.unimelb.edu.au/bulletins/158%20October%202010.htm" TargetMode="External"/><Relationship Id="rId48" Type="http://schemas.openxmlformats.org/officeDocument/2006/relationships/hyperlink" Target="http://www.law.unimelb.edu.au/bulletins/158%20October%202010.htm" TargetMode="External"/><Relationship Id="rId49" Type="http://schemas.openxmlformats.org/officeDocument/2006/relationships/hyperlink" Target="http://www.law.unimelb.edu.au/bulletins/158%20October%202010.htm" TargetMode="External"/><Relationship Id="rId60" Type="http://schemas.openxmlformats.org/officeDocument/2006/relationships/hyperlink" Target="http://www.law.unimelb.edu.au/bulletins/158%20October%202010.htm" TargetMode="External"/><Relationship Id="rId61" Type="http://schemas.openxmlformats.org/officeDocument/2006/relationships/hyperlink" Target="http://www.law.unimelb.edu.au/bulletins/158%20October%202010.htm" TargetMode="External"/><Relationship Id="rId62" Type="http://schemas.openxmlformats.org/officeDocument/2006/relationships/hyperlink" Target="http://www.law.unimelb.edu.au/bulletins/158%20October%202010.htm" TargetMode="External"/><Relationship Id="rId63" Type="http://schemas.openxmlformats.org/officeDocument/2006/relationships/hyperlink" Target="http://www.law.unimelb.edu.au/bulletins/158%20October%202010.htm" TargetMode="External"/><Relationship Id="rId64" Type="http://schemas.openxmlformats.org/officeDocument/2006/relationships/hyperlink" Target="http://www.law.unimelb.edu.au/bulletins/158%20October%202010.htm" TargetMode="External"/><Relationship Id="rId65" Type="http://schemas.openxmlformats.org/officeDocument/2006/relationships/hyperlink" Target="http://www.law.unimelb.edu.au/bulletins/158%20October%202010.htm" TargetMode="External"/><Relationship Id="rId66" Type="http://schemas.openxmlformats.org/officeDocument/2006/relationships/hyperlink" Target="http://www.law.unimelb.edu.au/bulletins/158%20October%202010.htm" TargetMode="External"/><Relationship Id="rId67" Type="http://schemas.openxmlformats.org/officeDocument/2006/relationships/hyperlink" Target="http://www.law.unimelb.edu.au/bulletins/158%20October%202010.htm" TargetMode="External"/><Relationship Id="rId68" Type="http://schemas.openxmlformats.org/officeDocument/2006/relationships/hyperlink" Target="http://www.law.unimelb.edu.au/bulletins/158%20October%202010.htm" TargetMode="External"/><Relationship Id="rId69" Type="http://schemas.openxmlformats.org/officeDocument/2006/relationships/hyperlink" Target="http://www.law.unimelb.edu.au/bulletins/158%20October%202010.htm" TargetMode="External"/><Relationship Id="rId100" Type="http://schemas.openxmlformats.org/officeDocument/2006/relationships/hyperlink" Target="http://www.law.unimelb.edu.au/bulletins/158%20October%202010.htm%23h4" TargetMode="External"/><Relationship Id="rId80" Type="http://schemas.openxmlformats.org/officeDocument/2006/relationships/hyperlink" Target="http://www.law.unimelb.edu.au/bulletins/158%20October%202010.htm" TargetMode="External"/><Relationship Id="rId81" Type="http://schemas.openxmlformats.org/officeDocument/2006/relationships/hyperlink" Target="http://www.law.unimelb.edu.au/bulletins/158%20October%202010.htm" TargetMode="External"/><Relationship Id="rId82" Type="http://schemas.openxmlformats.org/officeDocument/2006/relationships/hyperlink" Target="http://www.law.unimelb.edu.au/bulletins/158%20October%202010.htm" TargetMode="External"/><Relationship Id="rId83" Type="http://schemas.openxmlformats.org/officeDocument/2006/relationships/hyperlink" Target="http://www.law.unimelb.edu.au/bulletins/158%20October%202010.htm" TargetMode="External"/><Relationship Id="rId84" Type="http://schemas.openxmlformats.org/officeDocument/2006/relationships/hyperlink" Target="http://www.law.unimelb.edu.au/bulletins/158%20October%202010.htm" TargetMode="External"/><Relationship Id="rId85" Type="http://schemas.openxmlformats.org/officeDocument/2006/relationships/hyperlink" Target="http://www.law.unimelb.edu.au/bulletins/158%20October%202010.htm" TargetMode="External"/><Relationship Id="rId86" Type="http://schemas.openxmlformats.org/officeDocument/2006/relationships/hyperlink" Target="http://www.law.unimelb.edu.au/bulletins/158%20October%202010.htm" TargetMode="External"/><Relationship Id="rId87" Type="http://schemas.openxmlformats.org/officeDocument/2006/relationships/hyperlink" Target="http://www.law.unimelb.edu.au/bulletins/158%20October%202010.htm" TargetMode="External"/><Relationship Id="rId88" Type="http://schemas.openxmlformats.org/officeDocument/2006/relationships/hyperlink" Target="http://www.law.unimelb.edu.au/bulletins/158%20October%202010.htm" TargetMode="External"/><Relationship Id="rId89" Type="http://schemas.openxmlformats.org/officeDocument/2006/relationships/hyperlink" Target="http://www.law.unimelb.edu.au/bulletins/158%20October%20201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63</Pages>
  <Words>29350</Words>
  <Characters>167299</Characters>
  <Application>Microsoft Macintosh Word</Application>
  <DocSecurity>0</DocSecurity>
  <Lines>1394</Lines>
  <Paragraphs>392</Paragraphs>
  <ScaleCrop>false</ScaleCrop>
  <Company/>
  <LinksUpToDate>false</LinksUpToDate>
  <CharactersWithSpaces>196257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Kilroy</dc:creator>
  <cp:keywords/>
  <dc:description/>
  <cp:lastModifiedBy>Katharine Kilroy</cp:lastModifiedBy>
  <cp:revision>2</cp:revision>
  <dcterms:created xsi:type="dcterms:W3CDTF">2015-11-22T08:58:00Z</dcterms:created>
  <dcterms:modified xsi:type="dcterms:W3CDTF">2015-11-22T08:58:00Z</dcterms:modified>
</cp:coreProperties>
</file>