
<file path=[Content_Types].xml><?xml version="1.0" encoding="utf-8"?>
<Types xmlns="http://schemas.openxmlformats.org/package/2006/content-types">
  <Default Extension="xml" ContentType="application/xml"/>
  <Default Extension="jpeg" ContentType="image/jpeg"/>
  <Default Extension="bmp" ContentType="image/bmp"/>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0B6" w:rsidRPr="00F060B6" w:rsidRDefault="00F060B6" w:rsidP="00F060B6">
      <w:pPr>
        <w:tabs>
          <w:tab w:val="left" w:pos="2400"/>
        </w:tabs>
        <w:autoSpaceDE w:val="0"/>
        <w:autoSpaceDN w:val="0"/>
        <w:adjustRightInd w:val="0"/>
        <w:spacing w:before="100" w:beforeAutospacing="1" w:after="100" w:afterAutospacing="1"/>
        <w:ind w:left="2400" w:hanging="2400"/>
        <w:rPr>
          <w:rFonts w:ascii="Times" w:hAnsi="Times" w:cs="Times New Roman"/>
          <w:sz w:val="20"/>
          <w:szCs w:val="20"/>
          <w:lang w:val="en-AU"/>
        </w:rPr>
      </w:pPr>
      <w:r w:rsidRPr="00F060B6">
        <w:rPr>
          <w:rFonts w:ascii="Times" w:hAnsi="Times" w:cs="Times New Roman"/>
          <w:sz w:val="20"/>
          <w:szCs w:val="20"/>
          <w:lang w:val="en-AU"/>
        </w:rPr>
        <w:t> </w:t>
      </w:r>
    </w:p>
    <w:p w:rsidR="00F060B6" w:rsidRPr="00F060B6" w:rsidRDefault="00F060B6" w:rsidP="00F060B6">
      <w:pPr>
        <w:spacing w:before="100" w:beforeAutospacing="1" w:after="100" w:afterAutospacing="1"/>
        <w:rPr>
          <w:rFonts w:ascii="Times" w:hAnsi="Times" w:cs="Times New Roman"/>
          <w:sz w:val="20"/>
          <w:szCs w:val="20"/>
          <w:lang w:val="en-AU"/>
        </w:rPr>
      </w:pPr>
      <w:r w:rsidRPr="00F060B6">
        <w:rPr>
          <w:rFonts w:ascii="Times" w:hAnsi="Times" w:cs="Times New Roman"/>
          <w:sz w:val="20"/>
          <w:szCs w:val="20"/>
          <w:lang w:val="en-AU"/>
        </w:rPr>
        <w:t> </w:t>
      </w:r>
    </w:p>
    <w:tbl>
      <w:tblPr>
        <w:tblW w:w="5000" w:type="pct"/>
        <w:tblCellSpacing w:w="0" w:type="dxa"/>
        <w:tblCellMar>
          <w:left w:w="0" w:type="dxa"/>
          <w:right w:w="0" w:type="dxa"/>
        </w:tblCellMar>
        <w:tblLook w:val="04A0" w:firstRow="1" w:lastRow="0" w:firstColumn="1" w:lastColumn="0" w:noHBand="0" w:noVBand="1"/>
      </w:tblPr>
      <w:tblGrid>
        <w:gridCol w:w="8300"/>
      </w:tblGrid>
      <w:tr w:rsidR="00F060B6" w:rsidRPr="00F060B6" w:rsidTr="00F060B6">
        <w:trPr>
          <w:trHeight w:val="1440"/>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138"/>
              <w:gridCol w:w="6056"/>
              <w:gridCol w:w="2012"/>
              <w:gridCol w:w="94"/>
            </w:tblGrid>
            <w:tr w:rsidR="00F060B6" w:rsidRPr="00F060B6">
              <w:trPr>
                <w:trHeight w:val="75"/>
                <w:tblCellSpacing w:w="0" w:type="dxa"/>
              </w:trPr>
              <w:tc>
                <w:tcPr>
                  <w:tcW w:w="255" w:type="dxa"/>
                  <w:vAlign w:val="center"/>
                  <w:hideMark/>
                </w:tcPr>
                <w:p w:rsidR="00F060B6" w:rsidRPr="00F060B6" w:rsidRDefault="00F060B6" w:rsidP="00F060B6">
                  <w:pPr>
                    <w:spacing w:before="100" w:beforeAutospacing="1" w:after="100" w:afterAutospacing="1" w:line="75" w:lineRule="atLeast"/>
                    <w:rPr>
                      <w:rFonts w:ascii="Times" w:hAnsi="Times" w:cs="Times New Roman"/>
                      <w:sz w:val="20"/>
                      <w:szCs w:val="20"/>
                      <w:lang w:val="en-AU"/>
                    </w:rPr>
                  </w:pPr>
                  <w:bookmarkStart w:id="0" w:name="top"/>
                  <w:bookmarkEnd w:id="0"/>
                  <w:r>
                    <w:rPr>
                      <w:rFonts w:ascii="Arial" w:eastAsia="Times New Roman" w:hAnsi="Arial" w:cs="Arial"/>
                      <w:noProof/>
                      <w:color w:val="000000"/>
                      <w:sz w:val="18"/>
                      <w:szCs w:val="18"/>
                    </w:rPr>
                    <w:drawing>
                      <wp:inline distT="0" distB="0" distL="0" distR="0">
                        <wp:extent cx="59690" cy="59690"/>
                        <wp:effectExtent l="0" t="0" r="0" b="0"/>
                        <wp:docPr id="21449" name="Picture 21449"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49"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90" cy="59690"/>
                                </a:xfrm>
                                <a:prstGeom prst="rect">
                                  <a:avLst/>
                                </a:prstGeom>
                                <a:noFill/>
                                <a:ln>
                                  <a:noFill/>
                                </a:ln>
                              </pic:spPr>
                            </pic:pic>
                          </a:graphicData>
                        </a:graphic>
                      </wp:inline>
                    </w:drawing>
                  </w:r>
                </w:p>
              </w:tc>
              <w:tc>
                <w:tcPr>
                  <w:tcW w:w="2355" w:type="dxa"/>
                  <w:vAlign w:val="center"/>
                  <w:hideMark/>
                </w:tcPr>
                <w:p w:rsidR="00F060B6" w:rsidRPr="00F060B6" w:rsidRDefault="00F060B6" w:rsidP="00F060B6">
                  <w:pPr>
                    <w:spacing w:before="100" w:beforeAutospacing="1" w:after="100" w:afterAutospacing="1" w:line="75" w:lineRule="atLeast"/>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59690"/>
                        <wp:effectExtent l="0" t="0" r="0" b="0"/>
                        <wp:docPr id="21450" name="Picture 21450"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50"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59690"/>
                                </a:xfrm>
                                <a:prstGeom prst="rect">
                                  <a:avLst/>
                                </a:prstGeom>
                                <a:noFill/>
                                <a:ln>
                                  <a:noFill/>
                                </a:ln>
                              </pic:spPr>
                            </pic:pic>
                          </a:graphicData>
                        </a:graphic>
                      </wp:inline>
                    </w:drawing>
                  </w:r>
                </w:p>
              </w:tc>
              <w:tc>
                <w:tcPr>
                  <w:tcW w:w="3840" w:type="dxa"/>
                  <w:vAlign w:val="center"/>
                  <w:hideMark/>
                </w:tcPr>
                <w:p w:rsidR="00F060B6" w:rsidRPr="00F060B6" w:rsidRDefault="00F060B6" w:rsidP="00F060B6">
                  <w:pPr>
                    <w:spacing w:before="100" w:beforeAutospacing="1" w:after="100" w:afterAutospacing="1" w:line="75" w:lineRule="atLeast"/>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59690"/>
                        <wp:effectExtent l="0" t="0" r="0" b="0"/>
                        <wp:docPr id="21451" name="Picture 21451"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51"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59690"/>
                                </a:xfrm>
                                <a:prstGeom prst="rect">
                                  <a:avLst/>
                                </a:prstGeom>
                                <a:noFill/>
                                <a:ln>
                                  <a:noFill/>
                                </a:ln>
                              </pic:spPr>
                            </pic:pic>
                          </a:graphicData>
                        </a:graphic>
                      </wp:inline>
                    </w:drawing>
                  </w:r>
                </w:p>
              </w:tc>
              <w:tc>
                <w:tcPr>
                  <w:tcW w:w="0" w:type="auto"/>
                  <w:vAlign w:val="center"/>
                  <w:hideMark/>
                </w:tcPr>
                <w:p w:rsidR="00F060B6" w:rsidRPr="00F060B6" w:rsidRDefault="00F060B6" w:rsidP="00F060B6">
                  <w:pPr>
                    <w:spacing w:before="100" w:beforeAutospacing="1" w:after="100" w:afterAutospacing="1" w:line="75" w:lineRule="atLeast"/>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59690" cy="59690"/>
                        <wp:effectExtent l="0" t="0" r="0" b="0"/>
                        <wp:docPr id="21452" name="Picture 21452"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52"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90" cy="59690"/>
                                </a:xfrm>
                                <a:prstGeom prst="rect">
                                  <a:avLst/>
                                </a:prstGeom>
                                <a:noFill/>
                                <a:ln>
                                  <a:noFill/>
                                </a:ln>
                              </pic:spPr>
                            </pic:pic>
                          </a:graphicData>
                        </a:graphic>
                      </wp:inline>
                    </w:drawing>
                  </w:r>
                </w:p>
              </w:tc>
            </w:tr>
            <w:tr w:rsidR="00F060B6" w:rsidRPr="00F060B6">
              <w:trPr>
                <w:tblCellSpacing w:w="0" w:type="dxa"/>
              </w:trPr>
              <w:tc>
                <w:tcPr>
                  <w:tcW w:w="0" w:type="auto"/>
                  <w:vAlign w:val="center"/>
                  <w:hideMark/>
                </w:tcPr>
                <w:p w:rsidR="00F060B6" w:rsidRPr="00F060B6" w:rsidRDefault="00F060B6" w:rsidP="00F060B6">
                  <w:pPr>
                    <w:spacing w:before="100" w:beforeAutospacing="1" w:after="100" w:afterAutospacing="1"/>
                    <w:rPr>
                      <w:rFonts w:ascii="Times" w:hAnsi="Times" w:cs="Times New Roman"/>
                      <w:sz w:val="20"/>
                      <w:szCs w:val="20"/>
                      <w:lang w:val="en-AU"/>
                    </w:rPr>
                  </w:pPr>
                  <w:r w:rsidRPr="00F060B6">
                    <w:rPr>
                      <w:rFonts w:ascii="Arial" w:eastAsia="Times New Roman" w:hAnsi="Arial" w:cs="Arial"/>
                      <w:color w:val="000000"/>
                      <w:sz w:val="18"/>
                      <w:szCs w:val="18"/>
                      <w:lang w:val="en-AU"/>
                    </w:rPr>
                    <w:t> </w:t>
                  </w:r>
                </w:p>
              </w:tc>
              <w:tc>
                <w:tcPr>
                  <w:tcW w:w="0" w:type="auto"/>
                  <w:hideMark/>
                </w:tcPr>
                <w:p w:rsidR="00F060B6" w:rsidRPr="00F060B6" w:rsidRDefault="00F060B6" w:rsidP="00F060B6">
                  <w:pPr>
                    <w:spacing w:before="100" w:beforeAutospacing="1" w:after="100" w:afterAutospacing="1"/>
                    <w:rPr>
                      <w:rFonts w:ascii="Times" w:hAnsi="Times" w:cs="Times New Roman"/>
                      <w:sz w:val="20"/>
                      <w:szCs w:val="20"/>
                      <w:lang w:val="en-AU"/>
                    </w:rPr>
                  </w:pPr>
                  <w:r>
                    <w:rPr>
                      <w:rFonts w:ascii="Arial" w:eastAsia="Times New Roman" w:hAnsi="Arial" w:cs="Arial"/>
                      <w:noProof/>
                      <w:color w:val="0000FF"/>
                      <w:sz w:val="18"/>
                      <w:szCs w:val="18"/>
                    </w:rPr>
                    <w:drawing>
                      <wp:inline distT="0" distB="0" distL="0" distR="0">
                        <wp:extent cx="3845560" cy="889000"/>
                        <wp:effectExtent l="0" t="0" r="0" b="0"/>
                        <wp:docPr id="21453" name="Picture 21453" descr="AI Globa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53" descr="AI Glob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5560" cy="889000"/>
                                </a:xfrm>
                                <a:prstGeom prst="rect">
                                  <a:avLst/>
                                </a:prstGeom>
                                <a:noFill/>
                                <a:ln>
                                  <a:noFill/>
                                </a:ln>
                              </pic:spPr>
                            </pic:pic>
                          </a:graphicData>
                        </a:graphic>
                      </wp:inline>
                    </w:drawing>
                  </w:r>
                </w:p>
              </w:tc>
              <w:tc>
                <w:tcPr>
                  <w:tcW w:w="0" w:type="auto"/>
                  <w:vAlign w:val="center"/>
                  <w:hideMark/>
                </w:tcPr>
                <w:p w:rsidR="00F060B6" w:rsidRPr="00F060B6" w:rsidRDefault="00F060B6" w:rsidP="00F060B6">
                  <w:pPr>
                    <w:spacing w:before="100" w:beforeAutospacing="1" w:after="100" w:afterAutospacing="1"/>
                    <w:rPr>
                      <w:rFonts w:ascii="Times" w:hAnsi="Times" w:cs="Times New Roman"/>
                      <w:sz w:val="20"/>
                      <w:szCs w:val="20"/>
                      <w:lang w:val="en-AU"/>
                    </w:rPr>
                  </w:pPr>
                  <w:r w:rsidRPr="00F060B6">
                    <w:rPr>
                      <w:rFonts w:ascii="Arial" w:eastAsia="Times New Roman" w:hAnsi="Arial" w:cs="Arial"/>
                      <w:color w:val="000000"/>
                      <w:sz w:val="18"/>
                      <w:szCs w:val="18"/>
                      <w:lang w:val="en-AU"/>
                    </w:rPr>
                    <w:t> </w:t>
                  </w:r>
                </w:p>
              </w:tc>
              <w:tc>
                <w:tcPr>
                  <w:tcW w:w="0" w:type="auto"/>
                  <w:vAlign w:val="bottom"/>
                  <w:hideMark/>
                </w:tcPr>
                <w:p w:rsidR="00F060B6" w:rsidRPr="00F060B6" w:rsidRDefault="00F060B6" w:rsidP="00F060B6">
                  <w:pPr>
                    <w:rPr>
                      <w:rFonts w:ascii="Times" w:eastAsia="Times New Roman" w:hAnsi="Times" w:cs="Times New Roman"/>
                      <w:sz w:val="20"/>
                      <w:szCs w:val="20"/>
                      <w:lang w:val="en-AU"/>
                    </w:rPr>
                  </w:pPr>
                </w:p>
              </w:tc>
            </w:tr>
          </w:tbl>
          <w:p w:rsidR="00F060B6" w:rsidRPr="00F060B6" w:rsidRDefault="00F060B6" w:rsidP="00F060B6">
            <w:pPr>
              <w:rPr>
                <w:rFonts w:ascii="Times" w:eastAsia="Times New Roman" w:hAnsi="Times" w:cs="Times New Roman"/>
                <w:sz w:val="20"/>
                <w:szCs w:val="20"/>
                <w:lang w:val="en-AU"/>
              </w:rPr>
            </w:pPr>
          </w:p>
        </w:tc>
      </w:tr>
      <w:tr w:rsidR="00F060B6" w:rsidRPr="00F060B6" w:rsidTr="00F060B6">
        <w:trPr>
          <w:trHeight w:val="15"/>
          <w:tblCellSpacing w:w="0" w:type="dxa"/>
        </w:trPr>
        <w:tc>
          <w:tcPr>
            <w:tcW w:w="0" w:type="auto"/>
            <w:shd w:val="clear" w:color="auto" w:fill="BCBDBE"/>
            <w:vAlign w:val="center"/>
            <w:hideMark/>
          </w:tcPr>
          <w:p w:rsidR="00F060B6" w:rsidRPr="00F060B6" w:rsidRDefault="00F060B6" w:rsidP="00F060B6">
            <w:pPr>
              <w:spacing w:before="100" w:beforeAutospacing="1" w:after="100" w:afterAutospacing="1" w:line="15" w:lineRule="atLeast"/>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17145" cy="17145"/>
                  <wp:effectExtent l="0" t="0" r="0" b="0"/>
                  <wp:docPr id="21454" name="Picture 21454"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54"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r>
      <w:tr w:rsidR="00F060B6" w:rsidRPr="00F060B6" w:rsidTr="00F060B6">
        <w:trPr>
          <w:trHeight w:val="345"/>
          <w:tblCellSpacing w:w="0" w:type="dxa"/>
        </w:trPr>
        <w:tc>
          <w:tcPr>
            <w:tcW w:w="0" w:type="auto"/>
            <w:shd w:val="clear" w:color="auto" w:fill="797B7C"/>
            <w:vAlign w:val="center"/>
            <w:hideMark/>
          </w:tcPr>
          <w:tbl>
            <w:tblPr>
              <w:tblW w:w="5000" w:type="pct"/>
              <w:tblCellSpacing w:w="0" w:type="dxa"/>
              <w:tblCellMar>
                <w:left w:w="0" w:type="dxa"/>
                <w:right w:w="0" w:type="dxa"/>
              </w:tblCellMar>
              <w:tblLook w:val="04A0" w:firstRow="1" w:lastRow="0" w:firstColumn="1" w:lastColumn="0" w:noHBand="0" w:noVBand="1"/>
            </w:tblPr>
            <w:tblGrid>
              <w:gridCol w:w="538"/>
              <w:gridCol w:w="2250"/>
              <w:gridCol w:w="4974"/>
              <w:gridCol w:w="538"/>
            </w:tblGrid>
            <w:tr w:rsidR="00F060B6" w:rsidRPr="00F060B6">
              <w:trPr>
                <w:tblCellSpacing w:w="0" w:type="dxa"/>
              </w:trPr>
              <w:tc>
                <w:tcPr>
                  <w:tcW w:w="405" w:type="dxa"/>
                  <w:vAlign w:val="center"/>
                  <w:hideMark/>
                </w:tcPr>
                <w:p w:rsidR="00F060B6" w:rsidRPr="00F060B6" w:rsidRDefault="00F060B6" w:rsidP="00F060B6">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21455" name="Picture 21455"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55"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2250" w:type="dxa"/>
                  <w:vAlign w:val="center"/>
                  <w:hideMark/>
                </w:tcPr>
                <w:p w:rsidR="00F060B6" w:rsidRPr="00F060B6" w:rsidRDefault="00F060B6" w:rsidP="00F060B6">
                  <w:pPr>
                    <w:spacing w:before="100" w:beforeAutospacing="1" w:after="100" w:afterAutospacing="1"/>
                    <w:rPr>
                      <w:rFonts w:ascii="Times" w:hAnsi="Times" w:cs="Times New Roman"/>
                      <w:sz w:val="20"/>
                      <w:szCs w:val="20"/>
                      <w:lang w:val="en-AU"/>
                    </w:rPr>
                  </w:pPr>
                  <w:r w:rsidRPr="00F060B6">
                    <w:rPr>
                      <w:rFonts w:ascii="Arial" w:eastAsia="Times New Roman" w:hAnsi="Arial" w:cs="Arial"/>
                      <w:sz w:val="18"/>
                      <w:szCs w:val="18"/>
                      <w:lang w:val="en-AU"/>
                    </w:rPr>
                    <w:t xml:space="preserve">31 January 2012 </w:t>
                  </w:r>
                </w:p>
              </w:tc>
              <w:tc>
                <w:tcPr>
                  <w:tcW w:w="0" w:type="auto"/>
                  <w:vAlign w:val="center"/>
                  <w:hideMark/>
                </w:tcPr>
                <w:p w:rsidR="00F060B6" w:rsidRPr="00F060B6" w:rsidRDefault="00F060B6" w:rsidP="00F060B6">
                  <w:pPr>
                    <w:spacing w:before="100" w:beforeAutospacing="1" w:after="100" w:afterAutospacing="1"/>
                    <w:jc w:val="right"/>
                    <w:rPr>
                      <w:rFonts w:ascii="Times" w:hAnsi="Times" w:cs="Times New Roman"/>
                      <w:sz w:val="20"/>
                      <w:szCs w:val="20"/>
                      <w:lang w:val="en-AU"/>
                    </w:rPr>
                  </w:pPr>
                  <w:r w:rsidRPr="00F060B6">
                    <w:rPr>
                      <w:rFonts w:ascii="Arial" w:eastAsia="Times New Roman" w:hAnsi="Arial" w:cs="Arial"/>
                      <w:b/>
                      <w:bCs/>
                      <w:sz w:val="18"/>
                      <w:szCs w:val="18"/>
                      <w:lang w:val="en-AU"/>
                    </w:rPr>
                    <w:t>&gt;</w:t>
                  </w:r>
                  <w:r w:rsidRPr="00F060B6">
                    <w:rPr>
                      <w:rFonts w:ascii="Arial" w:eastAsia="Times New Roman" w:hAnsi="Arial" w:cs="Arial"/>
                      <w:sz w:val="18"/>
                      <w:szCs w:val="18"/>
                      <w:lang w:val="en-AU"/>
                    </w:rPr>
                    <w:t xml:space="preserve">  Regulatory Newsfeed</w:t>
                  </w:r>
                </w:p>
              </w:tc>
              <w:tc>
                <w:tcPr>
                  <w:tcW w:w="405" w:type="dxa"/>
                  <w:vAlign w:val="center"/>
                  <w:hideMark/>
                </w:tcPr>
                <w:p w:rsidR="00F060B6" w:rsidRPr="00F060B6" w:rsidRDefault="00F060B6" w:rsidP="00F060B6">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21456" name="Picture 21456"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56"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F060B6" w:rsidRPr="00F060B6" w:rsidRDefault="00F060B6" w:rsidP="00F060B6">
            <w:pPr>
              <w:rPr>
                <w:rFonts w:ascii="Times" w:eastAsia="Times New Roman" w:hAnsi="Times" w:cs="Times New Roman"/>
                <w:sz w:val="20"/>
                <w:szCs w:val="20"/>
                <w:lang w:val="en-AU"/>
              </w:rPr>
            </w:pPr>
          </w:p>
        </w:tc>
      </w:tr>
      <w:tr w:rsidR="00F060B6" w:rsidRPr="00F060B6" w:rsidTr="00F060B6">
        <w:trPr>
          <w:trHeight w:val="525"/>
          <w:tblCellSpacing w:w="0" w:type="dxa"/>
        </w:trPr>
        <w:tc>
          <w:tcPr>
            <w:tcW w:w="0" w:type="auto"/>
            <w:shd w:val="clear" w:color="auto" w:fill="FFFFFF"/>
            <w:vAlign w:val="center"/>
            <w:hideMark/>
          </w:tcPr>
          <w:p w:rsidR="00F060B6" w:rsidRPr="00F060B6" w:rsidRDefault="00F060B6" w:rsidP="00F060B6">
            <w:pPr>
              <w:spacing w:before="100" w:beforeAutospacing="1" w:after="100" w:afterAutospacing="1"/>
              <w:rPr>
                <w:rFonts w:ascii="Times" w:hAnsi="Times" w:cs="Times New Roman"/>
                <w:sz w:val="20"/>
                <w:szCs w:val="20"/>
                <w:lang w:val="en-AU"/>
              </w:rPr>
            </w:pPr>
            <w:r w:rsidRPr="00F060B6">
              <w:rPr>
                <w:rFonts w:ascii="Arial" w:eastAsia="Times New Roman" w:hAnsi="Arial" w:cs="Arial"/>
                <w:color w:val="000000"/>
                <w:sz w:val="18"/>
                <w:szCs w:val="18"/>
                <w:lang w:val="en-AU"/>
              </w:rPr>
              <w:t> </w:t>
            </w:r>
          </w:p>
        </w:tc>
      </w:tr>
    </w:tbl>
    <w:p w:rsidR="00F060B6" w:rsidRPr="00F060B6" w:rsidRDefault="00F060B6" w:rsidP="00F060B6">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538"/>
        <w:gridCol w:w="7224"/>
        <w:gridCol w:w="538"/>
      </w:tblGrid>
      <w:tr w:rsidR="00F060B6" w:rsidRPr="00F060B6" w:rsidTr="00F060B6">
        <w:trPr>
          <w:trHeight w:val="300"/>
          <w:tblCellSpacing w:w="0" w:type="dxa"/>
        </w:trPr>
        <w:tc>
          <w:tcPr>
            <w:tcW w:w="405" w:type="dxa"/>
            <w:hideMark/>
          </w:tcPr>
          <w:p w:rsidR="00F060B6" w:rsidRPr="00F060B6" w:rsidRDefault="00F060B6" w:rsidP="00F060B6">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21457" name="Picture 21457"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57"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224"/>
            </w:tblGrid>
            <w:tr w:rsidR="00F060B6" w:rsidRPr="00F060B6">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4599"/>
                    <w:gridCol w:w="2625"/>
                  </w:tblGrid>
                  <w:tr w:rsidR="00F060B6" w:rsidRPr="00F060B6">
                    <w:trPr>
                      <w:tblCellSpacing w:w="0" w:type="dxa"/>
                    </w:trPr>
                    <w:tc>
                      <w:tcPr>
                        <w:tcW w:w="0" w:type="auto"/>
                        <w:vAlign w:val="bottom"/>
                        <w:hideMark/>
                      </w:tcPr>
                      <w:p w:rsidR="00F060B6" w:rsidRPr="00F060B6" w:rsidRDefault="00F060B6" w:rsidP="00F060B6">
                        <w:pPr>
                          <w:spacing w:before="100" w:beforeAutospacing="1" w:after="100" w:afterAutospacing="1"/>
                          <w:rPr>
                            <w:rFonts w:ascii="Times" w:hAnsi="Times" w:cs="Times New Roman"/>
                            <w:sz w:val="20"/>
                            <w:szCs w:val="20"/>
                            <w:lang w:val="en-AU"/>
                          </w:rPr>
                        </w:pPr>
                        <w:r w:rsidRPr="00F060B6">
                          <w:rPr>
                            <w:rFonts w:ascii="Arial" w:eastAsia="Times New Roman" w:hAnsi="Arial" w:cs="Arial"/>
                            <w:color w:val="000000"/>
                            <w:sz w:val="21"/>
                            <w:szCs w:val="21"/>
                            <w:lang w:val="en-AU"/>
                          </w:rPr>
                          <w:t>SAI Global Corporate Law Bulletin No. 173</w:t>
                        </w:r>
                        <w:r w:rsidRPr="00F060B6">
                          <w:rPr>
                            <w:rFonts w:ascii="Arial" w:eastAsia="Times New Roman" w:hAnsi="Arial" w:cs="Arial"/>
                            <w:b/>
                            <w:bCs/>
                            <w:sz w:val="21"/>
                            <w:szCs w:val="21"/>
                            <w:lang w:val="en-AU"/>
                          </w:rPr>
                          <w:t>&gt;</w:t>
                        </w:r>
                      </w:p>
                    </w:tc>
                    <w:tc>
                      <w:tcPr>
                        <w:tcW w:w="2625" w:type="dxa"/>
                        <w:vAlign w:val="center"/>
                        <w:hideMark/>
                      </w:tcPr>
                      <w:p w:rsidR="00F060B6" w:rsidRPr="00F060B6" w:rsidRDefault="00F060B6" w:rsidP="00F060B6">
                        <w:pPr>
                          <w:rPr>
                            <w:rFonts w:ascii="Times" w:eastAsia="Times New Roman" w:hAnsi="Times" w:cs="Times New Roman"/>
                            <w:sz w:val="20"/>
                            <w:szCs w:val="20"/>
                            <w:lang w:val="en-AU"/>
                          </w:rPr>
                        </w:pPr>
                      </w:p>
                    </w:tc>
                  </w:tr>
                </w:tbl>
                <w:p w:rsidR="00F060B6" w:rsidRPr="00F060B6" w:rsidRDefault="00F060B6" w:rsidP="00F060B6">
                  <w:pPr>
                    <w:rPr>
                      <w:rFonts w:ascii="Times" w:eastAsia="Times New Roman" w:hAnsi="Times" w:cs="Times New Roman"/>
                      <w:sz w:val="20"/>
                      <w:szCs w:val="20"/>
                      <w:lang w:val="en-AU"/>
                    </w:rPr>
                  </w:pPr>
                </w:p>
              </w:tc>
            </w:tr>
          </w:tbl>
          <w:p w:rsidR="00F060B6" w:rsidRPr="00F060B6" w:rsidRDefault="00F060B6" w:rsidP="00F060B6">
            <w:pPr>
              <w:rPr>
                <w:rFonts w:ascii="Times" w:eastAsia="Times New Roman" w:hAnsi="Times" w:cs="Times New Roman"/>
                <w:sz w:val="20"/>
                <w:szCs w:val="20"/>
                <w:lang w:val="en-AU"/>
              </w:rPr>
            </w:pPr>
          </w:p>
        </w:tc>
        <w:tc>
          <w:tcPr>
            <w:tcW w:w="405" w:type="dxa"/>
            <w:hideMark/>
          </w:tcPr>
          <w:p w:rsidR="00F060B6" w:rsidRPr="00F060B6" w:rsidRDefault="00F060B6" w:rsidP="00F060B6">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21458" name="Picture 21458"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58"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F060B6" w:rsidRPr="00F060B6" w:rsidRDefault="00F060B6" w:rsidP="00F060B6">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538"/>
        <w:gridCol w:w="7224"/>
        <w:gridCol w:w="538"/>
      </w:tblGrid>
      <w:tr w:rsidR="00F060B6" w:rsidRPr="00F060B6" w:rsidTr="00F060B6">
        <w:trPr>
          <w:trHeight w:val="300"/>
          <w:tblCellSpacing w:w="0" w:type="dxa"/>
        </w:trPr>
        <w:tc>
          <w:tcPr>
            <w:tcW w:w="405" w:type="dxa"/>
            <w:hideMark/>
          </w:tcPr>
          <w:p w:rsidR="00F060B6" w:rsidRPr="00F060B6" w:rsidRDefault="00F060B6" w:rsidP="00F060B6">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21459" name="Picture 21459"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59"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224"/>
            </w:tblGrid>
            <w:tr w:rsidR="00F060B6" w:rsidRPr="00F060B6">
              <w:trPr>
                <w:tblCellSpacing w:w="0" w:type="dxa"/>
              </w:trPr>
              <w:tc>
                <w:tcPr>
                  <w:tcW w:w="0" w:type="auto"/>
                  <w:vAlign w:val="center"/>
                  <w:hideMark/>
                </w:tcPr>
                <w:p w:rsidR="00F060B6" w:rsidRPr="00F060B6" w:rsidRDefault="00F060B6" w:rsidP="00F060B6">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187960"/>
                        <wp:effectExtent l="0" t="0" r="0" b="0"/>
                        <wp:docPr id="21460" name="Picture 21460"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60"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187960"/>
                                </a:xfrm>
                                <a:prstGeom prst="rect">
                                  <a:avLst/>
                                </a:prstGeom>
                                <a:noFill/>
                                <a:ln>
                                  <a:noFill/>
                                </a:ln>
                              </pic:spPr>
                            </pic:pic>
                          </a:graphicData>
                        </a:graphic>
                      </wp:inline>
                    </w:drawing>
                  </w:r>
                </w:p>
              </w:tc>
            </w:tr>
            <w:tr w:rsidR="00F060B6" w:rsidRPr="00F060B6">
              <w:trPr>
                <w:trHeight w:val="420"/>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208"/>
                  </w:tblGrid>
                  <w:tr w:rsidR="00F060B6" w:rsidRPr="00F060B6">
                    <w:trPr>
                      <w:trHeight w:val="420"/>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C4262E"/>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3755"/>
                          <w:gridCol w:w="3423"/>
                        </w:tblGrid>
                        <w:tr w:rsidR="00F060B6" w:rsidRPr="00F060B6">
                          <w:trPr>
                            <w:tblCellSpacing w:w="0" w:type="dxa"/>
                          </w:trPr>
                          <w:tc>
                            <w:tcPr>
                              <w:tcW w:w="0" w:type="auto"/>
                              <w:vAlign w:val="center"/>
                              <w:hideMark/>
                            </w:tcPr>
                            <w:p w:rsidR="00F060B6" w:rsidRPr="00F060B6" w:rsidRDefault="00F060B6" w:rsidP="00F060B6">
                              <w:pPr>
                                <w:spacing w:before="100" w:beforeAutospacing="1" w:after="100" w:afterAutospacing="1"/>
                                <w:rPr>
                                  <w:rFonts w:ascii="Times" w:hAnsi="Times" w:cs="Times New Roman"/>
                                  <w:sz w:val="20"/>
                                  <w:szCs w:val="20"/>
                                  <w:lang w:val="en-AU"/>
                                </w:rPr>
                              </w:pPr>
                              <w:r w:rsidRPr="00F060B6">
                                <w:rPr>
                                  <w:rFonts w:ascii="Arial" w:eastAsia="Times New Roman" w:hAnsi="Arial" w:cs="Arial"/>
                                  <w:b/>
                                  <w:bCs/>
                                  <w:color w:val="FFFFFF"/>
                                  <w:sz w:val="18"/>
                                  <w:szCs w:val="18"/>
                                  <w:lang w:val="en-AU"/>
                                </w:rPr>
                                <w:t>Index</w:t>
                              </w:r>
                            </w:p>
                          </w:tc>
                          <w:tc>
                            <w:tcPr>
                              <w:tcW w:w="2325" w:type="dxa"/>
                              <w:vAlign w:val="center"/>
                              <w:hideMark/>
                            </w:tcPr>
                            <w:p w:rsidR="00F060B6" w:rsidRPr="00F060B6" w:rsidRDefault="00F060B6" w:rsidP="00F060B6">
                              <w:pPr>
                                <w:spacing w:before="100" w:beforeAutospacing="1" w:after="100" w:afterAutospacing="1"/>
                                <w:jc w:val="right"/>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290830" cy="256540"/>
                                    <wp:effectExtent l="0" t="0" r="0" b="0"/>
                                    <wp:docPr id="21461" name="Picture 21461" descr="mail lawl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61" descr="mail lawle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830" cy="256540"/>
                                            </a:xfrm>
                                            <a:prstGeom prst="rect">
                                              <a:avLst/>
                                            </a:prstGeom>
                                            <a:noFill/>
                                            <a:ln>
                                              <a:noFill/>
                                            </a:ln>
                                          </pic:spPr>
                                        </pic:pic>
                                      </a:graphicData>
                                    </a:graphic>
                                  </wp:inline>
                                </w:drawing>
                              </w:r>
                              <w:r w:rsidRPr="00F060B6">
                                <w:rPr>
                                  <w:rFonts w:ascii="Arial" w:eastAsia="Times New Roman" w:hAnsi="Arial" w:cs="Arial"/>
                                  <w:color w:val="000000"/>
                                  <w:sz w:val="18"/>
                                  <w:szCs w:val="18"/>
                                  <w:lang w:val="en-AU"/>
                                </w:rPr>
                                <w:t> </w:t>
                              </w:r>
                              <w:r w:rsidRPr="00F060B6">
                                <w:rPr>
                                  <w:rFonts w:ascii="Arial" w:eastAsia="Times New Roman" w:hAnsi="Arial" w:cs="Arial"/>
                                  <w:color w:val="000000"/>
                                  <w:sz w:val="18"/>
                                  <w:szCs w:val="18"/>
                                  <w:lang w:val="en-AU"/>
                                </w:rPr>
                                <w:fldChar w:fldCharType="begin"/>
                              </w:r>
                              <w:r w:rsidRPr="00F060B6">
                                <w:rPr>
                                  <w:rFonts w:ascii="Arial" w:eastAsia="Times New Roman" w:hAnsi="Arial" w:cs="Arial"/>
                                  <w:color w:val="000000"/>
                                  <w:sz w:val="18"/>
                                  <w:szCs w:val="18"/>
                                  <w:lang w:val="en-AU"/>
                                </w:rPr>
                                <w:instrText xml:space="preserve"> HYPERLINK "mailto:helpdesk.asiapac@saiglobal.com" \t "_new" </w:instrText>
                              </w:r>
                              <w:r w:rsidRPr="00F060B6">
                                <w:rPr>
                                  <w:rFonts w:ascii="Arial" w:eastAsia="Times New Roman" w:hAnsi="Arial" w:cs="Arial"/>
                                  <w:color w:val="000000"/>
                                  <w:sz w:val="18"/>
                                  <w:szCs w:val="18"/>
                                  <w:lang w:val="en-AU"/>
                                </w:rPr>
                              </w:r>
                              <w:r w:rsidRPr="00F060B6">
                                <w:rPr>
                                  <w:rFonts w:ascii="Arial" w:eastAsia="Times New Roman" w:hAnsi="Arial" w:cs="Arial"/>
                                  <w:color w:val="000000"/>
                                  <w:sz w:val="18"/>
                                  <w:szCs w:val="18"/>
                                  <w:lang w:val="en-AU"/>
                                </w:rPr>
                                <w:fldChar w:fldCharType="separate"/>
                              </w:r>
                              <w:r w:rsidRPr="00F060B6">
                                <w:rPr>
                                  <w:rFonts w:ascii="Arial" w:eastAsia="Times New Roman" w:hAnsi="Arial" w:cs="Arial"/>
                                  <w:color w:val="FFFFFF"/>
                                  <w:sz w:val="18"/>
                                  <w:szCs w:val="18"/>
                                  <w:u w:val="single"/>
                                  <w:lang w:val="en-AU"/>
                                </w:rPr>
                                <w:t>helpdesk.asiapac@saiglobal.com</w:t>
                              </w:r>
                              <w:r w:rsidRPr="00F060B6">
                                <w:rPr>
                                  <w:rFonts w:ascii="Arial" w:eastAsia="Times New Roman" w:hAnsi="Arial" w:cs="Arial"/>
                                  <w:color w:val="000000"/>
                                  <w:sz w:val="18"/>
                                  <w:szCs w:val="18"/>
                                  <w:lang w:val="en-AU"/>
                                </w:rPr>
                                <w:fldChar w:fldCharType="end"/>
                              </w:r>
                            </w:p>
                          </w:tc>
                        </w:tr>
                      </w:tbl>
                      <w:p w:rsidR="00F060B6" w:rsidRPr="00F060B6" w:rsidRDefault="00F060B6" w:rsidP="00F060B6">
                        <w:pPr>
                          <w:rPr>
                            <w:rFonts w:ascii="Times" w:eastAsia="Times New Roman" w:hAnsi="Times" w:cs="Times New Roman"/>
                            <w:sz w:val="20"/>
                            <w:szCs w:val="20"/>
                            <w:lang w:val="en-AU"/>
                          </w:rPr>
                        </w:pPr>
                      </w:p>
                    </w:tc>
                  </w:tr>
                  <w:tr w:rsidR="00F060B6" w:rsidRPr="00F060B6">
                    <w:trPr>
                      <w:tblCellSpacing w:w="0" w:type="dxa"/>
                    </w:trPr>
                    <w:tc>
                      <w:tcPr>
                        <w:tcW w:w="0" w:type="auto"/>
                        <w:vAlign w:val="center"/>
                        <w:hideMark/>
                      </w:tcPr>
                      <w:p w:rsidR="00F060B6" w:rsidRPr="00F060B6" w:rsidRDefault="00F060B6" w:rsidP="00F060B6">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17145"/>
                              <wp:effectExtent l="0" t="0" r="0" b="0"/>
                              <wp:docPr id="21462" name="Picture 21462"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62"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17145"/>
                                      </a:xfrm>
                                      <a:prstGeom prst="rect">
                                        <a:avLst/>
                                      </a:prstGeom>
                                      <a:noFill/>
                                      <a:ln>
                                        <a:noFill/>
                                      </a:ln>
                                    </pic:spPr>
                                  </pic:pic>
                                </a:graphicData>
                              </a:graphic>
                            </wp:inline>
                          </w:drawing>
                        </w:r>
                      </w:p>
                    </w:tc>
                  </w:tr>
                </w:tbl>
                <w:p w:rsidR="00F060B6" w:rsidRPr="00F060B6" w:rsidRDefault="00F060B6" w:rsidP="00F060B6">
                  <w:pPr>
                    <w:rPr>
                      <w:rFonts w:ascii="Times" w:eastAsia="Times New Roman" w:hAnsi="Times" w:cs="Times New Roman"/>
                      <w:sz w:val="20"/>
                      <w:szCs w:val="20"/>
                      <w:lang w:val="en-AU"/>
                    </w:rPr>
                  </w:pPr>
                </w:p>
              </w:tc>
            </w:tr>
          </w:tbl>
          <w:p w:rsidR="00F060B6" w:rsidRPr="00F060B6" w:rsidRDefault="00F060B6" w:rsidP="00F060B6">
            <w:pPr>
              <w:rPr>
                <w:rFonts w:ascii="Times" w:eastAsia="Times New Roman" w:hAnsi="Times" w:cs="Times New Roman"/>
                <w:sz w:val="20"/>
                <w:szCs w:val="20"/>
                <w:lang w:val="en-AU"/>
              </w:rPr>
            </w:pPr>
          </w:p>
        </w:tc>
        <w:tc>
          <w:tcPr>
            <w:tcW w:w="405" w:type="dxa"/>
            <w:hideMark/>
          </w:tcPr>
          <w:p w:rsidR="00F060B6" w:rsidRPr="00F060B6" w:rsidRDefault="00F060B6" w:rsidP="00F060B6">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21463" name="Picture 21463"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63"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F060B6" w:rsidRPr="00F060B6" w:rsidRDefault="00F060B6" w:rsidP="00F060B6">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538"/>
        <w:gridCol w:w="7224"/>
        <w:gridCol w:w="538"/>
      </w:tblGrid>
      <w:tr w:rsidR="00F060B6" w:rsidRPr="00F060B6" w:rsidTr="00F060B6">
        <w:trPr>
          <w:tblCellSpacing w:w="0" w:type="dxa"/>
        </w:trPr>
        <w:tc>
          <w:tcPr>
            <w:tcW w:w="405" w:type="dxa"/>
            <w:hideMark/>
          </w:tcPr>
          <w:p w:rsidR="00F060B6" w:rsidRPr="00F060B6" w:rsidRDefault="00F060B6" w:rsidP="00F060B6">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21464" name="Picture 21464"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64"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208"/>
            </w:tblGrid>
            <w:tr w:rsidR="00F060B6" w:rsidRPr="00F060B6">
              <w:trPr>
                <w:tblCellSpacing w:w="0" w:type="dxa"/>
              </w:trPr>
              <w:tc>
                <w:tcPr>
                  <w:tcW w:w="0" w:type="auto"/>
                  <w:tcBorders>
                    <w:top w:val="single" w:sz="6" w:space="0" w:color="4D4F63"/>
                    <w:left w:val="single" w:sz="6" w:space="0" w:color="4D4F63"/>
                    <w:bottom w:val="single" w:sz="6" w:space="0" w:color="4D4F63"/>
                    <w:right w:val="single" w:sz="6" w:space="0" w:color="4D4F63"/>
                  </w:tcBorders>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4338"/>
                    <w:gridCol w:w="2840"/>
                  </w:tblGrid>
                  <w:tr w:rsidR="00F060B6" w:rsidRPr="00F060B6">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4098"/>
                        </w:tblGrid>
                        <w:tr w:rsidR="00F060B6" w:rsidRPr="00F060B6">
                          <w:trPr>
                            <w:tblCellSpacing w:w="0" w:type="dxa"/>
                          </w:trPr>
                          <w:tc>
                            <w:tcPr>
                              <w:tcW w:w="3000" w:type="pct"/>
                              <w:vAlign w:val="center"/>
                              <w:hideMark/>
                            </w:tcPr>
                            <w:p w:rsidR="00F060B6" w:rsidRPr="00F060B6" w:rsidRDefault="00F060B6" w:rsidP="00F060B6">
                              <w:pPr>
                                <w:spacing w:before="100" w:beforeAutospacing="1" w:after="100" w:afterAutospacing="1"/>
                                <w:rPr>
                                  <w:rFonts w:ascii="Times" w:hAnsi="Times" w:cs="Times New Roman"/>
                                  <w:sz w:val="20"/>
                                  <w:szCs w:val="20"/>
                                  <w:lang w:val="en-AU"/>
                                </w:rPr>
                              </w:pPr>
                              <w:r w:rsidRPr="00F060B6">
                                <w:rPr>
                                  <w:rFonts w:ascii="Arial" w:hAnsi="Arial" w:cs="Arial"/>
                                  <w:b/>
                                  <w:bCs/>
                                  <w:color w:val="000000"/>
                                  <w:sz w:val="18"/>
                                  <w:szCs w:val="18"/>
                                  <w:lang w:val="en-AU"/>
                                </w:rPr>
                                <w:t>Bulletin No. 173</w:t>
                              </w:r>
                            </w:p>
                            <w:p w:rsidR="00F060B6" w:rsidRPr="00F060B6" w:rsidRDefault="00F060B6" w:rsidP="00F060B6">
                              <w:pPr>
                                <w:spacing w:before="100" w:beforeAutospacing="1" w:after="100" w:afterAutospacing="1"/>
                                <w:rPr>
                                  <w:rFonts w:ascii="Times" w:hAnsi="Times" w:cs="Times New Roman"/>
                                  <w:sz w:val="20"/>
                                  <w:szCs w:val="20"/>
                                  <w:lang w:val="en-AU"/>
                                </w:rPr>
                              </w:pPr>
                              <w:r w:rsidRPr="00F060B6">
                                <w:rPr>
                                  <w:rFonts w:ascii="Arial" w:hAnsi="Arial" w:cs="Arial"/>
                                  <w:color w:val="000000"/>
                                  <w:sz w:val="18"/>
                                  <w:szCs w:val="18"/>
                                  <w:lang w:val="en-AU"/>
                                </w:rPr>
                                <w:t xml:space="preserve">Editor: </w:t>
                              </w:r>
                              <w:r w:rsidRPr="00F060B6">
                                <w:rPr>
                                  <w:rFonts w:ascii="Arial" w:hAnsi="Arial" w:cs="Arial"/>
                                  <w:color w:val="000000"/>
                                  <w:sz w:val="18"/>
                                  <w:szCs w:val="18"/>
                                  <w:lang w:val="en-AU"/>
                                </w:rPr>
                                <w:fldChar w:fldCharType="begin"/>
                              </w:r>
                              <w:r w:rsidRPr="00F060B6">
                                <w:rPr>
                                  <w:rFonts w:ascii="Arial" w:hAnsi="Arial" w:cs="Arial"/>
                                  <w:color w:val="000000"/>
                                  <w:sz w:val="18"/>
                                  <w:szCs w:val="18"/>
                                  <w:lang w:val="en-AU"/>
                                </w:rPr>
                                <w:instrText xml:space="preserve"> HYPERLINK "mailto:i.ramsay@unimelb.edu.au" \t "_new" </w:instrText>
                              </w:r>
                              <w:r w:rsidRPr="00F060B6">
                                <w:rPr>
                                  <w:rFonts w:ascii="Arial" w:hAnsi="Arial" w:cs="Arial"/>
                                  <w:color w:val="000000"/>
                                  <w:sz w:val="18"/>
                                  <w:szCs w:val="18"/>
                                  <w:lang w:val="en-AU"/>
                                </w:rPr>
                              </w:r>
                              <w:r w:rsidRPr="00F060B6">
                                <w:rPr>
                                  <w:rFonts w:ascii="Arial" w:hAnsi="Arial" w:cs="Arial"/>
                                  <w:color w:val="000000"/>
                                  <w:sz w:val="18"/>
                                  <w:szCs w:val="18"/>
                                  <w:lang w:val="en-AU"/>
                                </w:rPr>
                                <w:fldChar w:fldCharType="separate"/>
                              </w:r>
                              <w:r w:rsidRPr="00F060B6">
                                <w:rPr>
                                  <w:rFonts w:ascii="Arial" w:hAnsi="Arial" w:cs="Arial"/>
                                  <w:color w:val="0000FF"/>
                                  <w:sz w:val="18"/>
                                  <w:szCs w:val="18"/>
                                  <w:u w:val="single"/>
                                  <w:lang w:val="en-AU"/>
                                </w:rPr>
                                <w:t>Professor Ian Ramsay</w:t>
                              </w:r>
                              <w:r w:rsidRPr="00F060B6">
                                <w:rPr>
                                  <w:rFonts w:ascii="Arial" w:hAnsi="Arial" w:cs="Arial"/>
                                  <w:color w:val="000000"/>
                                  <w:sz w:val="18"/>
                                  <w:szCs w:val="18"/>
                                  <w:lang w:val="en-AU"/>
                                </w:rPr>
                                <w:fldChar w:fldCharType="end"/>
                              </w:r>
                              <w:r w:rsidRPr="00F060B6">
                                <w:rPr>
                                  <w:rFonts w:ascii="Arial" w:hAnsi="Arial" w:cs="Arial"/>
                                  <w:color w:val="000000"/>
                                  <w:sz w:val="18"/>
                                  <w:szCs w:val="18"/>
                                  <w:lang w:val="en-AU"/>
                                </w:rPr>
                                <w:t xml:space="preserve">, Director, Centre for Corporate Law and Securities Regulation </w:t>
                              </w:r>
                            </w:p>
                            <w:p w:rsidR="00F060B6" w:rsidRPr="00F060B6" w:rsidRDefault="00F060B6" w:rsidP="00F060B6">
                              <w:pPr>
                                <w:spacing w:before="100" w:beforeAutospacing="1" w:after="100" w:afterAutospacing="1"/>
                                <w:rPr>
                                  <w:rFonts w:ascii="Times" w:hAnsi="Times" w:cs="Times New Roman"/>
                                  <w:sz w:val="20"/>
                                  <w:szCs w:val="20"/>
                                  <w:lang w:val="en-AU"/>
                                </w:rPr>
                              </w:pPr>
                              <w:r w:rsidRPr="00F060B6">
                                <w:rPr>
                                  <w:rFonts w:ascii="Arial" w:hAnsi="Arial" w:cs="Arial"/>
                                  <w:color w:val="000000"/>
                                  <w:sz w:val="18"/>
                                  <w:szCs w:val="18"/>
                                  <w:lang w:val="en-AU"/>
                                </w:rPr>
                                <w:t xml:space="preserve">Published by SAI Global on behalf of </w:t>
                              </w:r>
                              <w:r w:rsidRPr="00F060B6">
                                <w:rPr>
                                  <w:rFonts w:ascii="Arial" w:hAnsi="Arial" w:cs="Arial"/>
                                  <w:color w:val="000000"/>
                                  <w:sz w:val="18"/>
                                  <w:szCs w:val="18"/>
                                  <w:lang w:val="en-AU"/>
                                </w:rPr>
                                <w:fldChar w:fldCharType="begin"/>
                              </w:r>
                              <w:r w:rsidRPr="00F060B6">
                                <w:rPr>
                                  <w:rFonts w:ascii="Arial" w:hAnsi="Arial" w:cs="Arial"/>
                                  <w:color w:val="000000"/>
                                  <w:sz w:val="18"/>
                                  <w:szCs w:val="18"/>
                                  <w:lang w:val="en-AU"/>
                                </w:rPr>
                                <w:instrText xml:space="preserve"> HYPERLINK "http://cclsr.law.unimelb.edu.au/" \t "_new" </w:instrText>
                              </w:r>
                              <w:r w:rsidRPr="00F060B6">
                                <w:rPr>
                                  <w:rFonts w:ascii="Arial" w:hAnsi="Arial" w:cs="Arial"/>
                                  <w:color w:val="000000"/>
                                  <w:sz w:val="18"/>
                                  <w:szCs w:val="18"/>
                                  <w:lang w:val="en-AU"/>
                                </w:rPr>
                              </w:r>
                              <w:r w:rsidRPr="00F060B6">
                                <w:rPr>
                                  <w:rFonts w:ascii="Arial" w:hAnsi="Arial" w:cs="Arial"/>
                                  <w:color w:val="000000"/>
                                  <w:sz w:val="18"/>
                                  <w:szCs w:val="18"/>
                                  <w:lang w:val="en-AU"/>
                                </w:rPr>
                                <w:fldChar w:fldCharType="separate"/>
                              </w:r>
                              <w:r w:rsidRPr="00F060B6">
                                <w:rPr>
                                  <w:rFonts w:ascii="Arial" w:hAnsi="Arial" w:cs="Arial"/>
                                  <w:color w:val="0000FF"/>
                                  <w:sz w:val="18"/>
                                  <w:szCs w:val="18"/>
                                  <w:u w:val="single"/>
                                  <w:lang w:val="en-AU"/>
                                </w:rPr>
                                <w:t>Centre for Corporate Law and Securities Regulation</w:t>
                              </w:r>
                              <w:r w:rsidRPr="00F060B6">
                                <w:rPr>
                                  <w:rFonts w:ascii="Arial" w:hAnsi="Arial" w:cs="Arial"/>
                                  <w:color w:val="000000"/>
                                  <w:sz w:val="18"/>
                                  <w:szCs w:val="18"/>
                                  <w:lang w:val="en-AU"/>
                                </w:rPr>
                                <w:fldChar w:fldCharType="end"/>
                              </w:r>
                              <w:r w:rsidRPr="00F060B6">
                                <w:rPr>
                                  <w:rFonts w:ascii="Arial" w:hAnsi="Arial" w:cs="Arial"/>
                                  <w:color w:val="000000"/>
                                  <w:sz w:val="18"/>
                                  <w:szCs w:val="18"/>
                                  <w:lang w:val="en-AU"/>
                                </w:rPr>
                                <w:t xml:space="preserve">, Faculty of Law, The University of Melbourne with the support of the </w:t>
                              </w:r>
                              <w:r w:rsidRPr="00F060B6">
                                <w:rPr>
                                  <w:rFonts w:ascii="Arial" w:hAnsi="Arial" w:cs="Arial"/>
                                  <w:color w:val="000000"/>
                                  <w:sz w:val="18"/>
                                  <w:szCs w:val="18"/>
                                  <w:lang w:val="en-AU"/>
                                </w:rPr>
                                <w:fldChar w:fldCharType="begin"/>
                              </w:r>
                              <w:r w:rsidRPr="00F060B6">
                                <w:rPr>
                                  <w:rFonts w:ascii="Arial" w:hAnsi="Arial" w:cs="Arial"/>
                                  <w:color w:val="000000"/>
                                  <w:sz w:val="18"/>
                                  <w:szCs w:val="18"/>
                                  <w:lang w:val="en-AU"/>
                                </w:rPr>
                                <w:instrText xml:space="preserve"> HYPERLINK "http://www.asic.gov.au/" \t "_new" </w:instrText>
                              </w:r>
                              <w:r w:rsidRPr="00F060B6">
                                <w:rPr>
                                  <w:rFonts w:ascii="Arial" w:hAnsi="Arial" w:cs="Arial"/>
                                  <w:color w:val="000000"/>
                                  <w:sz w:val="18"/>
                                  <w:szCs w:val="18"/>
                                  <w:lang w:val="en-AU"/>
                                </w:rPr>
                              </w:r>
                              <w:r w:rsidRPr="00F060B6">
                                <w:rPr>
                                  <w:rFonts w:ascii="Arial" w:hAnsi="Arial" w:cs="Arial"/>
                                  <w:color w:val="000000"/>
                                  <w:sz w:val="18"/>
                                  <w:szCs w:val="18"/>
                                  <w:lang w:val="en-AU"/>
                                </w:rPr>
                                <w:fldChar w:fldCharType="separate"/>
                              </w:r>
                              <w:r w:rsidRPr="00F060B6">
                                <w:rPr>
                                  <w:rFonts w:ascii="Arial" w:hAnsi="Arial" w:cs="Arial"/>
                                  <w:color w:val="0000FF"/>
                                  <w:sz w:val="18"/>
                                  <w:szCs w:val="18"/>
                                  <w:u w:val="single"/>
                                  <w:lang w:val="en-AU"/>
                                </w:rPr>
                                <w:t>Australian Securities and Investments Commission</w:t>
                              </w:r>
                              <w:r w:rsidRPr="00F060B6">
                                <w:rPr>
                                  <w:rFonts w:ascii="Arial" w:hAnsi="Arial" w:cs="Arial"/>
                                  <w:color w:val="000000"/>
                                  <w:sz w:val="18"/>
                                  <w:szCs w:val="18"/>
                                  <w:lang w:val="en-AU"/>
                                </w:rPr>
                                <w:fldChar w:fldCharType="end"/>
                              </w:r>
                              <w:r w:rsidRPr="00F060B6">
                                <w:rPr>
                                  <w:rFonts w:ascii="Arial" w:hAnsi="Arial" w:cs="Arial"/>
                                  <w:color w:val="000000"/>
                                  <w:sz w:val="18"/>
                                  <w:szCs w:val="18"/>
                                  <w:lang w:val="en-AU"/>
                                </w:rPr>
                                <w:t xml:space="preserve">, the </w:t>
                              </w:r>
                              <w:r w:rsidRPr="00F060B6">
                                <w:rPr>
                                  <w:rFonts w:ascii="Arial" w:hAnsi="Arial" w:cs="Arial"/>
                                  <w:color w:val="000000"/>
                                  <w:sz w:val="18"/>
                                  <w:szCs w:val="18"/>
                                  <w:lang w:val="en-AU"/>
                                </w:rPr>
                                <w:fldChar w:fldCharType="begin"/>
                              </w:r>
                              <w:r w:rsidRPr="00F060B6">
                                <w:rPr>
                                  <w:rFonts w:ascii="Arial" w:hAnsi="Arial" w:cs="Arial"/>
                                  <w:color w:val="000000"/>
                                  <w:sz w:val="18"/>
                                  <w:szCs w:val="18"/>
                                  <w:lang w:val="en-AU"/>
                                </w:rPr>
                                <w:instrText xml:space="preserve"> HYPERLINK "http://www.asx.com.au/" \t "_new" </w:instrText>
                              </w:r>
                              <w:r w:rsidRPr="00F060B6">
                                <w:rPr>
                                  <w:rFonts w:ascii="Arial" w:hAnsi="Arial" w:cs="Arial"/>
                                  <w:color w:val="000000"/>
                                  <w:sz w:val="18"/>
                                  <w:szCs w:val="18"/>
                                  <w:lang w:val="en-AU"/>
                                </w:rPr>
                              </w:r>
                              <w:r w:rsidRPr="00F060B6">
                                <w:rPr>
                                  <w:rFonts w:ascii="Arial" w:hAnsi="Arial" w:cs="Arial"/>
                                  <w:color w:val="000000"/>
                                  <w:sz w:val="18"/>
                                  <w:szCs w:val="18"/>
                                  <w:lang w:val="en-AU"/>
                                </w:rPr>
                                <w:fldChar w:fldCharType="separate"/>
                              </w:r>
                              <w:r w:rsidRPr="00F060B6">
                                <w:rPr>
                                  <w:rFonts w:ascii="Arial" w:hAnsi="Arial" w:cs="Arial"/>
                                  <w:color w:val="0000FF"/>
                                  <w:sz w:val="18"/>
                                  <w:szCs w:val="18"/>
                                  <w:u w:val="single"/>
                                  <w:lang w:val="en-AU"/>
                                </w:rPr>
                                <w:t>Australian Securities Exchange</w:t>
                              </w:r>
                              <w:r w:rsidRPr="00F060B6">
                                <w:rPr>
                                  <w:rFonts w:ascii="Arial" w:hAnsi="Arial" w:cs="Arial"/>
                                  <w:color w:val="000000"/>
                                  <w:sz w:val="18"/>
                                  <w:szCs w:val="18"/>
                                  <w:lang w:val="en-AU"/>
                                </w:rPr>
                                <w:fldChar w:fldCharType="end"/>
                              </w:r>
                              <w:r w:rsidRPr="00F060B6">
                                <w:rPr>
                                  <w:rFonts w:ascii="Arial" w:hAnsi="Arial" w:cs="Arial"/>
                                  <w:color w:val="000000"/>
                                  <w:sz w:val="18"/>
                                  <w:szCs w:val="18"/>
                                  <w:lang w:val="en-AU"/>
                                </w:rPr>
                                <w:t xml:space="preserve"> and the leading law firms: </w:t>
                              </w:r>
                              <w:r w:rsidRPr="00F060B6">
                                <w:rPr>
                                  <w:rFonts w:ascii="Arial" w:hAnsi="Arial" w:cs="Arial"/>
                                  <w:color w:val="000000"/>
                                  <w:sz w:val="18"/>
                                  <w:szCs w:val="18"/>
                                  <w:lang w:val="en-AU"/>
                                </w:rPr>
                                <w:fldChar w:fldCharType="begin"/>
                              </w:r>
                              <w:r w:rsidRPr="00F060B6">
                                <w:rPr>
                                  <w:rFonts w:ascii="Arial" w:hAnsi="Arial" w:cs="Arial"/>
                                  <w:color w:val="000000"/>
                                  <w:sz w:val="18"/>
                                  <w:szCs w:val="18"/>
                                  <w:lang w:val="en-AU"/>
                                </w:rPr>
                                <w:instrText xml:space="preserve"> HYPERLINK "http://www.blakedawson.com/" \t "_new" </w:instrText>
                              </w:r>
                              <w:r w:rsidRPr="00F060B6">
                                <w:rPr>
                                  <w:rFonts w:ascii="Arial" w:hAnsi="Arial" w:cs="Arial"/>
                                  <w:color w:val="000000"/>
                                  <w:sz w:val="18"/>
                                  <w:szCs w:val="18"/>
                                  <w:lang w:val="en-AU"/>
                                </w:rPr>
                              </w:r>
                              <w:r w:rsidRPr="00F060B6">
                                <w:rPr>
                                  <w:rFonts w:ascii="Arial" w:hAnsi="Arial" w:cs="Arial"/>
                                  <w:color w:val="000000"/>
                                  <w:sz w:val="18"/>
                                  <w:szCs w:val="18"/>
                                  <w:lang w:val="en-AU"/>
                                </w:rPr>
                                <w:fldChar w:fldCharType="separate"/>
                              </w:r>
                              <w:r w:rsidRPr="00F060B6">
                                <w:rPr>
                                  <w:rFonts w:ascii="Arial" w:hAnsi="Arial" w:cs="Arial"/>
                                  <w:color w:val="0000FF"/>
                                  <w:sz w:val="18"/>
                                  <w:szCs w:val="18"/>
                                  <w:u w:val="single"/>
                                  <w:lang w:val="en-AU"/>
                                </w:rPr>
                                <w:t>Blake Dawson</w:t>
                              </w:r>
                              <w:r w:rsidRPr="00F060B6">
                                <w:rPr>
                                  <w:rFonts w:ascii="Arial" w:hAnsi="Arial" w:cs="Arial"/>
                                  <w:color w:val="000000"/>
                                  <w:sz w:val="18"/>
                                  <w:szCs w:val="18"/>
                                  <w:lang w:val="en-AU"/>
                                </w:rPr>
                                <w:fldChar w:fldCharType="end"/>
                              </w:r>
                              <w:r w:rsidRPr="00F060B6">
                                <w:rPr>
                                  <w:rFonts w:ascii="Arial" w:hAnsi="Arial" w:cs="Arial"/>
                                  <w:color w:val="000000"/>
                                  <w:sz w:val="18"/>
                                  <w:szCs w:val="18"/>
                                  <w:lang w:val="en-AU"/>
                                </w:rPr>
                                <w:t xml:space="preserve">, </w:t>
                              </w:r>
                              <w:r w:rsidRPr="00F060B6">
                                <w:rPr>
                                  <w:rFonts w:ascii="Arial" w:hAnsi="Arial" w:cs="Arial"/>
                                  <w:color w:val="000000"/>
                                  <w:sz w:val="18"/>
                                  <w:szCs w:val="18"/>
                                  <w:lang w:val="en-AU"/>
                                </w:rPr>
                                <w:fldChar w:fldCharType="begin"/>
                              </w:r>
                              <w:r w:rsidRPr="00F060B6">
                                <w:rPr>
                                  <w:rFonts w:ascii="Arial" w:hAnsi="Arial" w:cs="Arial"/>
                                  <w:color w:val="000000"/>
                                  <w:sz w:val="18"/>
                                  <w:szCs w:val="18"/>
                                  <w:lang w:val="en-AU"/>
                                </w:rPr>
                                <w:instrText xml:space="preserve"> HYPERLINK "http://www.claytonutz.com/" \t "_new" </w:instrText>
                              </w:r>
                              <w:r w:rsidRPr="00F060B6">
                                <w:rPr>
                                  <w:rFonts w:ascii="Arial" w:hAnsi="Arial" w:cs="Arial"/>
                                  <w:color w:val="000000"/>
                                  <w:sz w:val="18"/>
                                  <w:szCs w:val="18"/>
                                  <w:lang w:val="en-AU"/>
                                </w:rPr>
                              </w:r>
                              <w:r w:rsidRPr="00F060B6">
                                <w:rPr>
                                  <w:rFonts w:ascii="Arial" w:hAnsi="Arial" w:cs="Arial"/>
                                  <w:color w:val="000000"/>
                                  <w:sz w:val="18"/>
                                  <w:szCs w:val="18"/>
                                  <w:lang w:val="en-AU"/>
                                </w:rPr>
                                <w:fldChar w:fldCharType="separate"/>
                              </w:r>
                              <w:r w:rsidRPr="00F060B6">
                                <w:rPr>
                                  <w:rFonts w:ascii="Arial" w:hAnsi="Arial" w:cs="Arial"/>
                                  <w:color w:val="0000FF"/>
                                  <w:sz w:val="18"/>
                                  <w:szCs w:val="18"/>
                                  <w:u w:val="single"/>
                                  <w:lang w:val="en-AU"/>
                                </w:rPr>
                                <w:t>Clayton Utz</w:t>
                              </w:r>
                              <w:r w:rsidRPr="00F060B6">
                                <w:rPr>
                                  <w:rFonts w:ascii="Arial" w:hAnsi="Arial" w:cs="Arial"/>
                                  <w:color w:val="000000"/>
                                  <w:sz w:val="18"/>
                                  <w:szCs w:val="18"/>
                                  <w:lang w:val="en-AU"/>
                                </w:rPr>
                                <w:fldChar w:fldCharType="end"/>
                              </w:r>
                              <w:r w:rsidRPr="00F060B6">
                                <w:rPr>
                                  <w:rFonts w:ascii="Arial" w:hAnsi="Arial" w:cs="Arial"/>
                                  <w:color w:val="000000"/>
                                  <w:sz w:val="18"/>
                                  <w:szCs w:val="18"/>
                                  <w:lang w:val="en-AU"/>
                                </w:rPr>
                                <w:t xml:space="preserve">, </w:t>
                              </w:r>
                              <w:r w:rsidRPr="00F060B6">
                                <w:rPr>
                                  <w:rFonts w:ascii="Arial" w:hAnsi="Arial" w:cs="Arial"/>
                                  <w:color w:val="000000"/>
                                  <w:sz w:val="18"/>
                                  <w:szCs w:val="18"/>
                                  <w:lang w:val="en-AU"/>
                                </w:rPr>
                                <w:fldChar w:fldCharType="begin"/>
                              </w:r>
                              <w:r w:rsidRPr="00F060B6">
                                <w:rPr>
                                  <w:rFonts w:ascii="Arial" w:hAnsi="Arial" w:cs="Arial"/>
                                  <w:color w:val="000000"/>
                                  <w:sz w:val="18"/>
                                  <w:szCs w:val="18"/>
                                  <w:lang w:val="en-AU"/>
                                </w:rPr>
                                <w:instrText xml:space="preserve"> HYPERLINK "http://www.corrs.com.au/" \t "_new" </w:instrText>
                              </w:r>
                              <w:r w:rsidRPr="00F060B6">
                                <w:rPr>
                                  <w:rFonts w:ascii="Arial" w:hAnsi="Arial" w:cs="Arial"/>
                                  <w:color w:val="000000"/>
                                  <w:sz w:val="18"/>
                                  <w:szCs w:val="18"/>
                                  <w:lang w:val="en-AU"/>
                                </w:rPr>
                              </w:r>
                              <w:r w:rsidRPr="00F060B6">
                                <w:rPr>
                                  <w:rFonts w:ascii="Arial" w:hAnsi="Arial" w:cs="Arial"/>
                                  <w:color w:val="000000"/>
                                  <w:sz w:val="18"/>
                                  <w:szCs w:val="18"/>
                                  <w:lang w:val="en-AU"/>
                                </w:rPr>
                                <w:fldChar w:fldCharType="separate"/>
                              </w:r>
                              <w:r w:rsidRPr="00F060B6">
                                <w:rPr>
                                  <w:rFonts w:ascii="Arial" w:hAnsi="Arial" w:cs="Arial"/>
                                  <w:color w:val="0000FF"/>
                                  <w:sz w:val="18"/>
                                  <w:szCs w:val="18"/>
                                  <w:u w:val="single"/>
                                  <w:lang w:val="en-AU"/>
                                </w:rPr>
                                <w:t>Corrs Chambers Westgarth</w:t>
                              </w:r>
                              <w:r w:rsidRPr="00F060B6">
                                <w:rPr>
                                  <w:rFonts w:ascii="Arial" w:hAnsi="Arial" w:cs="Arial"/>
                                  <w:color w:val="000000"/>
                                  <w:sz w:val="18"/>
                                  <w:szCs w:val="18"/>
                                  <w:lang w:val="en-AU"/>
                                </w:rPr>
                                <w:fldChar w:fldCharType="end"/>
                              </w:r>
                              <w:r w:rsidRPr="00F060B6">
                                <w:rPr>
                                  <w:rFonts w:ascii="Arial" w:hAnsi="Arial" w:cs="Arial"/>
                                  <w:color w:val="000000"/>
                                  <w:sz w:val="18"/>
                                  <w:szCs w:val="18"/>
                                  <w:lang w:val="en-AU"/>
                                </w:rPr>
                                <w:t xml:space="preserve">, </w:t>
                              </w:r>
                              <w:r w:rsidRPr="00F060B6">
                                <w:rPr>
                                  <w:rFonts w:ascii="Arial" w:hAnsi="Arial" w:cs="Arial"/>
                                  <w:color w:val="000000"/>
                                  <w:sz w:val="18"/>
                                  <w:szCs w:val="18"/>
                                  <w:lang w:val="en-AU"/>
                                </w:rPr>
                                <w:fldChar w:fldCharType="begin"/>
                              </w:r>
                              <w:r w:rsidRPr="00F060B6">
                                <w:rPr>
                                  <w:rFonts w:ascii="Arial" w:hAnsi="Arial" w:cs="Arial"/>
                                  <w:color w:val="000000"/>
                                  <w:sz w:val="18"/>
                                  <w:szCs w:val="18"/>
                                  <w:lang w:val="en-AU"/>
                                </w:rPr>
                                <w:instrText xml:space="preserve"> HYPERLINK "http://www.dlapiper.com/Australia/" \t "_new" </w:instrText>
                              </w:r>
                              <w:r w:rsidRPr="00F060B6">
                                <w:rPr>
                                  <w:rFonts w:ascii="Arial" w:hAnsi="Arial" w:cs="Arial"/>
                                  <w:color w:val="000000"/>
                                  <w:sz w:val="18"/>
                                  <w:szCs w:val="18"/>
                                  <w:lang w:val="en-AU"/>
                                </w:rPr>
                              </w:r>
                              <w:r w:rsidRPr="00F060B6">
                                <w:rPr>
                                  <w:rFonts w:ascii="Arial" w:hAnsi="Arial" w:cs="Arial"/>
                                  <w:color w:val="000000"/>
                                  <w:sz w:val="18"/>
                                  <w:szCs w:val="18"/>
                                  <w:lang w:val="en-AU"/>
                                </w:rPr>
                                <w:fldChar w:fldCharType="separate"/>
                              </w:r>
                              <w:r w:rsidRPr="00F060B6">
                                <w:rPr>
                                  <w:rFonts w:ascii="Arial" w:hAnsi="Arial" w:cs="Arial"/>
                                  <w:color w:val="0000FF"/>
                                  <w:sz w:val="18"/>
                                  <w:szCs w:val="18"/>
                                  <w:u w:val="single"/>
                                  <w:lang w:val="en-AU"/>
                                </w:rPr>
                                <w:t>DLA Piper</w:t>
                              </w:r>
                              <w:r w:rsidRPr="00F060B6">
                                <w:rPr>
                                  <w:rFonts w:ascii="Arial" w:hAnsi="Arial" w:cs="Arial"/>
                                  <w:color w:val="000000"/>
                                  <w:sz w:val="18"/>
                                  <w:szCs w:val="18"/>
                                  <w:lang w:val="en-AU"/>
                                </w:rPr>
                                <w:fldChar w:fldCharType="end"/>
                              </w:r>
                              <w:r w:rsidRPr="00F060B6">
                                <w:rPr>
                                  <w:rFonts w:ascii="Arial" w:hAnsi="Arial" w:cs="Arial"/>
                                  <w:color w:val="000000"/>
                                  <w:sz w:val="18"/>
                                  <w:szCs w:val="18"/>
                                  <w:lang w:val="en-AU"/>
                                </w:rPr>
                                <w:t xml:space="preserve">, </w:t>
                              </w:r>
                              <w:r w:rsidRPr="00F060B6">
                                <w:rPr>
                                  <w:rFonts w:ascii="Arial" w:hAnsi="Arial" w:cs="Arial"/>
                                  <w:color w:val="000000"/>
                                  <w:sz w:val="18"/>
                                  <w:szCs w:val="18"/>
                                  <w:lang w:val="en-AU"/>
                                </w:rPr>
                                <w:fldChar w:fldCharType="begin"/>
                              </w:r>
                              <w:r w:rsidRPr="00F060B6">
                                <w:rPr>
                                  <w:rFonts w:ascii="Arial" w:hAnsi="Arial" w:cs="Arial"/>
                                  <w:color w:val="000000"/>
                                  <w:sz w:val="18"/>
                                  <w:szCs w:val="18"/>
                                  <w:lang w:val="en-AU"/>
                                </w:rPr>
                                <w:instrText xml:space="preserve"> HYPERLINK "http://www.freehills.com/" \t "_new" </w:instrText>
                              </w:r>
                              <w:r w:rsidRPr="00F060B6">
                                <w:rPr>
                                  <w:rFonts w:ascii="Arial" w:hAnsi="Arial" w:cs="Arial"/>
                                  <w:color w:val="000000"/>
                                  <w:sz w:val="18"/>
                                  <w:szCs w:val="18"/>
                                  <w:lang w:val="en-AU"/>
                                </w:rPr>
                              </w:r>
                              <w:r w:rsidRPr="00F060B6">
                                <w:rPr>
                                  <w:rFonts w:ascii="Arial" w:hAnsi="Arial" w:cs="Arial"/>
                                  <w:color w:val="000000"/>
                                  <w:sz w:val="18"/>
                                  <w:szCs w:val="18"/>
                                  <w:lang w:val="en-AU"/>
                                </w:rPr>
                                <w:fldChar w:fldCharType="separate"/>
                              </w:r>
                              <w:r w:rsidRPr="00F060B6">
                                <w:rPr>
                                  <w:rFonts w:ascii="Arial" w:hAnsi="Arial" w:cs="Arial"/>
                                  <w:color w:val="0000FF"/>
                                  <w:sz w:val="18"/>
                                  <w:szCs w:val="18"/>
                                  <w:u w:val="single"/>
                                  <w:lang w:val="en-AU"/>
                                </w:rPr>
                                <w:t>Freehills</w:t>
                              </w:r>
                              <w:r w:rsidRPr="00F060B6">
                                <w:rPr>
                                  <w:rFonts w:ascii="Arial" w:hAnsi="Arial" w:cs="Arial"/>
                                  <w:color w:val="000000"/>
                                  <w:sz w:val="18"/>
                                  <w:szCs w:val="18"/>
                                  <w:lang w:val="en-AU"/>
                                </w:rPr>
                                <w:fldChar w:fldCharType="end"/>
                              </w:r>
                              <w:r w:rsidRPr="00F060B6">
                                <w:rPr>
                                  <w:rFonts w:ascii="Arial" w:hAnsi="Arial" w:cs="Arial"/>
                                  <w:color w:val="000000"/>
                                  <w:sz w:val="18"/>
                                  <w:szCs w:val="18"/>
                                  <w:lang w:val="en-AU"/>
                                </w:rPr>
                                <w:t xml:space="preserve">, </w:t>
                              </w:r>
                              <w:r w:rsidRPr="00F060B6">
                                <w:rPr>
                                  <w:rFonts w:ascii="Arial" w:hAnsi="Arial" w:cs="Arial"/>
                                  <w:color w:val="000000"/>
                                  <w:sz w:val="18"/>
                                  <w:szCs w:val="18"/>
                                  <w:lang w:val="en-AU"/>
                                </w:rPr>
                                <w:fldChar w:fldCharType="begin"/>
                              </w:r>
                              <w:r w:rsidRPr="00F060B6">
                                <w:rPr>
                                  <w:rFonts w:ascii="Arial" w:hAnsi="Arial" w:cs="Arial"/>
                                  <w:color w:val="000000"/>
                                  <w:sz w:val="18"/>
                                  <w:szCs w:val="18"/>
                                  <w:lang w:val="en-AU"/>
                                </w:rPr>
                                <w:instrText xml:space="preserve"> HYPERLINK "http://www.mallesons.com/" \t "_new" </w:instrText>
                              </w:r>
                              <w:r w:rsidRPr="00F060B6">
                                <w:rPr>
                                  <w:rFonts w:ascii="Arial" w:hAnsi="Arial" w:cs="Arial"/>
                                  <w:color w:val="000000"/>
                                  <w:sz w:val="18"/>
                                  <w:szCs w:val="18"/>
                                  <w:lang w:val="en-AU"/>
                                </w:rPr>
                              </w:r>
                              <w:r w:rsidRPr="00F060B6">
                                <w:rPr>
                                  <w:rFonts w:ascii="Arial" w:hAnsi="Arial" w:cs="Arial"/>
                                  <w:color w:val="000000"/>
                                  <w:sz w:val="18"/>
                                  <w:szCs w:val="18"/>
                                  <w:lang w:val="en-AU"/>
                                </w:rPr>
                                <w:fldChar w:fldCharType="separate"/>
                              </w:r>
                              <w:r w:rsidRPr="00F060B6">
                                <w:rPr>
                                  <w:rFonts w:ascii="Arial" w:hAnsi="Arial" w:cs="Arial"/>
                                  <w:color w:val="0000FF"/>
                                  <w:sz w:val="18"/>
                                  <w:szCs w:val="18"/>
                                  <w:u w:val="single"/>
                                  <w:lang w:val="en-AU"/>
                                </w:rPr>
                                <w:t>Mallesons Stephen Jaques</w:t>
                              </w:r>
                              <w:r w:rsidRPr="00F060B6">
                                <w:rPr>
                                  <w:rFonts w:ascii="Arial" w:hAnsi="Arial" w:cs="Arial"/>
                                  <w:color w:val="000000"/>
                                  <w:sz w:val="18"/>
                                  <w:szCs w:val="18"/>
                                  <w:lang w:val="en-AU"/>
                                </w:rPr>
                                <w:fldChar w:fldCharType="end"/>
                              </w:r>
                              <w:r w:rsidRPr="00F060B6">
                                <w:rPr>
                                  <w:rFonts w:ascii="Arial" w:hAnsi="Arial" w:cs="Arial"/>
                                  <w:color w:val="000000"/>
                                  <w:sz w:val="18"/>
                                  <w:szCs w:val="18"/>
                                  <w:lang w:val="en-AU"/>
                                </w:rPr>
                                <w:t>.</w:t>
                              </w:r>
                            </w:p>
                            <w:p w:rsidR="00F060B6" w:rsidRPr="00F060B6" w:rsidRDefault="00F060B6" w:rsidP="00F060B6">
                              <w:pPr>
                                <w:tabs>
                                  <w:tab w:val="num" w:pos="720"/>
                                </w:tabs>
                                <w:spacing w:before="100" w:beforeAutospacing="1" w:after="100" w:afterAutospacing="1"/>
                                <w:ind w:left="720" w:hanging="360"/>
                                <w:rPr>
                                  <w:rFonts w:ascii="Times" w:hAnsi="Times" w:cs="Times New Roman"/>
                                  <w:sz w:val="20"/>
                                  <w:szCs w:val="20"/>
                                  <w:lang w:val="en-AU"/>
                                </w:rPr>
                              </w:pPr>
                              <w:r w:rsidRPr="00F060B6">
                                <w:rPr>
                                  <w:rFonts w:ascii="Arial" w:eastAsia="Arial" w:hAnsi="Arial" w:cs="Arial"/>
                                  <w:color w:val="000000"/>
                                  <w:sz w:val="18"/>
                                  <w:szCs w:val="18"/>
                                  <w:lang w:val="en-AU"/>
                                </w:rPr>
                                <w:t>1.</w:t>
                              </w:r>
                              <w:r w:rsidRPr="00F060B6">
                                <w:rPr>
                                  <w:rFonts w:ascii="Times New Roman" w:eastAsia="Arial" w:hAnsi="Times New Roman" w:cs="Times New Roman"/>
                                  <w:color w:val="000000"/>
                                  <w:sz w:val="14"/>
                                  <w:szCs w:val="14"/>
                                  <w:lang w:val="en-AU"/>
                                </w:rPr>
                                <w:t xml:space="preserve">     </w:t>
                              </w:r>
                              <w:hyperlink r:id="rId10" w:anchor="h1" w:history="1">
                                <w:r w:rsidRPr="00F060B6">
                                  <w:rPr>
                                    <w:rFonts w:ascii="Arial" w:eastAsia="Times New Roman" w:hAnsi="Arial" w:cs="Arial"/>
                                    <w:color w:val="0000FF"/>
                                    <w:sz w:val="18"/>
                                    <w:szCs w:val="18"/>
                                    <w:u w:val="single"/>
                                    <w:lang w:val="en-AU"/>
                                  </w:rPr>
                                  <w:t>Recent Corporate Law and Corporate Governance Developments</w:t>
                                </w:r>
                              </w:hyperlink>
                            </w:p>
                            <w:p w:rsidR="00F060B6" w:rsidRPr="00F060B6" w:rsidRDefault="00F060B6" w:rsidP="00F060B6">
                              <w:pPr>
                                <w:tabs>
                                  <w:tab w:val="num" w:pos="720"/>
                                </w:tabs>
                                <w:spacing w:before="100" w:beforeAutospacing="1" w:after="100" w:afterAutospacing="1"/>
                                <w:ind w:left="720" w:hanging="360"/>
                                <w:rPr>
                                  <w:rFonts w:ascii="Times" w:hAnsi="Times" w:cs="Times New Roman"/>
                                  <w:sz w:val="20"/>
                                  <w:szCs w:val="20"/>
                                  <w:lang w:val="en-AU"/>
                                </w:rPr>
                              </w:pPr>
                              <w:r w:rsidRPr="00F060B6">
                                <w:rPr>
                                  <w:rFonts w:ascii="Arial" w:eastAsia="Arial" w:hAnsi="Arial" w:cs="Arial"/>
                                  <w:color w:val="000000"/>
                                  <w:sz w:val="18"/>
                                  <w:szCs w:val="18"/>
                                  <w:lang w:val="en-AU"/>
                                </w:rPr>
                                <w:t>2.</w:t>
                              </w:r>
                              <w:r w:rsidRPr="00F060B6">
                                <w:rPr>
                                  <w:rFonts w:ascii="Times New Roman" w:eastAsia="Arial" w:hAnsi="Times New Roman" w:cs="Times New Roman"/>
                                  <w:color w:val="000000"/>
                                  <w:sz w:val="14"/>
                                  <w:szCs w:val="14"/>
                                  <w:lang w:val="en-AU"/>
                                </w:rPr>
                                <w:t xml:space="preserve">     </w:t>
                              </w:r>
                              <w:hyperlink r:id="rId11" w:anchor="h2" w:history="1">
                                <w:r w:rsidRPr="00F060B6">
                                  <w:rPr>
                                    <w:rFonts w:ascii="Arial" w:eastAsia="Times New Roman" w:hAnsi="Arial" w:cs="Arial"/>
                                    <w:color w:val="0000FF"/>
                                    <w:sz w:val="18"/>
                                    <w:szCs w:val="18"/>
                                    <w:u w:val="single"/>
                                    <w:lang w:val="en-AU"/>
                                  </w:rPr>
                                  <w:t>Recent ASIC Developments</w:t>
                                </w:r>
                              </w:hyperlink>
                            </w:p>
                            <w:p w:rsidR="00F060B6" w:rsidRPr="00F060B6" w:rsidRDefault="00F060B6" w:rsidP="00F060B6">
                              <w:pPr>
                                <w:tabs>
                                  <w:tab w:val="num" w:pos="720"/>
                                </w:tabs>
                                <w:spacing w:before="100" w:beforeAutospacing="1" w:after="100" w:afterAutospacing="1"/>
                                <w:ind w:left="720" w:hanging="360"/>
                                <w:rPr>
                                  <w:rFonts w:ascii="Times" w:hAnsi="Times" w:cs="Times New Roman"/>
                                  <w:sz w:val="20"/>
                                  <w:szCs w:val="20"/>
                                  <w:lang w:val="en-AU"/>
                                </w:rPr>
                              </w:pPr>
                              <w:r w:rsidRPr="00F060B6">
                                <w:rPr>
                                  <w:rFonts w:ascii="Arial" w:eastAsia="Arial" w:hAnsi="Arial" w:cs="Arial"/>
                                  <w:color w:val="000000"/>
                                  <w:sz w:val="18"/>
                                  <w:szCs w:val="18"/>
                                  <w:lang w:val="en-AU"/>
                                </w:rPr>
                                <w:t>3.</w:t>
                              </w:r>
                              <w:r w:rsidRPr="00F060B6">
                                <w:rPr>
                                  <w:rFonts w:ascii="Times New Roman" w:eastAsia="Arial" w:hAnsi="Times New Roman" w:cs="Times New Roman"/>
                                  <w:color w:val="000000"/>
                                  <w:sz w:val="14"/>
                                  <w:szCs w:val="14"/>
                                  <w:lang w:val="en-AU"/>
                                </w:rPr>
                                <w:t xml:space="preserve">     </w:t>
                              </w:r>
                              <w:hyperlink r:id="rId12" w:anchor="h3" w:history="1">
                                <w:r w:rsidRPr="00F060B6">
                                  <w:rPr>
                                    <w:rFonts w:ascii="Arial" w:eastAsia="Times New Roman" w:hAnsi="Arial" w:cs="Arial"/>
                                    <w:color w:val="0000FF"/>
                                    <w:sz w:val="18"/>
                                    <w:szCs w:val="18"/>
                                    <w:u w:val="single"/>
                                    <w:lang w:val="en-AU"/>
                                  </w:rPr>
                                  <w:t>Recent ASX Developments</w:t>
                                </w:r>
                              </w:hyperlink>
                            </w:p>
                            <w:p w:rsidR="00F060B6" w:rsidRPr="00F060B6" w:rsidRDefault="00F060B6" w:rsidP="00F060B6">
                              <w:pPr>
                                <w:tabs>
                                  <w:tab w:val="num" w:pos="720"/>
                                </w:tabs>
                                <w:spacing w:before="100" w:beforeAutospacing="1" w:after="100" w:afterAutospacing="1"/>
                                <w:ind w:left="720" w:hanging="360"/>
                                <w:rPr>
                                  <w:rFonts w:ascii="Times" w:hAnsi="Times" w:cs="Times New Roman"/>
                                  <w:sz w:val="20"/>
                                  <w:szCs w:val="20"/>
                                  <w:lang w:val="en-AU"/>
                                </w:rPr>
                              </w:pPr>
                              <w:r w:rsidRPr="00F060B6">
                                <w:rPr>
                                  <w:rFonts w:ascii="Arial" w:eastAsia="Arial" w:hAnsi="Arial" w:cs="Arial"/>
                                  <w:color w:val="000000"/>
                                  <w:sz w:val="18"/>
                                  <w:szCs w:val="18"/>
                                  <w:lang w:val="en-AU"/>
                                </w:rPr>
                                <w:t>4.</w:t>
                              </w:r>
                              <w:r w:rsidRPr="00F060B6">
                                <w:rPr>
                                  <w:rFonts w:ascii="Times New Roman" w:eastAsia="Arial" w:hAnsi="Times New Roman" w:cs="Times New Roman"/>
                                  <w:color w:val="000000"/>
                                  <w:sz w:val="14"/>
                                  <w:szCs w:val="14"/>
                                  <w:lang w:val="en-AU"/>
                                </w:rPr>
                                <w:t xml:space="preserve">     </w:t>
                              </w:r>
                              <w:hyperlink r:id="rId13" w:anchor="h4" w:history="1">
                                <w:r w:rsidRPr="00F060B6">
                                  <w:rPr>
                                    <w:rFonts w:ascii="Arial" w:eastAsia="Times New Roman" w:hAnsi="Arial" w:cs="Arial"/>
                                    <w:color w:val="0000FF"/>
                                    <w:sz w:val="18"/>
                                    <w:szCs w:val="18"/>
                                    <w:u w:val="single"/>
                                    <w:lang w:val="en-AU"/>
                                  </w:rPr>
                                  <w:t>Recent Takeovers Panel Developments</w:t>
                                </w:r>
                              </w:hyperlink>
                            </w:p>
                            <w:p w:rsidR="00F060B6" w:rsidRPr="00F060B6" w:rsidRDefault="00F060B6" w:rsidP="00F060B6">
                              <w:pPr>
                                <w:tabs>
                                  <w:tab w:val="num" w:pos="720"/>
                                </w:tabs>
                                <w:spacing w:before="100" w:beforeAutospacing="1" w:after="100" w:afterAutospacing="1"/>
                                <w:ind w:left="720" w:hanging="360"/>
                                <w:rPr>
                                  <w:rFonts w:ascii="Times" w:hAnsi="Times" w:cs="Times New Roman"/>
                                  <w:sz w:val="20"/>
                                  <w:szCs w:val="20"/>
                                  <w:lang w:val="en-AU"/>
                                </w:rPr>
                              </w:pPr>
                              <w:r w:rsidRPr="00F060B6">
                                <w:rPr>
                                  <w:rFonts w:ascii="Arial" w:eastAsia="Arial" w:hAnsi="Arial" w:cs="Arial"/>
                                  <w:color w:val="000000"/>
                                  <w:sz w:val="18"/>
                                  <w:szCs w:val="18"/>
                                  <w:lang w:val="en-AU"/>
                                </w:rPr>
                                <w:t>5.</w:t>
                              </w:r>
                              <w:r w:rsidRPr="00F060B6">
                                <w:rPr>
                                  <w:rFonts w:ascii="Times New Roman" w:eastAsia="Arial" w:hAnsi="Times New Roman" w:cs="Times New Roman"/>
                                  <w:color w:val="000000"/>
                                  <w:sz w:val="14"/>
                                  <w:szCs w:val="14"/>
                                  <w:lang w:val="en-AU"/>
                                </w:rPr>
                                <w:t xml:space="preserve">     </w:t>
                              </w:r>
                              <w:hyperlink r:id="rId14" w:anchor="7" w:history="1">
                                <w:r w:rsidRPr="00F060B6">
                                  <w:rPr>
                                    <w:rFonts w:ascii="Arial" w:eastAsia="Times New Roman" w:hAnsi="Arial" w:cs="Arial"/>
                                    <w:color w:val="0000FF"/>
                                    <w:sz w:val="18"/>
                                    <w:szCs w:val="18"/>
                                    <w:u w:val="single"/>
                                    <w:lang w:val="en-AU"/>
                                  </w:rPr>
                                  <w:t>Contributions</w:t>
                                </w:r>
                              </w:hyperlink>
                            </w:p>
                            <w:p w:rsidR="00F060B6" w:rsidRPr="00F060B6" w:rsidRDefault="00F060B6" w:rsidP="00F060B6">
                              <w:pPr>
                                <w:tabs>
                                  <w:tab w:val="num" w:pos="720"/>
                                </w:tabs>
                                <w:spacing w:before="100" w:beforeAutospacing="1" w:after="100" w:afterAutospacing="1"/>
                                <w:ind w:left="720" w:hanging="360"/>
                                <w:rPr>
                                  <w:rFonts w:ascii="Times" w:hAnsi="Times" w:cs="Times New Roman"/>
                                  <w:sz w:val="20"/>
                                  <w:szCs w:val="20"/>
                                  <w:lang w:val="en-AU"/>
                                </w:rPr>
                              </w:pPr>
                              <w:r w:rsidRPr="00F060B6">
                                <w:rPr>
                                  <w:rFonts w:ascii="Arial" w:eastAsia="Arial" w:hAnsi="Arial" w:cs="Arial"/>
                                  <w:color w:val="000000"/>
                                  <w:sz w:val="18"/>
                                  <w:szCs w:val="18"/>
                                  <w:lang w:val="en-AU"/>
                                </w:rPr>
                                <w:t>6.</w:t>
                              </w:r>
                              <w:r w:rsidRPr="00F060B6">
                                <w:rPr>
                                  <w:rFonts w:ascii="Times New Roman" w:eastAsia="Arial" w:hAnsi="Times New Roman" w:cs="Times New Roman"/>
                                  <w:color w:val="000000"/>
                                  <w:sz w:val="14"/>
                                  <w:szCs w:val="14"/>
                                  <w:lang w:val="en-AU"/>
                                </w:rPr>
                                <w:t xml:space="preserve">     </w:t>
                              </w:r>
                              <w:r w:rsidRPr="00F060B6">
                                <w:rPr>
                                  <w:rFonts w:ascii="Arial" w:eastAsia="Times New Roman" w:hAnsi="Arial" w:cs="Arial"/>
                                  <w:color w:val="000000"/>
                                  <w:sz w:val="18"/>
                                  <w:szCs w:val="18"/>
                                  <w:lang w:val="en-AU"/>
                                </w:rPr>
                                <w:fldChar w:fldCharType="begin"/>
                              </w:r>
                              <w:r w:rsidRPr="00F060B6">
                                <w:rPr>
                                  <w:rFonts w:ascii="Arial" w:eastAsia="Times New Roman" w:hAnsi="Arial" w:cs="Arial"/>
                                  <w:color w:val="000000"/>
                                  <w:sz w:val="18"/>
                                  <w:szCs w:val="18"/>
                                  <w:lang w:val="en-AU"/>
                                </w:rPr>
                                <w:instrText xml:space="preserve"> HYPERLINK "http://my.lawlex.com.au/default.asp?goto=previous_news&amp;indexid=7" \t "_new" </w:instrText>
                              </w:r>
                              <w:r w:rsidRPr="00F060B6">
                                <w:rPr>
                                  <w:rFonts w:ascii="Arial" w:eastAsia="Times New Roman" w:hAnsi="Arial" w:cs="Arial"/>
                                  <w:color w:val="000000"/>
                                  <w:sz w:val="18"/>
                                  <w:szCs w:val="18"/>
                                  <w:lang w:val="en-AU"/>
                                </w:rPr>
                              </w:r>
                              <w:r w:rsidRPr="00F060B6">
                                <w:rPr>
                                  <w:rFonts w:ascii="Arial" w:eastAsia="Times New Roman" w:hAnsi="Arial" w:cs="Arial"/>
                                  <w:color w:val="000000"/>
                                  <w:sz w:val="18"/>
                                  <w:szCs w:val="18"/>
                                  <w:lang w:val="en-AU"/>
                                </w:rPr>
                                <w:fldChar w:fldCharType="separate"/>
                              </w:r>
                              <w:r w:rsidRPr="00F060B6">
                                <w:rPr>
                                  <w:rFonts w:ascii="Arial" w:eastAsia="Times New Roman" w:hAnsi="Arial" w:cs="Arial"/>
                                  <w:color w:val="0000FF"/>
                                  <w:sz w:val="18"/>
                                  <w:szCs w:val="18"/>
                                  <w:u w:val="single"/>
                                  <w:lang w:val="en-AU"/>
                                </w:rPr>
                                <w:t>Previous editions of the Corporate Law Bulletin</w:t>
                              </w:r>
                              <w:r w:rsidRPr="00F060B6">
                                <w:rPr>
                                  <w:rFonts w:ascii="Arial" w:eastAsia="Times New Roman" w:hAnsi="Arial" w:cs="Arial"/>
                                  <w:color w:val="000000"/>
                                  <w:sz w:val="18"/>
                                  <w:szCs w:val="18"/>
                                  <w:lang w:val="en-AU"/>
                                </w:rPr>
                                <w:fldChar w:fldCharType="end"/>
                              </w:r>
                              <w:r w:rsidRPr="00F060B6">
                                <w:rPr>
                                  <w:rFonts w:ascii="Arial" w:eastAsia="Times New Roman" w:hAnsi="Arial" w:cs="Arial"/>
                                  <w:color w:val="000000"/>
                                  <w:sz w:val="18"/>
                                  <w:szCs w:val="18"/>
                                  <w:lang w:val="en-AU"/>
                                </w:rPr>
                                <w:t xml:space="preserve"> </w:t>
                              </w:r>
                            </w:p>
                          </w:tc>
                        </w:tr>
                      </w:tbl>
                      <w:p w:rsidR="00F060B6" w:rsidRPr="00F060B6" w:rsidRDefault="00F060B6" w:rsidP="00F060B6">
                        <w:pPr>
                          <w:rPr>
                            <w:rFonts w:ascii="Times" w:eastAsia="Times New Roman" w:hAnsi="Times" w:cs="Times New Roman"/>
                            <w:sz w:val="20"/>
                            <w:szCs w:val="20"/>
                            <w:lang w:val="en-AU"/>
                          </w:rPr>
                        </w:pPr>
                      </w:p>
                    </w:tc>
                    <w:tc>
                      <w:tcPr>
                        <w:tcW w:w="1950" w:type="dxa"/>
                        <w:hideMark/>
                      </w:tcPr>
                      <w:p w:rsidR="00F060B6" w:rsidRPr="00F060B6" w:rsidRDefault="00F060B6" w:rsidP="00F060B6">
                        <w:pPr>
                          <w:spacing w:before="100" w:beforeAutospacing="1" w:after="100" w:afterAutospacing="1"/>
                          <w:rPr>
                            <w:rFonts w:ascii="Times" w:hAnsi="Times" w:cs="Times New Roman"/>
                            <w:sz w:val="20"/>
                            <w:szCs w:val="20"/>
                            <w:lang w:val="en-AU"/>
                          </w:rPr>
                        </w:pPr>
                        <w:hyperlink r:id="rId15" w:history="1">
                          <w:r w:rsidRPr="00F060B6">
                            <w:rPr>
                              <w:rFonts w:ascii="Arial" w:eastAsia="Times New Roman" w:hAnsi="Arial" w:cs="Arial"/>
                              <w:b/>
                              <w:bCs/>
                              <w:color w:val="0000FF"/>
                              <w:sz w:val="18"/>
                              <w:szCs w:val="18"/>
                              <w:u w:val="single"/>
                              <w:lang w:val="en-AU"/>
                            </w:rPr>
                            <w:t>Legislation Hotline</w:t>
                          </w:r>
                        </w:hyperlink>
                      </w:p>
                      <w:p w:rsidR="00F060B6" w:rsidRPr="00F060B6" w:rsidRDefault="00F060B6" w:rsidP="00F060B6">
                        <w:pPr>
                          <w:spacing w:before="100" w:beforeAutospacing="1" w:after="100" w:afterAutospacing="1"/>
                          <w:rPr>
                            <w:rFonts w:ascii="Times" w:hAnsi="Times" w:cs="Times New Roman"/>
                            <w:sz w:val="20"/>
                            <w:szCs w:val="20"/>
                            <w:lang w:val="en-AU"/>
                          </w:rPr>
                        </w:pPr>
                        <w:r w:rsidRPr="00F060B6">
                          <w:rPr>
                            <w:rFonts w:ascii="Arial" w:eastAsia="Times New Roman" w:hAnsi="Arial" w:cs="Arial"/>
                            <w:color w:val="000000"/>
                            <w:sz w:val="18"/>
                            <w:szCs w:val="18"/>
                            <w:lang w:val="en-AU"/>
                          </w:rPr>
                          <w:br/>
                        </w:r>
                        <w:r>
                          <w:rPr>
                            <w:rFonts w:ascii="Arial" w:eastAsia="Times New Roman" w:hAnsi="Arial" w:cs="Arial"/>
                            <w:noProof/>
                            <w:color w:val="0000FF"/>
                            <w:sz w:val="18"/>
                            <w:szCs w:val="18"/>
                          </w:rPr>
                          <w:drawing>
                            <wp:inline distT="0" distB="0" distL="0" distR="0">
                              <wp:extent cx="1640840" cy="393065"/>
                              <wp:effectExtent l="0" t="0" r="10160" b="0"/>
                              <wp:docPr id="21465" name="Picture 21465" descr="eview my Newsfeed selections">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65" descr="eview my Newsfeed selection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F060B6">
                          <w:rPr>
                            <w:rFonts w:ascii="Arial" w:eastAsia="Times New Roman" w:hAnsi="Arial" w:cs="Arial"/>
                            <w:color w:val="000000"/>
                            <w:sz w:val="18"/>
                            <w:szCs w:val="18"/>
                            <w:lang w:val="en-AU"/>
                          </w:rPr>
                          <w:br/>
                        </w:r>
                        <w:r>
                          <w:rPr>
                            <w:rFonts w:ascii="Arial" w:eastAsia="Times New Roman" w:hAnsi="Arial" w:cs="Arial"/>
                            <w:noProof/>
                            <w:color w:val="0000FF"/>
                            <w:sz w:val="18"/>
                            <w:szCs w:val="18"/>
                          </w:rPr>
                          <w:drawing>
                            <wp:inline distT="0" distB="0" distL="0" distR="0">
                              <wp:extent cx="1640840" cy="393065"/>
                              <wp:effectExtent l="0" t="0" r="10160" b="0"/>
                              <wp:docPr id="21466" name="Picture 21466" descr="iew past editions of Newsfeeds">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66" descr="iew past editions of Newsfeed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F060B6">
                          <w:rPr>
                            <w:rFonts w:ascii="Arial" w:eastAsia="Times New Roman" w:hAnsi="Arial" w:cs="Arial"/>
                            <w:color w:val="000000"/>
                            <w:sz w:val="18"/>
                            <w:szCs w:val="18"/>
                            <w:lang w:val="en-AU"/>
                          </w:rPr>
                          <w:br/>
                        </w:r>
                        <w:r>
                          <w:rPr>
                            <w:rFonts w:ascii="Arial" w:eastAsia="Times New Roman" w:hAnsi="Arial" w:cs="Arial"/>
                            <w:noProof/>
                            <w:color w:val="0000FF"/>
                            <w:sz w:val="18"/>
                            <w:szCs w:val="18"/>
                          </w:rPr>
                          <w:drawing>
                            <wp:inline distT="0" distB="0" distL="0" distR="0">
                              <wp:extent cx="1640840" cy="393065"/>
                              <wp:effectExtent l="0" t="0" r="10160" b="0"/>
                              <wp:docPr id="21467" name="Picture 21467" descr="iew a list of related Standards">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67" descr="iew a list of related Standard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F060B6">
                          <w:rPr>
                            <w:rFonts w:ascii="Arial" w:eastAsia="Times New Roman" w:hAnsi="Arial" w:cs="Arial"/>
                            <w:color w:val="000000"/>
                            <w:sz w:val="18"/>
                            <w:szCs w:val="18"/>
                            <w:lang w:val="en-AU"/>
                          </w:rPr>
                          <w:br/>
                        </w:r>
                        <w:r>
                          <w:rPr>
                            <w:rFonts w:ascii="Arial" w:eastAsia="Times New Roman" w:hAnsi="Arial" w:cs="Arial"/>
                            <w:noProof/>
                            <w:color w:val="0000FF"/>
                            <w:sz w:val="18"/>
                            <w:szCs w:val="18"/>
                          </w:rPr>
                          <w:drawing>
                            <wp:inline distT="0" distB="0" distL="0" distR="0">
                              <wp:extent cx="1640840" cy="393065"/>
                              <wp:effectExtent l="0" t="0" r="10160" b="0"/>
                              <wp:docPr id="21468" name="Picture 21468" descr="earch all Australian legislation from one website">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68" descr="earch all Australian legislation from one websit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F060B6">
                          <w:rPr>
                            <w:rFonts w:ascii="Arial" w:eastAsia="Times New Roman" w:hAnsi="Arial" w:cs="Arial"/>
                            <w:color w:val="000000"/>
                            <w:sz w:val="18"/>
                            <w:szCs w:val="18"/>
                            <w:lang w:val="en-AU"/>
                          </w:rPr>
                          <w:br/>
                        </w:r>
                        <w:r>
                          <w:rPr>
                            <w:rFonts w:ascii="Arial" w:eastAsia="Times New Roman" w:hAnsi="Arial" w:cs="Arial"/>
                            <w:noProof/>
                            <w:color w:val="0000FF"/>
                            <w:sz w:val="18"/>
                            <w:szCs w:val="18"/>
                          </w:rPr>
                          <w:drawing>
                            <wp:inline distT="0" distB="0" distL="0" distR="0">
                              <wp:extent cx="1640840" cy="393065"/>
                              <wp:effectExtent l="0" t="0" r="10160" b="0"/>
                              <wp:docPr id="21469" name="Picture 21469" descr="ree trial our Lawlex Legislative Alerts">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69" descr="ree trial our Lawlex Legislative Alert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F060B6">
                          <w:rPr>
                            <w:rFonts w:ascii="Arial" w:eastAsia="Times New Roman" w:hAnsi="Arial" w:cs="Arial"/>
                            <w:color w:val="000000"/>
                            <w:sz w:val="18"/>
                            <w:szCs w:val="18"/>
                            <w:lang w:val="en-AU"/>
                          </w:rPr>
                          <w:br/>
                        </w:r>
                        <w:r>
                          <w:rPr>
                            <w:rFonts w:ascii="Arial" w:eastAsia="Times New Roman" w:hAnsi="Arial" w:cs="Arial"/>
                            <w:noProof/>
                            <w:color w:val="0000FF"/>
                            <w:sz w:val="18"/>
                            <w:szCs w:val="18"/>
                          </w:rPr>
                          <w:drawing>
                            <wp:inline distT="0" distB="0" distL="0" distR="0">
                              <wp:extent cx="1640840" cy="393065"/>
                              <wp:effectExtent l="0" t="0" r="10160" b="0"/>
                              <wp:docPr id="21470" name="Picture 21470" descr="ree trial our other regulatory products and services">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70" descr="ree trial our other regulatory products and service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F060B6">
                          <w:rPr>
                            <w:rFonts w:ascii="Arial" w:eastAsia="Times New Roman" w:hAnsi="Arial" w:cs="Arial"/>
                            <w:color w:val="000000"/>
                            <w:sz w:val="18"/>
                            <w:szCs w:val="18"/>
                            <w:lang w:val="en-AU"/>
                          </w:rPr>
                          <w:br/>
                        </w:r>
                        <w:r>
                          <w:rPr>
                            <w:rFonts w:ascii="Arial" w:eastAsia="Times New Roman" w:hAnsi="Arial" w:cs="Arial"/>
                            <w:noProof/>
                            <w:color w:val="0000FF"/>
                            <w:sz w:val="18"/>
                            <w:szCs w:val="18"/>
                          </w:rPr>
                          <w:drawing>
                            <wp:inline distT="0" distB="0" distL="0" distR="0">
                              <wp:extent cx="1640840" cy="393065"/>
                              <wp:effectExtent l="0" t="0" r="10160" b="0"/>
                              <wp:docPr id="21471" name="Picture 21471" descr="overnance, risk and compliance solutions">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71" descr="overnance, risk and compliance solutions"/>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p>
                    </w:tc>
                  </w:tr>
                  <w:tr w:rsidR="00F060B6" w:rsidRPr="00F060B6">
                    <w:trPr>
                      <w:tblCellSpacing w:w="0" w:type="dxa"/>
                    </w:trPr>
                    <w:tc>
                      <w:tcPr>
                        <w:tcW w:w="0" w:type="auto"/>
                        <w:vAlign w:val="bottom"/>
                        <w:hideMark/>
                      </w:tcPr>
                      <w:tbl>
                        <w:tblPr>
                          <w:tblW w:w="5000" w:type="pct"/>
                          <w:tblCellSpacing w:w="0" w:type="dxa"/>
                          <w:tblCellMar>
                            <w:top w:w="180" w:type="dxa"/>
                            <w:left w:w="180" w:type="dxa"/>
                            <w:bottom w:w="180" w:type="dxa"/>
                            <w:right w:w="180" w:type="dxa"/>
                          </w:tblCellMar>
                          <w:tblLook w:val="04A0" w:firstRow="1" w:lastRow="0" w:firstColumn="1" w:lastColumn="0" w:noHBand="0" w:noVBand="1"/>
                        </w:tblPr>
                        <w:tblGrid>
                          <w:gridCol w:w="4082"/>
                        </w:tblGrid>
                        <w:tr w:rsidR="00F060B6" w:rsidRPr="00F060B6">
                          <w:trPr>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E4E5E5"/>
                              <w:hideMark/>
                            </w:tcPr>
                            <w:p w:rsidR="00F060B6" w:rsidRPr="00F060B6" w:rsidRDefault="00F060B6" w:rsidP="00F060B6">
                              <w:pPr>
                                <w:spacing w:before="100" w:beforeAutospacing="1" w:after="100" w:afterAutospacing="1"/>
                                <w:rPr>
                                  <w:rFonts w:ascii="Times" w:hAnsi="Times" w:cs="Times New Roman"/>
                                  <w:sz w:val="20"/>
                                  <w:szCs w:val="20"/>
                                  <w:lang w:val="en-AU"/>
                                </w:rPr>
                              </w:pPr>
                              <w:r w:rsidRPr="00F060B6">
                                <w:rPr>
                                  <w:rFonts w:ascii="Arial" w:eastAsia="Times New Roman" w:hAnsi="Arial" w:cs="Arial"/>
                                  <w:sz w:val="15"/>
                                  <w:szCs w:val="15"/>
                                  <w:lang w:val="en-AU"/>
                                </w:rPr>
                                <w:t>COPYRIGHT WARNING</w:t>
                              </w:r>
                              <w:r w:rsidRPr="00F060B6">
                                <w:rPr>
                                  <w:rFonts w:ascii="Arial" w:eastAsia="Times New Roman" w:hAnsi="Arial" w:cs="Arial"/>
                                  <w:color w:val="000000"/>
                                  <w:sz w:val="15"/>
                                  <w:szCs w:val="15"/>
                                  <w:lang w:val="en-AU"/>
                                </w:rPr>
                                <w:br/>
                                <w:t>Use of this product must be in accordance with our licence agreement and the relevant licence fee paid by your organisation. We will vigorously pursue legal action against organisations found to be in breach of these requirements, in particular where email content has been forwarded, copied or pasted in any way without prior authorisation. If you are uncertain about your organisation's licensing arrangements, please contact SAI Global on 1300 555 595.</w:t>
                              </w:r>
                            </w:p>
                          </w:tc>
                        </w:tr>
                      </w:tbl>
                      <w:p w:rsidR="00F060B6" w:rsidRPr="00F060B6" w:rsidRDefault="00F060B6" w:rsidP="00F060B6">
                        <w:pPr>
                          <w:rPr>
                            <w:rFonts w:ascii="Times" w:eastAsia="Times New Roman" w:hAnsi="Times" w:cs="Times New Roman"/>
                            <w:sz w:val="20"/>
                            <w:szCs w:val="20"/>
                            <w:lang w:val="en-AU"/>
                          </w:rPr>
                        </w:pPr>
                      </w:p>
                    </w:tc>
                    <w:tc>
                      <w:tcPr>
                        <w:tcW w:w="0" w:type="auto"/>
                        <w:vAlign w:val="center"/>
                        <w:hideMark/>
                      </w:tcPr>
                      <w:p w:rsidR="00F060B6" w:rsidRPr="00F060B6" w:rsidRDefault="00F060B6" w:rsidP="00F060B6">
                        <w:pPr>
                          <w:rPr>
                            <w:rFonts w:ascii="Times" w:eastAsia="Times New Roman" w:hAnsi="Times" w:cs="Times New Roman"/>
                            <w:sz w:val="20"/>
                            <w:szCs w:val="20"/>
                            <w:lang w:val="en-AU"/>
                          </w:rPr>
                        </w:pPr>
                      </w:p>
                    </w:tc>
                  </w:tr>
                </w:tbl>
                <w:p w:rsidR="00F060B6" w:rsidRPr="00F060B6" w:rsidRDefault="00F060B6" w:rsidP="00F060B6">
                  <w:pPr>
                    <w:rPr>
                      <w:rFonts w:ascii="Times" w:eastAsia="Times New Roman" w:hAnsi="Times" w:cs="Times New Roman"/>
                      <w:sz w:val="20"/>
                      <w:szCs w:val="20"/>
                      <w:lang w:val="en-AU"/>
                    </w:rPr>
                  </w:pPr>
                </w:p>
              </w:tc>
            </w:tr>
          </w:tbl>
          <w:p w:rsidR="00F060B6" w:rsidRPr="00F060B6" w:rsidRDefault="00F060B6" w:rsidP="00F060B6">
            <w:pPr>
              <w:spacing w:before="100" w:beforeAutospacing="1" w:after="100" w:afterAutospacing="1"/>
              <w:rPr>
                <w:rFonts w:ascii="Times" w:hAnsi="Times" w:cs="Times New Roman"/>
                <w:sz w:val="20"/>
                <w:szCs w:val="20"/>
                <w:lang w:val="en-AU"/>
              </w:rPr>
            </w:pPr>
            <w:r w:rsidRPr="00F060B6">
              <w:rPr>
                <w:rFonts w:ascii="Arial" w:eastAsia="Times New Roman" w:hAnsi="Arial" w:cs="Arial"/>
                <w:color w:val="000000"/>
                <w:sz w:val="18"/>
                <w:szCs w:val="18"/>
                <w:lang w:val="en-AU"/>
              </w:rPr>
              <w:lastRenderedPageBreak/>
              <w:t> </w:t>
            </w:r>
          </w:p>
          <w:tbl>
            <w:tblPr>
              <w:tblW w:w="5000" w:type="pct"/>
              <w:tblCellSpacing w:w="0" w:type="dxa"/>
              <w:tblCellMar>
                <w:left w:w="0" w:type="dxa"/>
                <w:right w:w="0" w:type="dxa"/>
              </w:tblCellMar>
              <w:tblLook w:val="04A0" w:firstRow="1" w:lastRow="0" w:firstColumn="1" w:lastColumn="0" w:noHBand="0" w:noVBand="1"/>
            </w:tblPr>
            <w:tblGrid>
              <w:gridCol w:w="7224"/>
            </w:tblGrid>
            <w:tr w:rsidR="00F060B6" w:rsidRPr="00F060B6">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208"/>
                  </w:tblGrid>
                  <w:tr w:rsidR="00F060B6" w:rsidRPr="00F060B6">
                    <w:trPr>
                      <w:trHeight w:val="420"/>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C4262E"/>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6723"/>
                          <w:gridCol w:w="455"/>
                        </w:tblGrid>
                        <w:tr w:rsidR="00F060B6" w:rsidRPr="00F060B6">
                          <w:trPr>
                            <w:tblCellSpacing w:w="0" w:type="dxa"/>
                          </w:trPr>
                          <w:tc>
                            <w:tcPr>
                              <w:tcW w:w="4900" w:type="pct"/>
                              <w:vAlign w:val="center"/>
                              <w:hideMark/>
                            </w:tcPr>
                            <w:p w:rsidR="00F060B6" w:rsidRPr="00F060B6" w:rsidRDefault="00F060B6" w:rsidP="00F060B6">
                              <w:pPr>
                                <w:spacing w:before="100" w:beforeAutospacing="1" w:after="100" w:afterAutospacing="1"/>
                                <w:rPr>
                                  <w:rFonts w:ascii="Times" w:hAnsi="Times" w:cs="Times New Roman"/>
                                  <w:sz w:val="20"/>
                                  <w:szCs w:val="20"/>
                                  <w:lang w:val="en-AU"/>
                                </w:rPr>
                              </w:pPr>
                              <w:r w:rsidRPr="00F060B6">
                                <w:rPr>
                                  <w:rFonts w:ascii="Arial" w:eastAsia="Times New Roman" w:hAnsi="Arial" w:cs="Arial"/>
                                  <w:b/>
                                  <w:bCs/>
                                  <w:color w:val="FFFFFF"/>
                                  <w:sz w:val="18"/>
                                  <w:szCs w:val="18"/>
                                  <w:lang w:val="en-AU"/>
                                </w:rPr>
                                <w:t xml:space="preserve">Detailed Contents </w:t>
                              </w:r>
                            </w:p>
                          </w:tc>
                          <w:tc>
                            <w:tcPr>
                              <w:tcW w:w="100" w:type="pct"/>
                              <w:vAlign w:val="center"/>
                              <w:hideMark/>
                            </w:tcPr>
                            <w:p w:rsidR="00F060B6" w:rsidRPr="00F060B6" w:rsidRDefault="00F060B6" w:rsidP="00F060B6">
                              <w:pPr>
                                <w:spacing w:before="100" w:beforeAutospacing="1" w:after="100" w:afterAutospacing="1"/>
                                <w:rPr>
                                  <w:rFonts w:ascii="Times" w:hAnsi="Times" w:cs="Times New Roman"/>
                                  <w:sz w:val="20"/>
                                  <w:szCs w:val="20"/>
                                  <w:lang w:val="en-AU"/>
                                </w:rPr>
                              </w:pPr>
                              <w:r>
                                <w:rPr>
                                  <w:rFonts w:ascii="Arial" w:eastAsia="Times New Roman" w:hAnsi="Arial" w:cs="Arial"/>
                                  <w:noProof/>
                                  <w:color w:val="0000FF"/>
                                  <w:sz w:val="18"/>
                                  <w:szCs w:val="18"/>
                                </w:rPr>
                                <w:drawing>
                                  <wp:inline distT="0" distB="0" distL="0" distR="0">
                                    <wp:extent cx="136525" cy="153670"/>
                                    <wp:effectExtent l="0" t="0" r="0" b="0"/>
                                    <wp:docPr id="21472" name="Picture 21472" descr="own">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72" descr="own"/>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F060B6" w:rsidRPr="00F060B6" w:rsidRDefault="00F060B6" w:rsidP="00F060B6">
                        <w:pPr>
                          <w:rPr>
                            <w:rFonts w:ascii="Times" w:eastAsia="Times New Roman" w:hAnsi="Times" w:cs="Times New Roman"/>
                            <w:sz w:val="20"/>
                            <w:szCs w:val="20"/>
                            <w:lang w:val="en-AU"/>
                          </w:rPr>
                        </w:pPr>
                      </w:p>
                    </w:tc>
                  </w:tr>
                  <w:tr w:rsidR="00F060B6" w:rsidRPr="00F060B6">
                    <w:trPr>
                      <w:tblCellSpacing w:w="0" w:type="dxa"/>
                    </w:trPr>
                    <w:tc>
                      <w:tcPr>
                        <w:tcW w:w="0" w:type="auto"/>
                        <w:vAlign w:val="center"/>
                        <w:hideMark/>
                      </w:tcPr>
                      <w:p w:rsidR="00F060B6" w:rsidRPr="00F060B6" w:rsidRDefault="00F060B6" w:rsidP="00F060B6">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17145"/>
                              <wp:effectExtent l="0" t="0" r="0" b="0"/>
                              <wp:docPr id="21473" name="Picture 21473"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73"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17145"/>
                                      </a:xfrm>
                                      <a:prstGeom prst="rect">
                                        <a:avLst/>
                                      </a:prstGeom>
                                      <a:noFill/>
                                      <a:ln>
                                        <a:noFill/>
                                      </a:ln>
                                    </pic:spPr>
                                  </pic:pic>
                                </a:graphicData>
                              </a:graphic>
                            </wp:inline>
                          </w:drawing>
                        </w:r>
                      </w:p>
                    </w:tc>
                  </w:tr>
                </w:tbl>
                <w:p w:rsidR="00F060B6" w:rsidRPr="00F060B6" w:rsidRDefault="00F060B6" w:rsidP="00F060B6">
                  <w:pPr>
                    <w:rPr>
                      <w:rFonts w:ascii="Times" w:eastAsia="Times New Roman" w:hAnsi="Times" w:cs="Times New Roman"/>
                      <w:sz w:val="20"/>
                      <w:szCs w:val="20"/>
                      <w:lang w:val="en-AU"/>
                    </w:rPr>
                  </w:pPr>
                </w:p>
              </w:tc>
            </w:tr>
            <w:tr w:rsidR="00F060B6" w:rsidRPr="00F060B6">
              <w:trPr>
                <w:tblCellSpacing w:w="0" w:type="dxa"/>
              </w:trPr>
              <w:tc>
                <w:tcPr>
                  <w:tcW w:w="0" w:type="auto"/>
                  <w:tcBorders>
                    <w:top w:val="single" w:sz="6" w:space="0" w:color="4D4F63"/>
                    <w:left w:val="single" w:sz="6" w:space="0" w:color="4D4F63"/>
                    <w:bottom w:val="single" w:sz="6" w:space="0" w:color="4D4F63"/>
                    <w:right w:val="single" w:sz="6" w:space="0" w:color="4D4F63"/>
                  </w:tcBorders>
                  <w:vAlign w:val="center"/>
                  <w:hideMark/>
                </w:tcPr>
                <w:p w:rsidR="00F060B6" w:rsidRPr="00F060B6" w:rsidRDefault="00F060B6" w:rsidP="00F060B6">
                  <w:pPr>
                    <w:spacing w:before="100" w:beforeAutospacing="1" w:after="100" w:afterAutospacing="1"/>
                    <w:rPr>
                      <w:rFonts w:ascii="Times" w:hAnsi="Times" w:cs="Times New Roman"/>
                      <w:sz w:val="20"/>
                      <w:szCs w:val="20"/>
                      <w:lang w:val="en-AU"/>
                    </w:rPr>
                  </w:pPr>
                  <w:r w:rsidRPr="00F060B6">
                    <w:rPr>
                      <w:rFonts w:ascii="Arial" w:hAnsi="Arial" w:cs="Arial"/>
                      <w:color w:val="000000"/>
                      <w:sz w:val="18"/>
                      <w:szCs w:val="18"/>
                      <w:lang w:val="en-AU"/>
                    </w:rPr>
                    <w:br/>
                  </w:r>
                  <w:hyperlink r:id="rId32" w:anchor="1" w:history="1">
                    <w:r w:rsidRPr="00F060B6">
                      <w:rPr>
                        <w:rFonts w:ascii="Arial" w:hAnsi="Arial" w:cs="Arial"/>
                        <w:color w:val="0000FF"/>
                        <w:sz w:val="18"/>
                        <w:szCs w:val="18"/>
                        <w:u w:val="single"/>
                        <w:lang w:val="en-AU"/>
                      </w:rPr>
                      <w:t>1. Recent Corporate Law and Corporate Governance Developments</w:t>
                    </w:r>
                  </w:hyperlink>
                  <w:bookmarkStart w:id="1" w:name="h1"/>
                  <w:bookmarkEnd w:id="1"/>
                </w:p>
                <w:p w:rsidR="00F060B6" w:rsidRPr="00F060B6" w:rsidRDefault="00F060B6" w:rsidP="00F060B6">
                  <w:pPr>
                    <w:spacing w:beforeAutospacing="1" w:afterAutospacing="1"/>
                    <w:rPr>
                      <w:rFonts w:ascii="Times" w:hAnsi="Times" w:cs="Times New Roman"/>
                      <w:sz w:val="20"/>
                      <w:szCs w:val="20"/>
                      <w:lang w:val="en-AU"/>
                    </w:rPr>
                  </w:pPr>
                  <w:hyperlink r:id="rId33" w:anchor="011" w:history="1">
                    <w:r w:rsidRPr="00F060B6">
                      <w:rPr>
                        <w:rFonts w:ascii="Arial" w:hAnsi="Arial" w:cs="Arial"/>
                        <w:color w:val="0000FF"/>
                        <w:sz w:val="18"/>
                        <w:szCs w:val="18"/>
                        <w:u w:val="single"/>
                        <w:lang w:val="en-AU"/>
                      </w:rPr>
                      <w:t>1.1  Proposed directors' liability reforms</w:t>
                    </w:r>
                  </w:hyperlink>
                  <w:r w:rsidRPr="00F060B6">
                    <w:rPr>
                      <w:rFonts w:ascii="Arial" w:hAnsi="Arial" w:cs="Arial"/>
                      <w:color w:val="000000"/>
                      <w:sz w:val="18"/>
                      <w:szCs w:val="18"/>
                      <w:lang w:val="en-AU"/>
                    </w:rPr>
                    <w:t xml:space="preserve"> </w:t>
                  </w:r>
                  <w:r w:rsidRPr="00F060B6">
                    <w:rPr>
                      <w:rFonts w:ascii="Arial" w:hAnsi="Arial" w:cs="Arial"/>
                      <w:color w:val="000000"/>
                      <w:sz w:val="18"/>
                      <w:szCs w:val="18"/>
                      <w:lang w:val="en-AU"/>
                    </w:rPr>
                    <w:br/>
                  </w:r>
                  <w:hyperlink r:id="rId34" w:anchor="012" w:history="1">
                    <w:r w:rsidRPr="00F060B6">
                      <w:rPr>
                        <w:rFonts w:ascii="Arial" w:hAnsi="Arial" w:cs="Arial"/>
                        <w:color w:val="0000FF"/>
                        <w:sz w:val="18"/>
                        <w:szCs w:val="18"/>
                        <w:u w:val="single"/>
                        <w:lang w:val="en-AU"/>
                      </w:rPr>
                      <w:t>1.2  CAMAC report on derivatives</w:t>
                    </w:r>
                  </w:hyperlink>
                  <w:r w:rsidRPr="00F060B6">
                    <w:rPr>
                      <w:rFonts w:ascii="Arial" w:hAnsi="Arial" w:cs="Arial"/>
                      <w:color w:val="000000"/>
                      <w:sz w:val="18"/>
                      <w:szCs w:val="18"/>
                      <w:lang w:val="en-AU"/>
                    </w:rPr>
                    <w:t xml:space="preserve"> </w:t>
                  </w:r>
                  <w:r w:rsidRPr="00F060B6">
                    <w:rPr>
                      <w:rFonts w:ascii="Arial" w:hAnsi="Arial" w:cs="Arial"/>
                      <w:color w:val="000000"/>
                      <w:sz w:val="18"/>
                      <w:szCs w:val="18"/>
                      <w:lang w:val="en-AU"/>
                    </w:rPr>
                    <w:br/>
                  </w:r>
                  <w:hyperlink r:id="rId35" w:anchor="013" w:history="1">
                    <w:r w:rsidRPr="00F060B6">
                      <w:rPr>
                        <w:rFonts w:ascii="Arial" w:hAnsi="Arial" w:cs="Arial"/>
                        <w:color w:val="0000FF"/>
                        <w:sz w:val="18"/>
                        <w:szCs w:val="18"/>
                        <w:u w:val="single"/>
                        <w:lang w:val="en-AU"/>
                      </w:rPr>
                      <w:t>1.3  UK Government acts on executive remuneration</w:t>
                    </w:r>
                  </w:hyperlink>
                  <w:r w:rsidRPr="00F060B6">
                    <w:rPr>
                      <w:rFonts w:ascii="Arial" w:hAnsi="Arial" w:cs="Arial"/>
                      <w:color w:val="000000"/>
                      <w:sz w:val="18"/>
                      <w:szCs w:val="18"/>
                      <w:lang w:val="en-AU"/>
                    </w:rPr>
                    <w:br/>
                  </w:r>
                  <w:hyperlink r:id="rId36" w:anchor="014" w:history="1">
                    <w:r w:rsidRPr="00F060B6">
                      <w:rPr>
                        <w:rFonts w:ascii="Arial" w:hAnsi="Arial" w:cs="Arial"/>
                        <w:color w:val="0000FF"/>
                        <w:sz w:val="18"/>
                        <w:szCs w:val="18"/>
                        <w:u w:val="single"/>
                        <w:lang w:val="en-AU"/>
                      </w:rPr>
                      <w:t>1.4  Productivity Commission inquiry into default superannuation funds in modern awards</w:t>
                    </w:r>
                  </w:hyperlink>
                  <w:r w:rsidRPr="00F060B6">
                    <w:rPr>
                      <w:rFonts w:ascii="Arial" w:hAnsi="Arial" w:cs="Arial"/>
                      <w:color w:val="000000"/>
                      <w:sz w:val="18"/>
                      <w:szCs w:val="18"/>
                      <w:lang w:val="en-AU"/>
                    </w:rPr>
                    <w:br/>
                  </w:r>
                  <w:hyperlink r:id="rId37" w:anchor="015" w:history="1">
                    <w:r w:rsidRPr="00F060B6">
                      <w:rPr>
                        <w:rFonts w:ascii="Arial" w:hAnsi="Arial" w:cs="Arial"/>
                        <w:color w:val="0000FF"/>
                        <w:sz w:val="18"/>
                        <w:szCs w:val="18"/>
                        <w:u w:val="single"/>
                        <w:lang w:val="en-AU"/>
                      </w:rPr>
                      <w:t>1.5  IOSCO principles on suspension of CIS redemptions</w:t>
                    </w:r>
                  </w:hyperlink>
                  <w:r w:rsidRPr="00F060B6">
                    <w:rPr>
                      <w:rFonts w:ascii="Arial" w:hAnsi="Arial" w:cs="Arial"/>
                      <w:color w:val="000000"/>
                      <w:sz w:val="18"/>
                      <w:szCs w:val="18"/>
                      <w:lang w:val="en-AU"/>
                    </w:rPr>
                    <w:br/>
                  </w:r>
                  <w:hyperlink r:id="rId38" w:anchor="016" w:history="1">
                    <w:r w:rsidRPr="00F060B6">
                      <w:rPr>
                        <w:rFonts w:ascii="Arial" w:hAnsi="Arial" w:cs="Arial"/>
                        <w:color w:val="0000FF"/>
                        <w:sz w:val="18"/>
                        <w:szCs w:val="18"/>
                        <w:u w:val="single"/>
                        <w:lang w:val="en-AU"/>
                      </w:rPr>
                      <w:t>1.6  SEC seeks public comment for financial literacy study mandated by Dodd-Frank Act</w:t>
                    </w:r>
                  </w:hyperlink>
                  <w:r w:rsidRPr="00F060B6">
                    <w:rPr>
                      <w:rFonts w:ascii="Arial" w:hAnsi="Arial" w:cs="Arial"/>
                      <w:color w:val="000000"/>
                      <w:sz w:val="18"/>
                      <w:szCs w:val="18"/>
                      <w:lang w:val="en-AU"/>
                    </w:rPr>
                    <w:br/>
                  </w:r>
                  <w:hyperlink r:id="rId39" w:anchor="017" w:history="1">
                    <w:r w:rsidRPr="00F060B6">
                      <w:rPr>
                        <w:rFonts w:ascii="Arial" w:hAnsi="Arial" w:cs="Arial"/>
                        <w:color w:val="0000FF"/>
                        <w:sz w:val="18"/>
                        <w:szCs w:val="18"/>
                        <w:u w:val="single"/>
                        <w:lang w:val="en-AU"/>
                      </w:rPr>
                      <w:t>1.7  CPSS-IOSCO final report on requirements for OTC derivatives data reporting and aggregation</w:t>
                    </w:r>
                  </w:hyperlink>
                  <w:r w:rsidRPr="00F060B6">
                    <w:rPr>
                      <w:rFonts w:ascii="Arial" w:hAnsi="Arial" w:cs="Arial"/>
                      <w:color w:val="000000"/>
                      <w:sz w:val="18"/>
                      <w:szCs w:val="18"/>
                      <w:lang w:val="en-AU"/>
                    </w:rPr>
                    <w:br/>
                  </w:r>
                  <w:hyperlink r:id="rId40" w:anchor="018" w:history="1">
                    <w:r w:rsidRPr="00F060B6">
                      <w:rPr>
                        <w:rFonts w:ascii="Arial" w:hAnsi="Arial" w:cs="Arial"/>
                        <w:color w:val="0000FF"/>
                        <w:sz w:val="18"/>
                        <w:szCs w:val="18"/>
                        <w:u w:val="single"/>
                        <w:lang w:val="en-AU"/>
                      </w:rPr>
                      <w:t>1.8  ECGI conference on 'Corporate Governance After the Crisis'</w:t>
                    </w:r>
                  </w:hyperlink>
                  <w:r w:rsidRPr="00F060B6">
                    <w:rPr>
                      <w:rFonts w:ascii="Arial" w:hAnsi="Arial" w:cs="Arial"/>
                      <w:color w:val="000000"/>
                      <w:sz w:val="18"/>
                      <w:szCs w:val="18"/>
                      <w:lang w:val="en-AU"/>
                    </w:rPr>
                    <w:br/>
                  </w:r>
                  <w:hyperlink r:id="rId41" w:anchor="019" w:history="1">
                    <w:r w:rsidRPr="00F060B6">
                      <w:rPr>
                        <w:rFonts w:ascii="Arial" w:hAnsi="Arial" w:cs="Arial"/>
                        <w:color w:val="0000FF"/>
                        <w:sz w:val="18"/>
                        <w:szCs w:val="18"/>
                        <w:u w:val="single"/>
                        <w:lang w:val="en-AU"/>
                      </w:rPr>
                      <w:t>1.9  ESMA first credit rating agency annual report</w:t>
                    </w:r>
                  </w:hyperlink>
                  <w:r w:rsidRPr="00F060B6">
                    <w:rPr>
                      <w:rFonts w:ascii="Arial" w:hAnsi="Arial" w:cs="Arial"/>
                      <w:color w:val="000000"/>
                      <w:sz w:val="18"/>
                      <w:szCs w:val="18"/>
                      <w:lang w:val="en-AU"/>
                    </w:rPr>
                    <w:br/>
                  </w:r>
                  <w:hyperlink r:id="rId42" w:anchor="0110" w:history="1">
                    <w:r w:rsidRPr="00F060B6">
                      <w:rPr>
                        <w:rFonts w:ascii="Arial" w:hAnsi="Arial" w:cs="Arial"/>
                        <w:color w:val="0000FF"/>
                        <w:sz w:val="18"/>
                        <w:szCs w:val="18"/>
                        <w:u w:val="single"/>
                        <w:lang w:val="en-AU"/>
                      </w:rPr>
                      <w:t>1.10  IMF working paper on bank capital adequacy in Australia</w:t>
                    </w:r>
                  </w:hyperlink>
                  <w:r w:rsidRPr="00F060B6">
                    <w:rPr>
                      <w:rFonts w:ascii="Arial" w:hAnsi="Arial" w:cs="Arial"/>
                      <w:color w:val="000000"/>
                      <w:sz w:val="18"/>
                      <w:szCs w:val="18"/>
                      <w:lang w:val="en-AU"/>
                    </w:rPr>
                    <w:br/>
                  </w:r>
                  <w:hyperlink r:id="rId43" w:anchor="0111" w:history="1">
                    <w:r w:rsidRPr="00F060B6">
                      <w:rPr>
                        <w:rFonts w:ascii="Arial" w:hAnsi="Arial" w:cs="Arial"/>
                        <w:color w:val="0000FF"/>
                        <w:sz w:val="18"/>
                        <w:szCs w:val="18"/>
                        <w:u w:val="single"/>
                        <w:lang w:val="en-AU"/>
                      </w:rPr>
                      <w:t>1.11  IMF working paper on rating agencies</w:t>
                    </w:r>
                  </w:hyperlink>
                  <w:r w:rsidRPr="00F060B6">
                    <w:rPr>
                      <w:rFonts w:ascii="Arial" w:hAnsi="Arial" w:cs="Arial"/>
                      <w:color w:val="000000"/>
                      <w:sz w:val="18"/>
                      <w:szCs w:val="18"/>
                      <w:lang w:val="en-AU"/>
                    </w:rPr>
                    <w:br/>
                  </w:r>
                  <w:hyperlink r:id="rId44" w:anchor="0112" w:history="1">
                    <w:r w:rsidRPr="00F060B6">
                      <w:rPr>
                        <w:rFonts w:ascii="Arial" w:hAnsi="Arial" w:cs="Arial"/>
                        <w:color w:val="0000FF"/>
                        <w:sz w:val="18"/>
                        <w:szCs w:val="18"/>
                        <w:u w:val="single"/>
                        <w:lang w:val="en-AU"/>
                      </w:rPr>
                      <w:t>1.12  CAFRAL-BIS conference on post-GFC financial sector regulation</w:t>
                    </w:r>
                  </w:hyperlink>
                  <w:r w:rsidRPr="00F060B6">
                    <w:rPr>
                      <w:rFonts w:ascii="Arial" w:hAnsi="Arial" w:cs="Arial"/>
                      <w:color w:val="000000"/>
                      <w:sz w:val="18"/>
                      <w:szCs w:val="18"/>
                      <w:lang w:val="en-AU"/>
                    </w:rPr>
                    <w:t xml:space="preserve"> </w:t>
                  </w:r>
                  <w:r w:rsidRPr="00F060B6">
                    <w:rPr>
                      <w:rFonts w:ascii="Arial" w:hAnsi="Arial" w:cs="Arial"/>
                      <w:color w:val="000000"/>
                      <w:sz w:val="18"/>
                      <w:szCs w:val="18"/>
                      <w:lang w:val="en-AU"/>
                    </w:rPr>
                    <w:br/>
                  </w:r>
                  <w:hyperlink r:id="rId45" w:anchor="0113" w:history="1">
                    <w:r w:rsidRPr="00F060B6">
                      <w:rPr>
                        <w:rFonts w:ascii="Arial" w:hAnsi="Arial" w:cs="Arial"/>
                        <w:color w:val="0000FF"/>
                        <w:sz w:val="18"/>
                        <w:szCs w:val="18"/>
                        <w:u w:val="single"/>
                        <w:lang w:val="en-AU"/>
                      </w:rPr>
                      <w:t>1.13  APRA prudential standard for Financial Claims Scheme</w:t>
                    </w:r>
                  </w:hyperlink>
                  <w:r w:rsidRPr="00F060B6">
                    <w:rPr>
                      <w:rFonts w:ascii="Arial" w:hAnsi="Arial" w:cs="Arial"/>
                      <w:color w:val="000000"/>
                      <w:sz w:val="18"/>
                      <w:szCs w:val="18"/>
                      <w:lang w:val="en-AU"/>
                    </w:rPr>
                    <w:br/>
                  </w:r>
                  <w:hyperlink r:id="rId46" w:anchor="0114" w:history="1">
                    <w:r w:rsidRPr="00F060B6">
                      <w:rPr>
                        <w:rFonts w:ascii="Arial" w:hAnsi="Arial" w:cs="Arial"/>
                        <w:color w:val="0000FF"/>
                        <w:sz w:val="18"/>
                        <w:szCs w:val="18"/>
                        <w:u w:val="single"/>
                        <w:lang w:val="en-AU"/>
                      </w:rPr>
                      <w:t>1.14  ESMA extends transitional period for use of non-EU credit ratings; Australian CRA regime endorsed; first regulatory technical standards on CRAs adopted</w:t>
                    </w:r>
                  </w:hyperlink>
                  <w:r w:rsidRPr="00F060B6">
                    <w:rPr>
                      <w:rFonts w:ascii="Arial" w:hAnsi="Arial" w:cs="Arial"/>
                      <w:color w:val="000000"/>
                      <w:sz w:val="18"/>
                      <w:szCs w:val="18"/>
                      <w:lang w:val="en-AU"/>
                    </w:rPr>
                    <w:br/>
                  </w:r>
                  <w:hyperlink r:id="rId47" w:anchor="0115" w:history="1">
                    <w:r w:rsidRPr="00F060B6">
                      <w:rPr>
                        <w:rFonts w:ascii="Arial" w:hAnsi="Arial" w:cs="Arial"/>
                        <w:color w:val="0000FF"/>
                        <w:sz w:val="18"/>
                        <w:szCs w:val="18"/>
                        <w:u w:val="single"/>
                        <w:lang w:val="en-AU"/>
                      </w:rPr>
                      <w:t>1.15  Further consultation on new Shorter Product Disclosure Statement regime</w:t>
                    </w:r>
                  </w:hyperlink>
                  <w:r w:rsidRPr="00F060B6">
                    <w:rPr>
                      <w:rFonts w:ascii="Arial" w:hAnsi="Arial" w:cs="Arial"/>
                      <w:color w:val="000000"/>
                      <w:sz w:val="18"/>
                      <w:szCs w:val="18"/>
                      <w:lang w:val="en-AU"/>
                    </w:rPr>
                    <w:br/>
                  </w:r>
                  <w:hyperlink r:id="rId48" w:anchor="0116" w:history="1">
                    <w:r w:rsidRPr="00F060B6">
                      <w:rPr>
                        <w:rFonts w:ascii="Arial" w:hAnsi="Arial" w:cs="Arial"/>
                        <w:color w:val="0000FF"/>
                        <w:sz w:val="18"/>
                        <w:szCs w:val="18"/>
                        <w:u w:val="single"/>
                        <w:lang w:val="en-AU"/>
                      </w:rPr>
                      <w:t>1.16  FSA guidance on remuneration proportionality</w:t>
                    </w:r>
                  </w:hyperlink>
                  <w:r w:rsidRPr="00F060B6">
                    <w:rPr>
                      <w:rFonts w:ascii="Arial" w:hAnsi="Arial" w:cs="Arial"/>
                      <w:color w:val="000000"/>
                      <w:sz w:val="18"/>
                      <w:szCs w:val="18"/>
                      <w:lang w:val="en-AU"/>
                    </w:rPr>
                    <w:br/>
                  </w:r>
                  <w:hyperlink r:id="rId49" w:anchor="0117" w:history="1">
                    <w:r w:rsidRPr="00F060B6">
                      <w:rPr>
                        <w:rFonts w:ascii="Arial" w:hAnsi="Arial" w:cs="Arial"/>
                        <w:color w:val="0000FF"/>
                        <w:sz w:val="18"/>
                        <w:szCs w:val="18"/>
                        <w:u w:val="single"/>
                        <w:lang w:val="en-AU"/>
                      </w:rPr>
                      <w:t>1.17  Draft laws to deal with phoenix company activity</w:t>
                    </w:r>
                  </w:hyperlink>
                  <w:r w:rsidRPr="00F060B6">
                    <w:rPr>
                      <w:rFonts w:ascii="Arial" w:hAnsi="Arial" w:cs="Arial"/>
                      <w:color w:val="000000"/>
                      <w:sz w:val="18"/>
                      <w:szCs w:val="18"/>
                      <w:lang w:val="en-AU"/>
                    </w:rPr>
                    <w:br/>
                  </w:r>
                  <w:hyperlink r:id="rId50" w:anchor="0118" w:history="1">
                    <w:r w:rsidRPr="00F060B6">
                      <w:rPr>
                        <w:rFonts w:ascii="Arial" w:hAnsi="Arial" w:cs="Arial"/>
                        <w:color w:val="0000FF"/>
                        <w:sz w:val="18"/>
                        <w:szCs w:val="18"/>
                        <w:u w:val="single"/>
                        <w:lang w:val="en-AU"/>
                      </w:rPr>
                      <w:t>1.18  Basel Committee consultative paper on revised 'Core principles for effective banking supervision</w:t>
                    </w:r>
                  </w:hyperlink>
                  <w:r w:rsidRPr="00F060B6">
                    <w:rPr>
                      <w:rFonts w:ascii="Arial" w:hAnsi="Arial" w:cs="Arial"/>
                      <w:color w:val="000000"/>
                      <w:sz w:val="18"/>
                      <w:szCs w:val="18"/>
                      <w:lang w:val="en-AU"/>
                    </w:rPr>
                    <w:t>'</w:t>
                  </w:r>
                  <w:r w:rsidRPr="00F060B6">
                    <w:rPr>
                      <w:rFonts w:ascii="Arial" w:hAnsi="Arial" w:cs="Arial"/>
                      <w:color w:val="000000"/>
                      <w:sz w:val="18"/>
                      <w:szCs w:val="18"/>
                      <w:lang w:val="en-AU"/>
                    </w:rPr>
                    <w:br/>
                  </w:r>
                  <w:hyperlink r:id="rId51" w:anchor="0119" w:history="1">
                    <w:r w:rsidRPr="00F060B6">
                      <w:rPr>
                        <w:rFonts w:ascii="Arial" w:hAnsi="Arial" w:cs="Arial"/>
                        <w:color w:val="0000FF"/>
                        <w:sz w:val="18"/>
                        <w:szCs w:val="18"/>
                        <w:u w:val="single"/>
                        <w:lang w:val="en-AU"/>
                      </w:rPr>
                      <w:t>1.19  Basel Committee  consultative paper on 'Principles for the Supervision of Financial Conglomerates'</w:t>
                    </w:r>
                  </w:hyperlink>
                  <w:r w:rsidRPr="00F060B6">
                    <w:rPr>
                      <w:rFonts w:ascii="Arial" w:hAnsi="Arial" w:cs="Arial"/>
                      <w:color w:val="000000"/>
                      <w:sz w:val="18"/>
                      <w:szCs w:val="18"/>
                      <w:lang w:val="en-AU"/>
                    </w:rPr>
                    <w:br/>
                  </w:r>
                  <w:hyperlink r:id="rId52" w:anchor="0120" w:history="1">
                    <w:r w:rsidRPr="00F060B6">
                      <w:rPr>
                        <w:rFonts w:ascii="Arial" w:hAnsi="Arial" w:cs="Arial"/>
                        <w:color w:val="0000FF"/>
                        <w:sz w:val="18"/>
                        <w:szCs w:val="18"/>
                        <w:u w:val="single"/>
                        <w:lang w:val="en-AU"/>
                      </w:rPr>
                      <w:t>1.20  EBA compliance table on internal governance guidelines</w:t>
                    </w:r>
                  </w:hyperlink>
                  <w:r w:rsidRPr="00F060B6">
                    <w:rPr>
                      <w:rFonts w:ascii="Arial" w:hAnsi="Arial" w:cs="Arial"/>
                      <w:color w:val="000000"/>
                      <w:sz w:val="18"/>
                      <w:szCs w:val="18"/>
                      <w:lang w:val="en-AU"/>
                    </w:rPr>
                    <w:br/>
                  </w:r>
                  <w:hyperlink r:id="rId53" w:anchor="0121" w:history="1">
                    <w:r w:rsidRPr="00F060B6">
                      <w:rPr>
                        <w:rFonts w:ascii="Arial" w:hAnsi="Arial" w:cs="Arial"/>
                        <w:color w:val="0000FF"/>
                        <w:sz w:val="18"/>
                        <w:szCs w:val="18"/>
                        <w:u w:val="single"/>
                        <w:lang w:val="en-AU"/>
                      </w:rPr>
                      <w:t>1.21  UK Government response to Independent Commission on Banking's final report</w:t>
                    </w:r>
                  </w:hyperlink>
                  <w:r w:rsidRPr="00F060B6">
                    <w:rPr>
                      <w:rFonts w:ascii="Arial" w:hAnsi="Arial" w:cs="Arial"/>
                      <w:color w:val="000000"/>
                      <w:sz w:val="18"/>
                      <w:szCs w:val="18"/>
                      <w:lang w:val="en-AU"/>
                    </w:rPr>
                    <w:br/>
                  </w:r>
                  <w:hyperlink r:id="rId54" w:anchor="0122" w:history="1">
                    <w:r w:rsidRPr="00F060B6">
                      <w:rPr>
                        <w:rFonts w:ascii="Arial" w:hAnsi="Arial" w:cs="Arial"/>
                        <w:color w:val="0000FF"/>
                        <w:sz w:val="18"/>
                        <w:szCs w:val="18"/>
                        <w:u w:val="single"/>
                        <w:lang w:val="en-AU"/>
                      </w:rPr>
                      <w:t>1.22  GMI's 2011 CEO pay survey</w:t>
                    </w:r>
                  </w:hyperlink>
                </w:p>
                <w:p w:rsidR="00F060B6" w:rsidRPr="00F060B6" w:rsidRDefault="00F060B6" w:rsidP="00F060B6">
                  <w:pPr>
                    <w:spacing w:before="100" w:beforeAutospacing="1" w:after="100" w:afterAutospacing="1"/>
                    <w:rPr>
                      <w:rFonts w:ascii="Times" w:hAnsi="Times" w:cs="Times New Roman"/>
                      <w:sz w:val="20"/>
                      <w:szCs w:val="20"/>
                      <w:lang w:val="en-AU"/>
                    </w:rPr>
                  </w:pPr>
                  <w:hyperlink r:id="rId55" w:anchor="2" w:history="1">
                    <w:r w:rsidRPr="00F060B6">
                      <w:rPr>
                        <w:rFonts w:ascii="Arial" w:hAnsi="Arial" w:cs="Arial"/>
                        <w:color w:val="0000FF"/>
                        <w:sz w:val="18"/>
                        <w:szCs w:val="18"/>
                        <w:u w:val="single"/>
                        <w:lang w:val="en-AU"/>
                      </w:rPr>
                      <w:t>2. Recent ASIC Developments</w:t>
                    </w:r>
                  </w:hyperlink>
                  <w:bookmarkStart w:id="2" w:name="h2"/>
                  <w:bookmarkEnd w:id="2"/>
                </w:p>
                <w:p w:rsidR="00F060B6" w:rsidRPr="00F060B6" w:rsidRDefault="00F060B6" w:rsidP="00F060B6">
                  <w:pPr>
                    <w:spacing w:beforeAutospacing="1" w:afterAutospacing="1"/>
                    <w:rPr>
                      <w:rFonts w:ascii="Times" w:hAnsi="Times" w:cs="Times New Roman"/>
                      <w:sz w:val="20"/>
                      <w:szCs w:val="20"/>
                      <w:lang w:val="en-AU"/>
                    </w:rPr>
                  </w:pPr>
                  <w:hyperlink r:id="rId56" w:anchor="021" w:history="1">
                    <w:r w:rsidRPr="00F060B6">
                      <w:rPr>
                        <w:rFonts w:ascii="Arial" w:hAnsi="Arial" w:cs="Arial"/>
                        <w:color w:val="0000FF"/>
                        <w:sz w:val="18"/>
                        <w:szCs w:val="18"/>
                        <w:u w:val="single"/>
                        <w:lang w:val="en-AU"/>
                      </w:rPr>
                      <w:t>2.1 Consultation on transfer determinations for trustee companies providing traditional trustee company services</w:t>
                    </w:r>
                  </w:hyperlink>
                  <w:r w:rsidRPr="00F060B6">
                    <w:rPr>
                      <w:rFonts w:ascii="Arial" w:hAnsi="Arial" w:cs="Arial"/>
                      <w:color w:val="000000"/>
                      <w:sz w:val="18"/>
                      <w:szCs w:val="18"/>
                      <w:lang w:val="en-AU"/>
                    </w:rPr>
                    <w:br/>
                  </w:r>
                  <w:hyperlink r:id="rId57" w:anchor="022" w:history="1">
                    <w:r w:rsidRPr="00F060B6">
                      <w:rPr>
                        <w:rFonts w:ascii="Arial" w:hAnsi="Arial" w:cs="Arial"/>
                        <w:color w:val="0000FF"/>
                        <w:sz w:val="18"/>
                        <w:szCs w:val="18"/>
                        <w:u w:val="single"/>
                        <w:lang w:val="en-AU"/>
                      </w:rPr>
                      <w:t>2.2 Improved disclosure by infrastructure entities</w:t>
                    </w:r>
                  </w:hyperlink>
                  <w:r w:rsidRPr="00F060B6">
                    <w:rPr>
                      <w:rFonts w:ascii="Arial" w:hAnsi="Arial" w:cs="Arial"/>
                      <w:color w:val="000000"/>
                      <w:sz w:val="18"/>
                      <w:szCs w:val="18"/>
                      <w:lang w:val="en-AU"/>
                    </w:rPr>
                    <w:br/>
                  </w:r>
                  <w:hyperlink r:id="rId58" w:anchor="023" w:history="1">
                    <w:r w:rsidRPr="00F060B6">
                      <w:rPr>
                        <w:rFonts w:ascii="Arial" w:hAnsi="Arial" w:cs="Arial"/>
                        <w:color w:val="0000FF"/>
                        <w:sz w:val="18"/>
                        <w:szCs w:val="18"/>
                        <w:u w:val="single"/>
                        <w:lang w:val="en-AU"/>
                      </w:rPr>
                      <w:t>2.3 Revised policy on home loan credit assistance</w:t>
                    </w:r>
                  </w:hyperlink>
                  <w:r w:rsidRPr="00F060B6">
                    <w:rPr>
                      <w:rFonts w:ascii="Arial" w:hAnsi="Arial" w:cs="Arial"/>
                      <w:color w:val="000000"/>
                      <w:sz w:val="18"/>
                      <w:szCs w:val="18"/>
                      <w:lang w:val="en-AU"/>
                    </w:rPr>
                    <w:br/>
                  </w:r>
                  <w:hyperlink r:id="rId59" w:anchor="024" w:history="1">
                    <w:r w:rsidRPr="00F060B6">
                      <w:rPr>
                        <w:rFonts w:ascii="Arial" w:hAnsi="Arial" w:cs="Arial"/>
                        <w:color w:val="0000FF"/>
                        <w:sz w:val="18"/>
                        <w:szCs w:val="18"/>
                        <w:u w:val="single"/>
                        <w:lang w:val="en-AU"/>
                      </w:rPr>
                      <w:t>2.4 Improved financial information for investors and others</w:t>
                    </w:r>
                  </w:hyperlink>
                  <w:r w:rsidRPr="00F060B6">
                    <w:rPr>
                      <w:rFonts w:ascii="Arial" w:hAnsi="Arial" w:cs="Arial"/>
                      <w:color w:val="000000"/>
                      <w:sz w:val="18"/>
                      <w:szCs w:val="18"/>
                      <w:lang w:val="en-AU"/>
                    </w:rPr>
                    <w:br/>
                  </w:r>
                  <w:hyperlink r:id="rId60" w:anchor="025" w:history="1">
                    <w:r w:rsidRPr="00F060B6">
                      <w:rPr>
                        <w:rFonts w:ascii="Arial" w:hAnsi="Arial" w:cs="Arial"/>
                        <w:color w:val="0000FF"/>
                        <w:sz w:val="18"/>
                        <w:szCs w:val="18"/>
                        <w:u w:val="single"/>
                        <w:lang w:val="en-AU"/>
                      </w:rPr>
                      <w:t>2.5 New guidance for acquisitions of control approved by members</w:t>
                    </w:r>
                  </w:hyperlink>
                </w:p>
                <w:p w:rsidR="00F060B6" w:rsidRPr="00F060B6" w:rsidRDefault="00F060B6" w:rsidP="00F060B6">
                  <w:pPr>
                    <w:spacing w:before="100" w:beforeAutospacing="1" w:after="100" w:afterAutospacing="1"/>
                    <w:rPr>
                      <w:rFonts w:ascii="Times" w:hAnsi="Times" w:cs="Times New Roman"/>
                      <w:sz w:val="20"/>
                      <w:szCs w:val="20"/>
                      <w:lang w:val="en-AU"/>
                    </w:rPr>
                  </w:pPr>
                  <w:hyperlink r:id="rId61" w:anchor="3" w:history="1">
                    <w:r w:rsidRPr="00F060B6">
                      <w:rPr>
                        <w:rFonts w:ascii="Arial" w:hAnsi="Arial" w:cs="Arial"/>
                        <w:color w:val="0000FF"/>
                        <w:sz w:val="18"/>
                        <w:szCs w:val="18"/>
                        <w:u w:val="single"/>
                        <w:lang w:val="en-AU"/>
                      </w:rPr>
                      <w:t>3. Recent ASX Developments</w:t>
                    </w:r>
                  </w:hyperlink>
                  <w:bookmarkStart w:id="3" w:name="h3"/>
                  <w:bookmarkEnd w:id="3"/>
                </w:p>
                <w:p w:rsidR="00F060B6" w:rsidRPr="00F060B6" w:rsidRDefault="00F060B6" w:rsidP="00F060B6">
                  <w:pPr>
                    <w:spacing w:beforeAutospacing="1" w:afterAutospacing="1"/>
                    <w:rPr>
                      <w:rFonts w:ascii="Times" w:hAnsi="Times" w:cs="Times New Roman"/>
                      <w:sz w:val="20"/>
                      <w:szCs w:val="20"/>
                      <w:lang w:val="en-AU"/>
                    </w:rPr>
                  </w:pPr>
                  <w:hyperlink r:id="rId62" w:anchor="031" w:history="1">
                    <w:r w:rsidRPr="00F060B6">
                      <w:rPr>
                        <w:rFonts w:ascii="Arial" w:hAnsi="Arial" w:cs="Arial"/>
                        <w:color w:val="0000FF"/>
                        <w:sz w:val="18"/>
                        <w:szCs w:val="18"/>
                        <w:u w:val="single"/>
                        <w:lang w:val="en-AU"/>
                      </w:rPr>
                      <w:t>3.1 ASX Listing Rules' 'good fame and character' requirement for directors of new listed entities</w:t>
                    </w:r>
                  </w:hyperlink>
                  <w:r w:rsidRPr="00F060B6">
                    <w:rPr>
                      <w:rFonts w:ascii="Arial" w:hAnsi="Arial" w:cs="Arial"/>
                      <w:color w:val="000000"/>
                      <w:sz w:val="18"/>
                      <w:szCs w:val="18"/>
                      <w:lang w:val="en-AU"/>
                    </w:rPr>
                    <w:br/>
                  </w:r>
                  <w:hyperlink r:id="rId63" w:anchor="032" w:history="1">
                    <w:r w:rsidRPr="00F060B6">
                      <w:rPr>
                        <w:rFonts w:ascii="Arial" w:hAnsi="Arial" w:cs="Arial"/>
                        <w:color w:val="0000FF"/>
                        <w:sz w:val="18"/>
                        <w:szCs w:val="18"/>
                        <w:u w:val="single"/>
                        <w:lang w:val="en-AU"/>
                      </w:rPr>
                      <w:t>3.2 ASX Operating Rules and Procedure changes to broaden classes of underlying instruments permitted for AQUA Products</w:t>
                    </w:r>
                  </w:hyperlink>
                  <w:r w:rsidRPr="00F060B6">
                    <w:rPr>
                      <w:rFonts w:ascii="Arial" w:hAnsi="Arial" w:cs="Arial"/>
                      <w:color w:val="000000"/>
                      <w:sz w:val="18"/>
                      <w:szCs w:val="18"/>
                      <w:lang w:val="en-AU"/>
                    </w:rPr>
                    <w:br/>
                  </w:r>
                  <w:hyperlink r:id="rId64" w:anchor="033" w:history="1">
                    <w:r w:rsidRPr="00F060B6">
                      <w:rPr>
                        <w:rFonts w:ascii="Arial" w:hAnsi="Arial" w:cs="Arial"/>
                        <w:color w:val="0000FF"/>
                        <w:sz w:val="18"/>
                        <w:szCs w:val="18"/>
                        <w:u w:val="single"/>
                        <w:lang w:val="en-AU"/>
                      </w:rPr>
                      <w:t>3.3 ASX Settlement Operating Rules introduction of 'Delivery versus Payment' settlement facilitation service</w:t>
                    </w:r>
                  </w:hyperlink>
                  <w:r w:rsidRPr="00F060B6">
                    <w:rPr>
                      <w:rFonts w:ascii="Arial" w:hAnsi="Arial" w:cs="Arial"/>
                      <w:color w:val="000000"/>
                      <w:sz w:val="18"/>
                      <w:szCs w:val="18"/>
                      <w:lang w:val="en-AU"/>
                    </w:rPr>
                    <w:br/>
                  </w:r>
                  <w:hyperlink r:id="rId65" w:anchor="034" w:history="1">
                    <w:r w:rsidRPr="00F060B6">
                      <w:rPr>
                        <w:rFonts w:ascii="Arial" w:hAnsi="Arial" w:cs="Arial"/>
                        <w:color w:val="0000FF"/>
                        <w:sz w:val="18"/>
                        <w:szCs w:val="18"/>
                        <w:u w:val="single"/>
                        <w:lang w:val="en-AU"/>
                      </w:rPr>
                      <w:t>3.4 Amendments to ASX clear minimum core capital requirements</w:t>
                    </w:r>
                  </w:hyperlink>
                  <w:r w:rsidRPr="00F060B6">
                    <w:rPr>
                      <w:rFonts w:ascii="Arial" w:hAnsi="Arial" w:cs="Arial"/>
                      <w:color w:val="000000"/>
                      <w:sz w:val="18"/>
                      <w:szCs w:val="18"/>
                      <w:lang w:val="en-AU"/>
                    </w:rPr>
                    <w:br/>
                  </w:r>
                  <w:hyperlink r:id="rId66" w:anchor="035" w:history="1">
                    <w:r w:rsidRPr="00F060B6">
                      <w:rPr>
                        <w:rFonts w:ascii="Arial" w:hAnsi="Arial" w:cs="Arial"/>
                        <w:color w:val="0000FF"/>
                        <w:sz w:val="18"/>
                        <w:szCs w:val="18"/>
                        <w:u w:val="single"/>
                        <w:lang w:val="en-AU"/>
                      </w:rPr>
                      <w:t>3.5 Reports</w:t>
                    </w:r>
                  </w:hyperlink>
                </w:p>
                <w:p w:rsidR="00F060B6" w:rsidRPr="00F060B6" w:rsidRDefault="00F060B6" w:rsidP="00F060B6">
                  <w:pPr>
                    <w:spacing w:before="100" w:beforeAutospacing="1" w:after="100" w:afterAutospacing="1"/>
                    <w:rPr>
                      <w:rFonts w:ascii="Times" w:hAnsi="Times" w:cs="Times New Roman"/>
                      <w:sz w:val="20"/>
                      <w:szCs w:val="20"/>
                      <w:lang w:val="en-AU"/>
                    </w:rPr>
                  </w:pPr>
                  <w:hyperlink r:id="rId67" w:anchor="4" w:history="1">
                    <w:r w:rsidRPr="00F060B6">
                      <w:rPr>
                        <w:rFonts w:ascii="Arial" w:hAnsi="Arial" w:cs="Arial"/>
                        <w:color w:val="0000FF"/>
                        <w:sz w:val="18"/>
                        <w:szCs w:val="18"/>
                        <w:u w:val="single"/>
                        <w:lang w:val="en-AU"/>
                      </w:rPr>
                      <w:t>4. Recent Takeovers Panel Developments</w:t>
                    </w:r>
                  </w:hyperlink>
                  <w:bookmarkStart w:id="4" w:name="h4"/>
                  <w:bookmarkEnd w:id="4"/>
                </w:p>
                <w:p w:rsidR="00F060B6" w:rsidRPr="00F060B6" w:rsidRDefault="00F060B6" w:rsidP="00F060B6">
                  <w:pPr>
                    <w:spacing w:beforeAutospacing="1" w:afterAutospacing="1"/>
                    <w:rPr>
                      <w:rFonts w:ascii="Times" w:hAnsi="Times" w:cs="Times New Roman"/>
                      <w:sz w:val="20"/>
                      <w:szCs w:val="20"/>
                      <w:lang w:val="en-AU"/>
                    </w:rPr>
                  </w:pPr>
                  <w:hyperlink r:id="rId68" w:anchor="041" w:history="1">
                    <w:r w:rsidRPr="00F060B6">
                      <w:rPr>
                        <w:rFonts w:ascii="Arial" w:hAnsi="Arial" w:cs="Arial"/>
                        <w:color w:val="0000FF"/>
                        <w:sz w:val="18"/>
                        <w:szCs w:val="18"/>
                        <w:u w:val="single"/>
                        <w:lang w:val="en-AU"/>
                      </w:rPr>
                      <w:t>4.1 Hastings Diversified Utilities Fund - Panel declines to make a declaration of unacceptable circumstances</w:t>
                    </w:r>
                  </w:hyperlink>
                </w:p>
                <w:p w:rsidR="00F060B6" w:rsidRPr="00F060B6" w:rsidRDefault="00F060B6" w:rsidP="00F060B6">
                  <w:pPr>
                    <w:spacing w:beforeAutospacing="1" w:afterAutospacing="1"/>
                    <w:rPr>
                      <w:rFonts w:ascii="Times" w:hAnsi="Times" w:cs="Times New Roman"/>
                      <w:sz w:val="20"/>
                      <w:szCs w:val="20"/>
                      <w:lang w:val="en-AU"/>
                    </w:rPr>
                  </w:pPr>
                  <w:r w:rsidRPr="00F060B6">
                    <w:rPr>
                      <w:rFonts w:ascii="Arial" w:hAnsi="Arial" w:cs="Arial"/>
                      <w:b/>
                      <w:bCs/>
                      <w:color w:val="000000"/>
                      <w:sz w:val="18"/>
                      <w:szCs w:val="18"/>
                      <w:lang w:val="en-AU"/>
                    </w:rPr>
                    <w:t>Editor's Note</w:t>
                  </w:r>
                  <w:r w:rsidRPr="00F060B6">
                    <w:rPr>
                      <w:rFonts w:ascii="Arial" w:hAnsi="Arial" w:cs="Arial"/>
                      <w:color w:val="000000"/>
                      <w:sz w:val="18"/>
                      <w:szCs w:val="18"/>
                      <w:lang w:val="en-AU"/>
                    </w:rPr>
                    <w:br/>
                  </w:r>
                  <w:r w:rsidRPr="00F060B6">
                    <w:rPr>
                      <w:rFonts w:ascii="Arial" w:hAnsi="Arial" w:cs="Arial"/>
                      <w:color w:val="000000"/>
                      <w:sz w:val="18"/>
                      <w:szCs w:val="18"/>
                      <w:lang w:val="en-AU"/>
                    </w:rPr>
                    <w:br/>
                    <w:t>This is an additional issue of the Corporate Law Bulletin.  The "Recent Corporate Law Decisions" section of the Bulletin will return in the February issue.</w:t>
                  </w:r>
                </w:p>
                <w:p w:rsidR="00F060B6" w:rsidRPr="00F060B6" w:rsidRDefault="00F060B6" w:rsidP="00F060B6">
                  <w:pPr>
                    <w:spacing w:before="100" w:beforeAutospacing="1" w:after="100" w:afterAutospacing="1"/>
                    <w:rPr>
                      <w:rFonts w:ascii="Times" w:hAnsi="Times" w:cs="Times New Roman"/>
                      <w:sz w:val="20"/>
                      <w:szCs w:val="20"/>
                      <w:lang w:val="en-AU"/>
                    </w:rPr>
                  </w:pPr>
                  <w:r w:rsidRPr="00F060B6">
                    <w:rPr>
                      <w:rFonts w:ascii="Arial" w:hAnsi="Arial" w:cs="Arial"/>
                      <w:color w:val="000000"/>
                      <w:sz w:val="18"/>
                      <w:szCs w:val="18"/>
                      <w:lang w:val="en-AU"/>
                    </w:rPr>
                    <w:t> </w:t>
                  </w:r>
                </w:p>
              </w:tc>
            </w:tr>
          </w:tbl>
          <w:p w:rsidR="00F060B6" w:rsidRPr="00F060B6" w:rsidRDefault="00F060B6" w:rsidP="00F060B6">
            <w:pPr>
              <w:spacing w:before="100" w:beforeAutospacing="1" w:after="100" w:afterAutospacing="1"/>
              <w:rPr>
                <w:rFonts w:ascii="Times" w:hAnsi="Times" w:cs="Times New Roman"/>
                <w:sz w:val="20"/>
                <w:szCs w:val="20"/>
                <w:lang w:val="en-AU"/>
              </w:rPr>
            </w:pPr>
            <w:r w:rsidRPr="00F060B6">
              <w:rPr>
                <w:rFonts w:ascii="Arial" w:eastAsia="Times New Roman" w:hAnsi="Arial" w:cs="Arial"/>
                <w:color w:val="000000"/>
                <w:sz w:val="18"/>
                <w:szCs w:val="18"/>
                <w:lang w:val="en-AU"/>
              </w:rPr>
              <w:t> </w:t>
            </w:r>
          </w:p>
          <w:tbl>
            <w:tblPr>
              <w:tblW w:w="5000" w:type="pct"/>
              <w:tblCellSpacing w:w="0" w:type="dxa"/>
              <w:tblCellMar>
                <w:left w:w="0" w:type="dxa"/>
                <w:right w:w="0" w:type="dxa"/>
              </w:tblCellMar>
              <w:tblLook w:val="04A0" w:firstRow="1" w:lastRow="0" w:firstColumn="1" w:lastColumn="0" w:noHBand="0" w:noVBand="1"/>
            </w:tblPr>
            <w:tblGrid>
              <w:gridCol w:w="7208"/>
            </w:tblGrid>
            <w:tr w:rsidR="00F060B6" w:rsidRPr="00F060B6">
              <w:trPr>
                <w:trHeight w:val="420"/>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E4E5E5"/>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6258"/>
                    <w:gridCol w:w="450"/>
                    <w:gridCol w:w="470"/>
                  </w:tblGrid>
                  <w:tr w:rsidR="00F060B6" w:rsidRPr="00F060B6">
                    <w:trPr>
                      <w:tblCellSpacing w:w="0" w:type="dxa"/>
                    </w:trPr>
                    <w:tc>
                      <w:tcPr>
                        <w:tcW w:w="0" w:type="auto"/>
                        <w:vAlign w:val="center"/>
                        <w:hideMark/>
                      </w:tcPr>
                      <w:p w:rsidR="00F060B6" w:rsidRPr="00F060B6" w:rsidRDefault="00F060B6" w:rsidP="00F060B6">
                        <w:pPr>
                          <w:spacing w:before="100" w:beforeAutospacing="1" w:after="100" w:afterAutospacing="1"/>
                          <w:rPr>
                            <w:rFonts w:ascii="Times" w:hAnsi="Times" w:cs="Times New Roman"/>
                            <w:sz w:val="20"/>
                            <w:szCs w:val="20"/>
                            <w:lang w:val="en-AU"/>
                          </w:rPr>
                        </w:pPr>
                        <w:bookmarkStart w:id="5" w:name="1"/>
                        <w:bookmarkEnd w:id="5"/>
                        <w:r w:rsidRPr="00F060B6">
                          <w:rPr>
                            <w:rFonts w:ascii="Arial" w:eastAsia="Times New Roman" w:hAnsi="Arial" w:cs="Arial"/>
                            <w:b/>
                            <w:bCs/>
                            <w:color w:val="000000"/>
                            <w:sz w:val="18"/>
                            <w:szCs w:val="18"/>
                            <w:lang w:val="en-AU"/>
                          </w:rPr>
                          <w:t xml:space="preserve">1. Recent Corporate Law and Corporate Governance Developments </w:t>
                        </w:r>
                      </w:p>
                    </w:tc>
                    <w:tc>
                      <w:tcPr>
                        <w:tcW w:w="450" w:type="dxa"/>
                        <w:vAlign w:val="center"/>
                        <w:hideMark/>
                      </w:tcPr>
                      <w:p w:rsidR="00F060B6" w:rsidRPr="00F060B6" w:rsidRDefault="00F060B6" w:rsidP="00F060B6">
                        <w:pPr>
                          <w:rPr>
                            <w:rFonts w:ascii="Times" w:eastAsia="Times New Roman" w:hAnsi="Times" w:cs="Times New Roman"/>
                            <w:sz w:val="20"/>
                            <w:szCs w:val="20"/>
                            <w:lang w:val="en-AU"/>
                          </w:rPr>
                        </w:pPr>
                      </w:p>
                    </w:tc>
                    <w:tc>
                      <w:tcPr>
                        <w:tcW w:w="180" w:type="dxa"/>
                        <w:tcBorders>
                          <w:top w:val="nil"/>
                          <w:left w:val="single" w:sz="6" w:space="0" w:color="4D4F63"/>
                          <w:bottom w:val="nil"/>
                          <w:right w:val="nil"/>
                        </w:tcBorders>
                        <w:vAlign w:val="center"/>
                        <w:hideMark/>
                      </w:tcPr>
                      <w:p w:rsidR="00F060B6" w:rsidRPr="00F060B6" w:rsidRDefault="00F060B6" w:rsidP="00F060B6">
                        <w:pPr>
                          <w:spacing w:before="100" w:beforeAutospacing="1" w:after="100" w:afterAutospacing="1"/>
                          <w:rPr>
                            <w:rFonts w:ascii="Times" w:hAnsi="Times" w:cs="Times New Roman"/>
                            <w:sz w:val="20"/>
                            <w:szCs w:val="20"/>
                            <w:lang w:val="en-AU"/>
                          </w:rPr>
                        </w:pPr>
                        <w:r>
                          <w:rPr>
                            <w:rFonts w:ascii="Arial" w:eastAsia="Times New Roman" w:hAnsi="Arial" w:cs="Arial"/>
                            <w:noProof/>
                            <w:color w:val="0000FF"/>
                            <w:sz w:val="18"/>
                            <w:szCs w:val="18"/>
                          </w:rPr>
                          <w:drawing>
                            <wp:inline distT="0" distB="0" distL="0" distR="0">
                              <wp:extent cx="136525" cy="153670"/>
                              <wp:effectExtent l="0" t="0" r="0" b="0"/>
                              <wp:docPr id="21474" name="Picture 21474" descr="ext Section">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74" descr="ext Section"/>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F060B6" w:rsidRPr="00F060B6" w:rsidRDefault="00F060B6" w:rsidP="00F060B6">
                  <w:pPr>
                    <w:rPr>
                      <w:rFonts w:ascii="Times" w:eastAsia="Times New Roman" w:hAnsi="Times" w:cs="Times New Roman"/>
                      <w:sz w:val="20"/>
                      <w:szCs w:val="20"/>
                      <w:lang w:val="en-AU"/>
                    </w:rPr>
                  </w:pPr>
                </w:p>
              </w:tc>
            </w:tr>
            <w:tr w:rsidR="00F060B6" w:rsidRPr="00F060B6">
              <w:trPr>
                <w:tblCellSpacing w:w="0" w:type="dxa"/>
              </w:trPr>
              <w:tc>
                <w:tcPr>
                  <w:tcW w:w="0" w:type="auto"/>
                  <w:vAlign w:val="center"/>
                  <w:hideMark/>
                </w:tcPr>
                <w:p w:rsidR="00F060B6" w:rsidRPr="00F060B6" w:rsidRDefault="00F060B6" w:rsidP="00F060B6">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17145"/>
                        <wp:effectExtent l="0" t="0" r="0" b="0"/>
                        <wp:docPr id="21475" name="Picture 21475"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75"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17145"/>
                                </a:xfrm>
                                <a:prstGeom prst="rect">
                                  <a:avLst/>
                                </a:prstGeom>
                                <a:noFill/>
                                <a:ln>
                                  <a:noFill/>
                                </a:ln>
                              </pic:spPr>
                            </pic:pic>
                          </a:graphicData>
                        </a:graphic>
                      </wp:inline>
                    </w:drawing>
                  </w:r>
                </w:p>
              </w:tc>
            </w:tr>
            <w:tr w:rsidR="00F060B6" w:rsidRPr="00F060B6">
              <w:trPr>
                <w:tblCellSpacing w:w="0" w:type="dxa"/>
              </w:trPr>
              <w:tc>
                <w:tcPr>
                  <w:tcW w:w="0" w:type="auto"/>
                  <w:tcBorders>
                    <w:top w:val="single" w:sz="6" w:space="0" w:color="4D4F63"/>
                    <w:left w:val="single" w:sz="6" w:space="0" w:color="4D4F63"/>
                    <w:bottom w:val="single" w:sz="6" w:space="0" w:color="4D4F63"/>
                    <w:right w:val="single" w:sz="6" w:space="0" w:color="4D4F63"/>
                  </w:tcBorders>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7178"/>
                  </w:tblGrid>
                  <w:tr w:rsidR="00F060B6" w:rsidRPr="00F060B6">
                    <w:trPr>
                      <w:tblCellSpacing w:w="0" w:type="dxa"/>
                    </w:trPr>
                    <w:tc>
                      <w:tcPr>
                        <w:tcW w:w="0" w:type="auto"/>
                        <w:hideMark/>
                      </w:tcPr>
                      <w:p w:rsidR="00F060B6" w:rsidRPr="00F060B6" w:rsidRDefault="00F060B6" w:rsidP="00F060B6">
                        <w:pPr>
                          <w:spacing w:before="100" w:beforeAutospacing="1" w:after="100" w:afterAutospacing="1"/>
                          <w:rPr>
                            <w:rFonts w:ascii="Times" w:hAnsi="Times" w:cs="Times New Roman"/>
                            <w:sz w:val="20"/>
                            <w:szCs w:val="20"/>
                            <w:lang w:val="en-AU"/>
                          </w:rPr>
                        </w:pPr>
                        <w:bookmarkStart w:id="6" w:name="011"/>
                        <w:bookmarkEnd w:id="6"/>
                        <w:r w:rsidRPr="00F060B6">
                          <w:rPr>
                            <w:rFonts w:ascii="Arial" w:hAnsi="Arial" w:cs="Arial"/>
                            <w:b/>
                            <w:bCs/>
                            <w:color w:val="000000"/>
                            <w:sz w:val="18"/>
                            <w:szCs w:val="18"/>
                            <w:lang w:val="en-AU"/>
                          </w:rPr>
                          <w:t>1.1 Proposed directors' liability reforms</w:t>
                        </w:r>
                        <w:r w:rsidRPr="00F060B6">
                          <w:rPr>
                            <w:rFonts w:ascii="Arial" w:hAnsi="Arial" w:cs="Arial"/>
                            <w:color w:val="000000"/>
                            <w:sz w:val="18"/>
                            <w:szCs w:val="18"/>
                            <w:lang w:val="en-AU"/>
                          </w:rPr>
                          <w:t xml:space="preserve"> </w:t>
                        </w:r>
                        <w:r w:rsidRPr="00F060B6">
                          <w:rPr>
                            <w:rFonts w:ascii="Arial" w:hAnsi="Arial" w:cs="Arial"/>
                            <w:color w:val="000000"/>
                            <w:sz w:val="18"/>
                            <w:szCs w:val="18"/>
                            <w:lang w:val="en-AU"/>
                          </w:rPr>
                          <w:br/>
                          <w:t> </w:t>
                        </w:r>
                        <w:r w:rsidRPr="00F060B6">
                          <w:rPr>
                            <w:rFonts w:ascii="Arial" w:hAnsi="Arial" w:cs="Arial"/>
                            <w:color w:val="000000"/>
                            <w:sz w:val="18"/>
                            <w:szCs w:val="18"/>
                            <w:lang w:val="en-AU"/>
                          </w:rPr>
                          <w:br/>
                          <w:t xml:space="preserve">On 27 January 2012, the Australian Treasury published proposed amendments to directors' liability laws, which will form the first part of the Commonwealth Government's implementation of the Council of Australian Governments' (COAG) Directors' Liability reform project.  </w:t>
                        </w:r>
                        <w:r w:rsidRPr="00F060B6">
                          <w:rPr>
                            <w:rFonts w:ascii="Arial" w:hAnsi="Arial" w:cs="Arial"/>
                            <w:color w:val="000000"/>
                            <w:sz w:val="18"/>
                            <w:szCs w:val="18"/>
                            <w:lang w:val="en-AU"/>
                          </w:rPr>
                          <w:br/>
                          <w:t> </w:t>
                        </w:r>
                        <w:r w:rsidRPr="00F060B6">
                          <w:rPr>
                            <w:rFonts w:ascii="Arial" w:hAnsi="Arial" w:cs="Arial"/>
                            <w:color w:val="000000"/>
                            <w:sz w:val="18"/>
                            <w:szCs w:val="18"/>
                            <w:lang w:val="en-AU"/>
                          </w:rPr>
                          <w:br/>
                          <w:t xml:space="preserve">An exposure draft of the Personal Liability for Corporate Fault Reform Bill 2012 has been released for public comment.  This Bill covers Treasury (non-taxation) legislation.  As such, it makes amendments to the </w:t>
                        </w:r>
                        <w:r w:rsidRPr="00F060B6">
                          <w:rPr>
                            <w:rFonts w:ascii="Arial" w:hAnsi="Arial" w:cs="Arial"/>
                            <w:color w:val="000000"/>
                            <w:sz w:val="18"/>
                            <w:szCs w:val="18"/>
                            <w:lang w:val="en-AU"/>
                          </w:rPr>
                          <w:fldChar w:fldCharType="begin"/>
                        </w:r>
                        <w:r w:rsidRPr="00F060B6">
                          <w:rPr>
                            <w:rFonts w:ascii="Arial" w:hAnsi="Arial" w:cs="Arial"/>
                            <w:color w:val="000000"/>
                            <w:sz w:val="18"/>
                            <w:szCs w:val="18"/>
                            <w:lang w:val="en-AU"/>
                          </w:rPr>
                          <w:instrText xml:space="preserve"> HYPERLINK "http://my.lawlex.com.au/index.asp?pact=coredoc&amp;nav=col&amp;cid=56482" \t "Default" </w:instrText>
                        </w:r>
                        <w:r w:rsidRPr="00F060B6">
                          <w:rPr>
                            <w:rFonts w:ascii="Arial" w:hAnsi="Arial" w:cs="Arial"/>
                            <w:color w:val="000000"/>
                            <w:sz w:val="18"/>
                            <w:szCs w:val="18"/>
                            <w:lang w:val="en-AU"/>
                          </w:rPr>
                        </w:r>
                        <w:r w:rsidRPr="00F060B6">
                          <w:rPr>
                            <w:rFonts w:ascii="Arial" w:hAnsi="Arial" w:cs="Arial"/>
                            <w:color w:val="000000"/>
                            <w:sz w:val="18"/>
                            <w:szCs w:val="18"/>
                            <w:lang w:val="en-AU"/>
                          </w:rPr>
                          <w:fldChar w:fldCharType="separate"/>
                        </w:r>
                        <w:r w:rsidRPr="00F060B6">
                          <w:rPr>
                            <w:rFonts w:ascii="Arial" w:hAnsi="Arial" w:cs="Arial"/>
                            <w:color w:val="0000FF"/>
                            <w:sz w:val="18"/>
                            <w:szCs w:val="18"/>
                            <w:u w:val="single"/>
                            <w:lang w:val="en-AU"/>
                          </w:rPr>
                          <w:t>Corporations Act 2001</w:t>
                        </w:r>
                        <w:r w:rsidRPr="00F060B6">
                          <w:rPr>
                            <w:rFonts w:ascii="Arial" w:hAnsi="Arial" w:cs="Arial"/>
                            <w:color w:val="000000"/>
                            <w:sz w:val="18"/>
                            <w:szCs w:val="18"/>
                            <w:lang w:val="en-AU"/>
                          </w:rPr>
                          <w:fldChar w:fldCharType="end"/>
                        </w:r>
                        <w:r w:rsidRPr="00F060B6">
                          <w:rPr>
                            <w:rFonts w:ascii="Arial" w:hAnsi="Arial" w:cs="Arial"/>
                            <w:color w:val="000000"/>
                            <w:sz w:val="18"/>
                            <w:szCs w:val="18"/>
                            <w:lang w:val="en-AU"/>
                          </w:rPr>
                          <w:t xml:space="preserve">, </w:t>
                        </w:r>
                        <w:r w:rsidRPr="00F060B6">
                          <w:rPr>
                            <w:rFonts w:ascii="Arial" w:hAnsi="Arial" w:cs="Arial"/>
                            <w:color w:val="000000"/>
                            <w:sz w:val="18"/>
                            <w:szCs w:val="18"/>
                            <w:lang w:val="en-AU"/>
                          </w:rPr>
                          <w:fldChar w:fldCharType="begin"/>
                        </w:r>
                        <w:r w:rsidRPr="00F060B6">
                          <w:rPr>
                            <w:rFonts w:ascii="Arial" w:hAnsi="Arial" w:cs="Arial"/>
                            <w:color w:val="000000"/>
                            <w:sz w:val="18"/>
                            <w:szCs w:val="18"/>
                            <w:lang w:val="en-AU"/>
                          </w:rPr>
                          <w:instrText xml:space="preserve"> HYPERLINK "http://my.lawlex.com.au/index.asp?pact=coredoc&amp;nav=col&amp;cid=6416" \t "Default" </w:instrText>
                        </w:r>
                        <w:r w:rsidRPr="00F060B6">
                          <w:rPr>
                            <w:rFonts w:ascii="Arial" w:hAnsi="Arial" w:cs="Arial"/>
                            <w:color w:val="000000"/>
                            <w:sz w:val="18"/>
                            <w:szCs w:val="18"/>
                            <w:lang w:val="en-AU"/>
                          </w:rPr>
                        </w:r>
                        <w:r w:rsidRPr="00F060B6">
                          <w:rPr>
                            <w:rFonts w:ascii="Arial" w:hAnsi="Arial" w:cs="Arial"/>
                            <w:color w:val="000000"/>
                            <w:sz w:val="18"/>
                            <w:szCs w:val="18"/>
                            <w:lang w:val="en-AU"/>
                          </w:rPr>
                          <w:fldChar w:fldCharType="separate"/>
                        </w:r>
                        <w:r w:rsidRPr="00F060B6">
                          <w:rPr>
                            <w:rFonts w:ascii="Arial" w:hAnsi="Arial" w:cs="Arial"/>
                            <w:color w:val="0000FF"/>
                            <w:sz w:val="18"/>
                            <w:szCs w:val="18"/>
                            <w:u w:val="single"/>
                            <w:lang w:val="en-AU"/>
                          </w:rPr>
                          <w:t>Insurance Contracts Act 1984</w:t>
                        </w:r>
                        <w:r w:rsidRPr="00F060B6">
                          <w:rPr>
                            <w:rFonts w:ascii="Arial" w:hAnsi="Arial" w:cs="Arial"/>
                            <w:color w:val="000000"/>
                            <w:sz w:val="18"/>
                            <w:szCs w:val="18"/>
                            <w:lang w:val="en-AU"/>
                          </w:rPr>
                          <w:fldChar w:fldCharType="end"/>
                        </w:r>
                        <w:r w:rsidRPr="00F060B6">
                          <w:rPr>
                            <w:rFonts w:ascii="Arial" w:hAnsi="Arial" w:cs="Arial"/>
                            <w:color w:val="000000"/>
                            <w:sz w:val="18"/>
                            <w:szCs w:val="18"/>
                            <w:lang w:val="en-AU"/>
                          </w:rPr>
                          <w:t xml:space="preserve">, </w:t>
                        </w:r>
                        <w:r w:rsidRPr="00F060B6">
                          <w:rPr>
                            <w:rFonts w:ascii="Arial" w:hAnsi="Arial" w:cs="Arial"/>
                            <w:color w:val="000000"/>
                            <w:sz w:val="18"/>
                            <w:szCs w:val="18"/>
                            <w:lang w:val="en-AU"/>
                          </w:rPr>
                          <w:fldChar w:fldCharType="begin"/>
                        </w:r>
                        <w:r w:rsidRPr="00F060B6">
                          <w:rPr>
                            <w:rFonts w:ascii="Arial" w:hAnsi="Arial" w:cs="Arial"/>
                            <w:color w:val="000000"/>
                            <w:sz w:val="18"/>
                            <w:szCs w:val="18"/>
                            <w:lang w:val="en-AU"/>
                          </w:rPr>
                          <w:instrText xml:space="preserve"> HYPERLINK "http://my.lawlex.com.au/index.asp?pact=coredoc&amp;nav=col&amp;cid=6803" \t "Default" </w:instrText>
                        </w:r>
                        <w:r w:rsidRPr="00F060B6">
                          <w:rPr>
                            <w:rFonts w:ascii="Arial" w:hAnsi="Arial" w:cs="Arial"/>
                            <w:color w:val="000000"/>
                            <w:sz w:val="18"/>
                            <w:szCs w:val="18"/>
                            <w:lang w:val="en-AU"/>
                          </w:rPr>
                        </w:r>
                        <w:r w:rsidRPr="00F060B6">
                          <w:rPr>
                            <w:rFonts w:ascii="Arial" w:hAnsi="Arial" w:cs="Arial"/>
                            <w:color w:val="000000"/>
                            <w:sz w:val="18"/>
                            <w:szCs w:val="18"/>
                            <w:lang w:val="en-AU"/>
                          </w:rPr>
                          <w:fldChar w:fldCharType="separate"/>
                        </w:r>
                        <w:r w:rsidRPr="00F060B6">
                          <w:rPr>
                            <w:rFonts w:ascii="Arial" w:hAnsi="Arial" w:cs="Arial"/>
                            <w:color w:val="0000FF"/>
                            <w:sz w:val="18"/>
                            <w:szCs w:val="18"/>
                            <w:u w:val="single"/>
                            <w:lang w:val="en-AU"/>
                          </w:rPr>
                          <w:t>Foreign Acquisitions and Takeovers Act 1975</w:t>
                        </w:r>
                        <w:r w:rsidRPr="00F060B6">
                          <w:rPr>
                            <w:rFonts w:ascii="Arial" w:hAnsi="Arial" w:cs="Arial"/>
                            <w:color w:val="000000"/>
                            <w:sz w:val="18"/>
                            <w:szCs w:val="18"/>
                            <w:lang w:val="en-AU"/>
                          </w:rPr>
                          <w:fldChar w:fldCharType="end"/>
                        </w:r>
                        <w:r w:rsidRPr="00F060B6">
                          <w:rPr>
                            <w:rFonts w:ascii="Arial" w:hAnsi="Arial" w:cs="Arial"/>
                            <w:color w:val="000000"/>
                            <w:sz w:val="18"/>
                            <w:szCs w:val="18"/>
                            <w:lang w:val="en-AU"/>
                          </w:rPr>
                          <w:t xml:space="preserve"> and the </w:t>
                        </w:r>
                        <w:r w:rsidRPr="00F060B6">
                          <w:rPr>
                            <w:rFonts w:ascii="Arial" w:hAnsi="Arial" w:cs="Arial"/>
                            <w:color w:val="000000"/>
                            <w:sz w:val="18"/>
                            <w:szCs w:val="18"/>
                            <w:lang w:val="en-AU"/>
                          </w:rPr>
                          <w:fldChar w:fldCharType="begin"/>
                        </w:r>
                        <w:r w:rsidRPr="00F060B6">
                          <w:rPr>
                            <w:rFonts w:ascii="Arial" w:hAnsi="Arial" w:cs="Arial"/>
                            <w:color w:val="000000"/>
                            <w:sz w:val="18"/>
                            <w:szCs w:val="18"/>
                            <w:lang w:val="en-AU"/>
                          </w:rPr>
                          <w:instrText xml:space="preserve"> HYPERLINK "http://my.lawlex.com.au/index.asp?pact=coredoc&amp;nav=col&amp;cid=6648" \t "Default" </w:instrText>
                        </w:r>
                        <w:r w:rsidRPr="00F060B6">
                          <w:rPr>
                            <w:rFonts w:ascii="Arial" w:hAnsi="Arial" w:cs="Arial"/>
                            <w:color w:val="000000"/>
                            <w:sz w:val="18"/>
                            <w:szCs w:val="18"/>
                            <w:lang w:val="en-AU"/>
                          </w:rPr>
                        </w:r>
                        <w:r w:rsidRPr="00F060B6">
                          <w:rPr>
                            <w:rFonts w:ascii="Arial" w:hAnsi="Arial" w:cs="Arial"/>
                            <w:color w:val="000000"/>
                            <w:sz w:val="18"/>
                            <w:szCs w:val="18"/>
                            <w:lang w:val="en-AU"/>
                          </w:rPr>
                          <w:fldChar w:fldCharType="separate"/>
                        </w:r>
                        <w:r w:rsidRPr="00F060B6">
                          <w:rPr>
                            <w:rFonts w:ascii="Arial" w:hAnsi="Arial" w:cs="Arial"/>
                            <w:color w:val="0000FF"/>
                            <w:sz w:val="18"/>
                            <w:szCs w:val="18"/>
                            <w:u w:val="single"/>
                            <w:lang w:val="en-AU"/>
                          </w:rPr>
                          <w:t>Pooled Development Funds Act 1992</w:t>
                        </w:r>
                        <w:r w:rsidRPr="00F060B6">
                          <w:rPr>
                            <w:rFonts w:ascii="Arial" w:hAnsi="Arial" w:cs="Arial"/>
                            <w:color w:val="000000"/>
                            <w:sz w:val="18"/>
                            <w:szCs w:val="18"/>
                            <w:lang w:val="en-AU"/>
                          </w:rPr>
                          <w:fldChar w:fldCharType="end"/>
                        </w:r>
                        <w:r w:rsidRPr="00F060B6">
                          <w:rPr>
                            <w:rFonts w:ascii="Arial" w:hAnsi="Arial" w:cs="Arial"/>
                            <w:color w:val="000000"/>
                            <w:sz w:val="18"/>
                            <w:szCs w:val="18"/>
                            <w:lang w:val="en-AU"/>
                          </w:rPr>
                          <w:t xml:space="preserve">. </w:t>
                        </w:r>
                        <w:r w:rsidRPr="00F060B6">
                          <w:rPr>
                            <w:rFonts w:ascii="Arial" w:hAnsi="Arial" w:cs="Arial"/>
                            <w:color w:val="000000"/>
                            <w:sz w:val="18"/>
                            <w:szCs w:val="18"/>
                            <w:lang w:val="en-AU"/>
                          </w:rPr>
                          <w:br/>
                          <w:t> </w:t>
                        </w:r>
                        <w:r w:rsidRPr="00F060B6">
                          <w:rPr>
                            <w:rFonts w:ascii="Arial" w:hAnsi="Arial" w:cs="Arial"/>
                            <w:color w:val="000000"/>
                            <w:sz w:val="18"/>
                            <w:szCs w:val="18"/>
                            <w:lang w:val="en-AU"/>
                          </w:rPr>
                          <w:br/>
                          <w:t>This follows the 29 November 2009 COAG agreement to progress the reforms contained in the National Partnership Agreement to deliver a Seamless National Economy.  One of the 27 regulatory reforms is the directors' liability reform project.</w:t>
                        </w:r>
                        <w:r w:rsidRPr="00F060B6">
                          <w:rPr>
                            <w:rFonts w:ascii="Arial" w:hAnsi="Arial" w:cs="Arial"/>
                            <w:color w:val="000000"/>
                            <w:sz w:val="18"/>
                            <w:szCs w:val="18"/>
                            <w:lang w:val="en-AU"/>
                          </w:rPr>
                          <w:br/>
                          <w:t> </w:t>
                        </w:r>
                        <w:r w:rsidRPr="00F060B6">
                          <w:rPr>
                            <w:rFonts w:ascii="Arial" w:hAnsi="Arial" w:cs="Arial"/>
                            <w:color w:val="000000"/>
                            <w:sz w:val="18"/>
                            <w:szCs w:val="18"/>
                            <w:lang w:val="en-AU"/>
                          </w:rPr>
                          <w:br/>
                          <w:t xml:space="preserve">The reform project aims to harmonize the approach to imposing personal criminal liability for corporate fault - otherwise known as derivative liability - by requiring Australian jurisdictions to audit their laws against COAG agreed principles and to amend legislative provisions to reflect a national approach to imposing personal criminal liability on corporate officers. </w:t>
                        </w:r>
                        <w:r w:rsidRPr="00F060B6">
                          <w:rPr>
                            <w:rFonts w:ascii="Arial" w:hAnsi="Arial" w:cs="Arial"/>
                            <w:color w:val="000000"/>
                            <w:sz w:val="18"/>
                            <w:szCs w:val="18"/>
                            <w:lang w:val="en-AU"/>
                          </w:rPr>
                          <w:br/>
                          <w:t> </w:t>
                        </w:r>
                        <w:r w:rsidRPr="00F060B6">
                          <w:rPr>
                            <w:rFonts w:ascii="Arial" w:hAnsi="Arial" w:cs="Arial"/>
                            <w:color w:val="000000"/>
                            <w:sz w:val="18"/>
                            <w:szCs w:val="18"/>
                            <w:lang w:val="en-AU"/>
                          </w:rPr>
                          <w:br/>
                          <w:t>The reform project resulted from growing concern over a trend in regulatory legislation across Australia to hold company officers criminally liable when their company breached a statutory requirement.  In September 2006, the Corporations and Markets Advisory Committee published a report titled 'Personal liability for corporate fault' in which the Committee expressed concern at the growing trend of imposing criminal liability on corporate officers when their company breached a statutory requirement. The Committee stated that such liability should only be imposed in exceptional circumstances.</w:t>
                        </w:r>
                        <w:r w:rsidRPr="00F060B6">
                          <w:rPr>
                            <w:rFonts w:ascii="Arial" w:hAnsi="Arial" w:cs="Arial"/>
                            <w:color w:val="000000"/>
                            <w:sz w:val="18"/>
                            <w:szCs w:val="18"/>
                            <w:lang w:val="en-AU"/>
                          </w:rPr>
                          <w:br/>
                          <w:t> </w:t>
                        </w:r>
                        <w:r w:rsidRPr="00F060B6">
                          <w:rPr>
                            <w:rFonts w:ascii="Arial" w:hAnsi="Arial" w:cs="Arial"/>
                            <w:color w:val="000000"/>
                            <w:sz w:val="18"/>
                            <w:szCs w:val="18"/>
                            <w:lang w:val="en-AU"/>
                          </w:rPr>
                          <w:br/>
                          <w:t xml:space="preserve">A further exposure draft Bill, covering the second tranche of proposed amendments relating to other Commonwealth legislation, is expected to be released later in the first quarter of 2012 for public comment. </w:t>
                        </w:r>
                        <w:r w:rsidRPr="00F060B6">
                          <w:rPr>
                            <w:rFonts w:ascii="Arial" w:hAnsi="Arial" w:cs="Arial"/>
                            <w:color w:val="000000"/>
                            <w:sz w:val="18"/>
                            <w:szCs w:val="18"/>
                            <w:lang w:val="en-AU"/>
                          </w:rPr>
                          <w:br/>
                          <w:t> </w:t>
                        </w:r>
                        <w:r w:rsidRPr="00F060B6">
                          <w:rPr>
                            <w:rFonts w:ascii="Arial" w:hAnsi="Arial" w:cs="Arial"/>
                            <w:color w:val="000000"/>
                            <w:sz w:val="18"/>
                            <w:szCs w:val="18"/>
                            <w:lang w:val="en-AU"/>
                          </w:rPr>
                          <w:br/>
                          <w:t xml:space="preserve">The Personal Liability for Corporate Fault Reform Bill 2012 is available on the </w:t>
                        </w:r>
                        <w:r w:rsidRPr="00F060B6">
                          <w:rPr>
                            <w:rFonts w:ascii="Arial" w:hAnsi="Arial" w:cs="Arial"/>
                            <w:color w:val="000000"/>
                            <w:sz w:val="18"/>
                            <w:szCs w:val="18"/>
                            <w:lang w:val="en-AU"/>
                          </w:rPr>
                          <w:fldChar w:fldCharType="begin"/>
                        </w:r>
                        <w:r w:rsidRPr="00F060B6">
                          <w:rPr>
                            <w:rFonts w:ascii="Arial" w:hAnsi="Arial" w:cs="Arial"/>
                            <w:color w:val="000000"/>
                            <w:sz w:val="18"/>
                            <w:szCs w:val="18"/>
                            <w:lang w:val="en-AU"/>
                          </w:rPr>
                          <w:instrText xml:space="preserve"> HYPERLINK "http://www.treasury.gov.au/contentitem.asp?NavId=037&amp;ContentID=2300" \t "_new" </w:instrText>
                        </w:r>
                        <w:r w:rsidRPr="00F060B6">
                          <w:rPr>
                            <w:rFonts w:ascii="Arial" w:hAnsi="Arial" w:cs="Arial"/>
                            <w:color w:val="000000"/>
                            <w:sz w:val="18"/>
                            <w:szCs w:val="18"/>
                            <w:lang w:val="en-AU"/>
                          </w:rPr>
                        </w:r>
                        <w:r w:rsidRPr="00F060B6">
                          <w:rPr>
                            <w:rFonts w:ascii="Arial" w:hAnsi="Arial" w:cs="Arial"/>
                            <w:color w:val="000000"/>
                            <w:sz w:val="18"/>
                            <w:szCs w:val="18"/>
                            <w:lang w:val="en-AU"/>
                          </w:rPr>
                          <w:fldChar w:fldCharType="separate"/>
                        </w:r>
                        <w:r w:rsidRPr="00F060B6">
                          <w:rPr>
                            <w:rFonts w:ascii="Arial" w:hAnsi="Arial" w:cs="Arial"/>
                            <w:color w:val="0000FF"/>
                            <w:sz w:val="18"/>
                            <w:szCs w:val="18"/>
                            <w:u w:val="single"/>
                            <w:lang w:val="en-AU"/>
                          </w:rPr>
                          <w:t>Treasury website</w:t>
                        </w:r>
                        <w:r w:rsidRPr="00F060B6">
                          <w:rPr>
                            <w:rFonts w:ascii="Arial" w:hAnsi="Arial" w:cs="Arial"/>
                            <w:color w:val="000000"/>
                            <w:sz w:val="18"/>
                            <w:szCs w:val="18"/>
                            <w:lang w:val="en-AU"/>
                          </w:rPr>
                          <w:fldChar w:fldCharType="end"/>
                        </w:r>
                        <w:r w:rsidRPr="00F060B6">
                          <w:rPr>
                            <w:rFonts w:ascii="Arial" w:hAnsi="Arial" w:cs="Arial"/>
                            <w:color w:val="000000"/>
                            <w:sz w:val="18"/>
                            <w:szCs w:val="18"/>
                            <w:lang w:val="en-AU"/>
                          </w:rPr>
                          <w:t xml:space="preserve">.  </w:t>
                        </w:r>
                        <w:r w:rsidRPr="00F060B6">
                          <w:rPr>
                            <w:rFonts w:ascii="Arial" w:hAnsi="Arial" w:cs="Arial"/>
                            <w:color w:val="000000"/>
                            <w:sz w:val="18"/>
                            <w:szCs w:val="18"/>
                            <w:lang w:val="en-AU"/>
                          </w:rPr>
                          <w:br/>
                          <w:t> </w:t>
                        </w:r>
                        <w:r w:rsidRPr="00F060B6">
                          <w:rPr>
                            <w:rFonts w:ascii="Arial" w:hAnsi="Arial" w:cs="Arial"/>
                            <w:color w:val="000000"/>
                            <w:sz w:val="18"/>
                            <w:szCs w:val="18"/>
                            <w:lang w:val="en-AU"/>
                          </w:rPr>
                          <w:br/>
                          <w:t xml:space="preserve">The Corporations and Markets Advisory Committee report titled 'Personal liability for corporate fault' is available on the </w:t>
                        </w:r>
                        <w:r w:rsidRPr="00F060B6">
                          <w:rPr>
                            <w:rFonts w:ascii="Arial" w:hAnsi="Arial" w:cs="Arial"/>
                            <w:color w:val="000000"/>
                            <w:sz w:val="18"/>
                            <w:szCs w:val="18"/>
                            <w:lang w:val="en-AU"/>
                          </w:rPr>
                          <w:fldChar w:fldCharType="begin"/>
                        </w:r>
                        <w:r w:rsidRPr="00F060B6">
                          <w:rPr>
                            <w:rFonts w:ascii="Arial" w:hAnsi="Arial" w:cs="Arial"/>
                            <w:color w:val="000000"/>
                            <w:sz w:val="18"/>
                            <w:szCs w:val="18"/>
                            <w:lang w:val="en-AU"/>
                          </w:rPr>
                          <w:instrText xml:space="preserve"> HYPERLINK "http://www.camac.gov.au/camac/camac.nsf/byHeadline/PDFFinal+Reports+2006/$file/Personal_Liability_for_Corporate_Fault.pdf" \t "_new" </w:instrText>
                        </w:r>
                        <w:r w:rsidRPr="00F060B6">
                          <w:rPr>
                            <w:rFonts w:ascii="Arial" w:hAnsi="Arial" w:cs="Arial"/>
                            <w:color w:val="000000"/>
                            <w:sz w:val="18"/>
                            <w:szCs w:val="18"/>
                            <w:lang w:val="en-AU"/>
                          </w:rPr>
                        </w:r>
                        <w:r w:rsidRPr="00F060B6">
                          <w:rPr>
                            <w:rFonts w:ascii="Arial" w:hAnsi="Arial" w:cs="Arial"/>
                            <w:color w:val="000000"/>
                            <w:sz w:val="18"/>
                            <w:szCs w:val="18"/>
                            <w:lang w:val="en-AU"/>
                          </w:rPr>
                          <w:fldChar w:fldCharType="separate"/>
                        </w:r>
                        <w:r w:rsidRPr="00F060B6">
                          <w:rPr>
                            <w:rFonts w:ascii="Arial" w:hAnsi="Arial" w:cs="Arial"/>
                            <w:color w:val="0000FF"/>
                            <w:sz w:val="18"/>
                            <w:szCs w:val="18"/>
                            <w:u w:val="single"/>
                            <w:lang w:val="en-AU"/>
                          </w:rPr>
                          <w:t>Committee website</w:t>
                        </w:r>
                        <w:r w:rsidRPr="00F060B6">
                          <w:rPr>
                            <w:rFonts w:ascii="Arial" w:hAnsi="Arial" w:cs="Arial"/>
                            <w:color w:val="000000"/>
                            <w:sz w:val="18"/>
                            <w:szCs w:val="18"/>
                            <w:lang w:val="en-AU"/>
                          </w:rPr>
                          <w:fldChar w:fldCharType="end"/>
                        </w:r>
                        <w:r w:rsidRPr="00F060B6">
                          <w:rPr>
                            <w:rFonts w:ascii="Arial" w:hAnsi="Arial" w:cs="Arial"/>
                            <w:color w:val="000000"/>
                            <w:sz w:val="18"/>
                            <w:szCs w:val="18"/>
                            <w:lang w:val="en-AU"/>
                          </w:rPr>
                          <w:t>.</w:t>
                        </w:r>
                      </w:p>
                      <w:p w:rsidR="00F060B6" w:rsidRPr="00F060B6" w:rsidRDefault="00F060B6" w:rsidP="00F060B6">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1476" name="Picture 21476" descr="etailed Contents">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76" descr="etailed Contents"/>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060B6" w:rsidRPr="00F060B6" w:rsidRDefault="00F060B6" w:rsidP="00F060B6">
                        <w:pPr>
                          <w:jc w:val="center"/>
                          <w:rPr>
                            <w:rFonts w:ascii="Arial" w:eastAsia="Times New Roman" w:hAnsi="Arial" w:cs="Arial"/>
                            <w:color w:val="000000"/>
                            <w:sz w:val="18"/>
                            <w:szCs w:val="18"/>
                            <w:lang w:val="en-AU"/>
                          </w:rPr>
                        </w:pPr>
                        <w:r w:rsidRPr="00F060B6">
                          <w:rPr>
                            <w:rFonts w:ascii="Arial" w:eastAsia="Times New Roman" w:hAnsi="Arial" w:cs="Arial"/>
                            <w:color w:val="000000"/>
                            <w:sz w:val="18"/>
                            <w:szCs w:val="18"/>
                            <w:lang w:val="en-AU"/>
                          </w:rPr>
                          <w:pict>
                            <v:rect id="_x0000_i22501" style="width:415pt;height:2pt" o:hralign="center" o:hrstd="t" o:hr="t" fillcolor="#aaa" stroked="f"/>
                          </w:pict>
                        </w:r>
                      </w:p>
                      <w:p w:rsidR="00F060B6" w:rsidRPr="00F060B6" w:rsidRDefault="00F060B6" w:rsidP="00F060B6">
                        <w:pPr>
                          <w:spacing w:before="100" w:beforeAutospacing="1" w:after="100" w:afterAutospacing="1"/>
                          <w:rPr>
                            <w:rFonts w:ascii="Times" w:hAnsi="Times" w:cs="Times New Roman"/>
                            <w:sz w:val="20"/>
                            <w:szCs w:val="20"/>
                            <w:lang w:val="en-AU"/>
                          </w:rPr>
                        </w:pPr>
                        <w:bookmarkStart w:id="7" w:name="012"/>
                        <w:bookmarkEnd w:id="7"/>
                        <w:r w:rsidRPr="00F060B6">
                          <w:rPr>
                            <w:rFonts w:ascii="Arial" w:hAnsi="Arial" w:cs="Arial"/>
                            <w:b/>
                            <w:bCs/>
                            <w:color w:val="000000"/>
                            <w:sz w:val="18"/>
                            <w:szCs w:val="18"/>
                            <w:lang w:val="en-AU"/>
                          </w:rPr>
                          <w:t xml:space="preserve">1.2 CAMAC report on derivatives </w:t>
                        </w:r>
                        <w:r w:rsidRPr="00F060B6">
                          <w:rPr>
                            <w:rFonts w:ascii="Arial" w:hAnsi="Arial" w:cs="Arial"/>
                            <w:color w:val="000000"/>
                            <w:sz w:val="18"/>
                            <w:szCs w:val="18"/>
                            <w:lang w:val="en-AU"/>
                          </w:rPr>
                          <w:br/>
                          <w:t> </w:t>
                        </w:r>
                        <w:r w:rsidRPr="00F060B6">
                          <w:rPr>
                            <w:rFonts w:ascii="Arial" w:hAnsi="Arial" w:cs="Arial"/>
                            <w:color w:val="000000"/>
                            <w:sz w:val="18"/>
                            <w:szCs w:val="18"/>
                            <w:lang w:val="en-AU"/>
                          </w:rPr>
                          <w:br/>
                          <w:t>On 24 January 2012, the Corporations and Markets Advisory Committee (CAMAC) released its report on 'Derivatives'.  The report is a response to a request from the Government for advice on the suitability of the legislative definition of derivative for today's derivatives markets and whether it may be possible to decrease complexity in this area of the law.</w:t>
                        </w:r>
                        <w:r w:rsidRPr="00F060B6">
                          <w:rPr>
                            <w:rFonts w:ascii="Arial" w:hAnsi="Arial" w:cs="Arial"/>
                            <w:color w:val="000000"/>
                            <w:sz w:val="18"/>
                            <w:szCs w:val="18"/>
                            <w:lang w:val="en-AU"/>
                          </w:rPr>
                          <w:br/>
                        </w:r>
                        <w:r w:rsidRPr="00F060B6">
                          <w:rPr>
                            <w:rFonts w:ascii="Arial" w:hAnsi="Arial" w:cs="Arial"/>
                            <w:color w:val="000000"/>
                            <w:sz w:val="18"/>
                            <w:szCs w:val="18"/>
                            <w:lang w:val="en-AU"/>
                          </w:rPr>
                          <w:br/>
                          <w:t>In responding to the Government, CAMAC took into account the broader economic and commercial role of derivatives as a financial instrument and, within that context, considered whether the current legislative structure properly regulates derivatives in the simplest manner possible. As part of that process, CAMAC conducted a Roundtable of relevant peak bodies and industry participants.</w:t>
                        </w:r>
                        <w:r w:rsidRPr="00F060B6">
                          <w:rPr>
                            <w:rFonts w:ascii="Arial" w:hAnsi="Arial" w:cs="Arial"/>
                            <w:color w:val="000000"/>
                            <w:sz w:val="18"/>
                            <w:szCs w:val="18"/>
                            <w:lang w:val="en-AU"/>
                          </w:rPr>
                          <w:br/>
                        </w:r>
                        <w:r w:rsidRPr="00F060B6">
                          <w:rPr>
                            <w:rFonts w:ascii="Arial" w:hAnsi="Arial" w:cs="Arial"/>
                            <w:color w:val="000000"/>
                            <w:sz w:val="18"/>
                            <w:szCs w:val="18"/>
                            <w:lang w:val="en-AU"/>
                          </w:rPr>
                          <w:br/>
                          <w:t xml:space="preserve">CAMAC concluded that the current definition suitably aligns with market and regulatory perceptions of what constitutes a derivative. The definition is meant to be broad, to allow for its application to new derivative products without disruption to the regulatory structure of derivatives markets. </w:t>
                        </w:r>
                        <w:r w:rsidRPr="00F060B6">
                          <w:rPr>
                            <w:rFonts w:ascii="Arial" w:hAnsi="Arial" w:cs="Arial"/>
                            <w:color w:val="000000"/>
                            <w:sz w:val="18"/>
                            <w:szCs w:val="18"/>
                            <w:lang w:val="en-AU"/>
                          </w:rPr>
                          <w:br/>
                        </w:r>
                        <w:r w:rsidRPr="00F060B6">
                          <w:rPr>
                            <w:rFonts w:ascii="Arial" w:hAnsi="Arial" w:cs="Arial"/>
                            <w:color w:val="000000"/>
                            <w:sz w:val="18"/>
                            <w:szCs w:val="18"/>
                            <w:lang w:val="en-AU"/>
                          </w:rPr>
                          <w:br/>
                          <w:t xml:space="preserve">CAMAC also considers that the </w:t>
                        </w:r>
                        <w:r w:rsidRPr="00F060B6">
                          <w:rPr>
                            <w:rFonts w:ascii="Arial" w:hAnsi="Arial" w:cs="Arial"/>
                            <w:color w:val="000000"/>
                            <w:sz w:val="18"/>
                            <w:szCs w:val="18"/>
                            <w:lang w:val="en-AU"/>
                          </w:rPr>
                          <w:fldChar w:fldCharType="begin"/>
                        </w:r>
                        <w:r w:rsidRPr="00F060B6">
                          <w:rPr>
                            <w:rFonts w:ascii="Arial" w:hAnsi="Arial" w:cs="Arial"/>
                            <w:color w:val="000000"/>
                            <w:sz w:val="18"/>
                            <w:szCs w:val="18"/>
                            <w:lang w:val="en-AU"/>
                          </w:rPr>
                          <w:instrText xml:space="preserve"> HYPERLINK "http://my.lawlex.com.au/index.asp?pact=coredoc&amp;nav=col&amp;cid=56482" \t "Default" </w:instrText>
                        </w:r>
                        <w:r w:rsidRPr="00F060B6">
                          <w:rPr>
                            <w:rFonts w:ascii="Arial" w:hAnsi="Arial" w:cs="Arial"/>
                            <w:color w:val="000000"/>
                            <w:sz w:val="18"/>
                            <w:szCs w:val="18"/>
                            <w:lang w:val="en-AU"/>
                          </w:rPr>
                        </w:r>
                        <w:r w:rsidRPr="00F060B6">
                          <w:rPr>
                            <w:rFonts w:ascii="Arial" w:hAnsi="Arial" w:cs="Arial"/>
                            <w:color w:val="000000"/>
                            <w:sz w:val="18"/>
                            <w:szCs w:val="18"/>
                            <w:lang w:val="en-AU"/>
                          </w:rPr>
                          <w:fldChar w:fldCharType="separate"/>
                        </w:r>
                        <w:r w:rsidRPr="00F060B6">
                          <w:rPr>
                            <w:rFonts w:ascii="Arial" w:hAnsi="Arial" w:cs="Arial"/>
                            <w:color w:val="0000FF"/>
                            <w:sz w:val="18"/>
                            <w:szCs w:val="18"/>
                            <w:u w:val="single"/>
                            <w:lang w:val="en-AU"/>
                          </w:rPr>
                          <w:t>Corporation Act 2001</w:t>
                        </w:r>
                        <w:r w:rsidRPr="00F060B6">
                          <w:rPr>
                            <w:rFonts w:ascii="Arial" w:hAnsi="Arial" w:cs="Arial"/>
                            <w:color w:val="000000"/>
                            <w:sz w:val="18"/>
                            <w:szCs w:val="18"/>
                            <w:lang w:val="en-AU"/>
                          </w:rPr>
                          <w:fldChar w:fldCharType="end"/>
                        </w:r>
                        <w:r w:rsidRPr="00F060B6">
                          <w:rPr>
                            <w:rFonts w:ascii="Arial" w:hAnsi="Arial" w:cs="Arial"/>
                            <w:color w:val="000000"/>
                            <w:sz w:val="18"/>
                            <w:szCs w:val="18"/>
                            <w:lang w:val="en-AU"/>
                          </w:rPr>
                          <w:t xml:space="preserve"> section 761D definition of derivative is not unduly complex. It is a broad principles</w:t>
                        </w:r>
                        <w:r w:rsidRPr="00F060B6">
                          <w:rPr>
                            <w:rFonts w:ascii="Arial" w:hAnsi="Arial" w:cs="Arial"/>
                            <w:color w:val="000000"/>
                            <w:sz w:val="18"/>
                            <w:szCs w:val="18"/>
                            <w:lang w:val="en-AU"/>
                          </w:rPr>
                          <w:noBreakHyphen/>
                          <w:t>based definition, tempered by specific exclusions and the ability, if necessary, to enact regulations that make further adjustments in response to developments in the market.</w:t>
                        </w:r>
                        <w:r w:rsidRPr="00F060B6">
                          <w:rPr>
                            <w:rFonts w:ascii="Arial" w:hAnsi="Arial" w:cs="Arial"/>
                            <w:color w:val="000000"/>
                            <w:sz w:val="18"/>
                            <w:szCs w:val="18"/>
                            <w:lang w:val="en-AU"/>
                          </w:rPr>
                          <w:br/>
                        </w:r>
                        <w:r w:rsidRPr="00F060B6">
                          <w:rPr>
                            <w:rFonts w:ascii="Arial" w:hAnsi="Arial" w:cs="Arial"/>
                            <w:color w:val="000000"/>
                            <w:sz w:val="18"/>
                            <w:szCs w:val="18"/>
                            <w:lang w:val="en-AU"/>
                          </w:rPr>
                          <w:br/>
                          <w:t xml:space="preserve">Some problems in applying concepts in the definition to less common financial arrangements which might be caught by the definition, highlighted in recent case law, may give the impression that the legislative concepts may not apply to more common financial arrangements which would be expected to be caught by the definition.  CAMAC does not consider this to be the case as any problems that may arise can be dealt with through regulations declaring something to be/not to be a derivative, rather than seeking to redesign the legislation to cater for uncommon situations. </w:t>
                        </w:r>
                      </w:p>
                      <w:p w:rsidR="00F060B6" w:rsidRPr="00F060B6" w:rsidRDefault="00F060B6" w:rsidP="00F060B6">
                        <w:pPr>
                          <w:spacing w:before="100" w:beforeAutospacing="1" w:after="100" w:afterAutospacing="1"/>
                          <w:rPr>
                            <w:rFonts w:ascii="Times" w:hAnsi="Times" w:cs="Times New Roman"/>
                            <w:sz w:val="20"/>
                            <w:szCs w:val="20"/>
                            <w:lang w:val="en-AU"/>
                          </w:rPr>
                        </w:pPr>
                        <w:r w:rsidRPr="00F060B6">
                          <w:rPr>
                            <w:rFonts w:ascii="Arial" w:hAnsi="Arial" w:cs="Arial"/>
                            <w:color w:val="000000"/>
                            <w:sz w:val="18"/>
                            <w:szCs w:val="18"/>
                            <w:lang w:val="en-AU"/>
                          </w:rPr>
                          <w:t xml:space="preserve">In CAMAC's view, Australian derivatives markets are appropriately regulated through the general licensing and disclosure requirements applicable to all financial products, including derivatives, as well as the provisions specifically tailored for derivatives. The report also outlines some differences between the regulation of derivatives and securities which could, at an appropriate time, be rationalised. </w:t>
                        </w:r>
                      </w:p>
                      <w:p w:rsidR="00F060B6" w:rsidRPr="00F060B6" w:rsidRDefault="00F060B6" w:rsidP="00F060B6">
                        <w:pPr>
                          <w:spacing w:before="100" w:beforeAutospacing="1" w:after="100" w:afterAutospacing="1"/>
                          <w:rPr>
                            <w:rFonts w:ascii="Times" w:hAnsi="Times" w:cs="Times New Roman"/>
                            <w:sz w:val="20"/>
                            <w:szCs w:val="20"/>
                            <w:lang w:val="en-AU"/>
                          </w:rPr>
                        </w:pPr>
                        <w:r w:rsidRPr="00F060B6">
                          <w:rPr>
                            <w:rFonts w:ascii="Arial" w:hAnsi="Arial" w:cs="Arial"/>
                            <w:color w:val="000000"/>
                            <w:sz w:val="18"/>
                            <w:szCs w:val="18"/>
                            <w:lang w:val="en-AU"/>
                          </w:rPr>
                          <w:t xml:space="preserve">The report is available on the </w:t>
                        </w:r>
                        <w:r w:rsidRPr="00F060B6">
                          <w:rPr>
                            <w:rFonts w:ascii="Arial" w:hAnsi="Arial" w:cs="Arial"/>
                            <w:color w:val="000000"/>
                            <w:sz w:val="18"/>
                            <w:szCs w:val="18"/>
                            <w:lang w:val="en-AU"/>
                          </w:rPr>
                          <w:fldChar w:fldCharType="begin"/>
                        </w:r>
                        <w:r w:rsidRPr="00F060B6">
                          <w:rPr>
                            <w:rFonts w:ascii="Arial" w:hAnsi="Arial" w:cs="Arial"/>
                            <w:color w:val="000000"/>
                            <w:sz w:val="18"/>
                            <w:szCs w:val="18"/>
                            <w:lang w:val="en-AU"/>
                          </w:rPr>
                          <w:instrText xml:space="preserve"> HYPERLINK "http://www.camac.gov.au/camac/camac.nsf/byHeadline/PDFFinal+Reports+2011/$file/Derivatives_Report_Dec2011.pdf" \t "_new" </w:instrText>
                        </w:r>
                        <w:r w:rsidRPr="00F060B6">
                          <w:rPr>
                            <w:rFonts w:ascii="Arial" w:hAnsi="Arial" w:cs="Arial"/>
                            <w:color w:val="000000"/>
                            <w:sz w:val="18"/>
                            <w:szCs w:val="18"/>
                            <w:lang w:val="en-AU"/>
                          </w:rPr>
                        </w:r>
                        <w:r w:rsidRPr="00F060B6">
                          <w:rPr>
                            <w:rFonts w:ascii="Arial" w:hAnsi="Arial" w:cs="Arial"/>
                            <w:color w:val="000000"/>
                            <w:sz w:val="18"/>
                            <w:szCs w:val="18"/>
                            <w:lang w:val="en-AU"/>
                          </w:rPr>
                          <w:fldChar w:fldCharType="separate"/>
                        </w:r>
                        <w:r w:rsidRPr="00F060B6">
                          <w:rPr>
                            <w:rFonts w:ascii="Arial" w:hAnsi="Arial" w:cs="Arial"/>
                            <w:color w:val="0000FF"/>
                            <w:sz w:val="18"/>
                            <w:szCs w:val="18"/>
                            <w:u w:val="single"/>
                            <w:lang w:val="en-AU"/>
                          </w:rPr>
                          <w:t>CAMAC website</w:t>
                        </w:r>
                        <w:r w:rsidRPr="00F060B6">
                          <w:rPr>
                            <w:rFonts w:ascii="Arial" w:hAnsi="Arial" w:cs="Arial"/>
                            <w:color w:val="000000"/>
                            <w:sz w:val="18"/>
                            <w:szCs w:val="18"/>
                            <w:lang w:val="en-AU"/>
                          </w:rPr>
                          <w:fldChar w:fldCharType="end"/>
                        </w:r>
                        <w:r w:rsidRPr="00F060B6">
                          <w:rPr>
                            <w:rFonts w:ascii="Arial" w:hAnsi="Arial" w:cs="Arial"/>
                            <w:color w:val="000000"/>
                            <w:sz w:val="18"/>
                            <w:szCs w:val="18"/>
                            <w:lang w:val="en-AU"/>
                          </w:rPr>
                          <w:t>.</w:t>
                        </w:r>
                      </w:p>
                      <w:p w:rsidR="00F060B6" w:rsidRPr="00F060B6" w:rsidRDefault="00F060B6" w:rsidP="00F060B6">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1478" name="Picture 21478" descr="etailed Contents">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78" descr="etailed Contents"/>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060B6" w:rsidRPr="00F060B6" w:rsidRDefault="00F060B6" w:rsidP="00F060B6">
                        <w:pPr>
                          <w:jc w:val="center"/>
                          <w:rPr>
                            <w:rFonts w:ascii="Arial" w:eastAsia="Times New Roman" w:hAnsi="Arial" w:cs="Arial"/>
                            <w:color w:val="000000"/>
                            <w:sz w:val="18"/>
                            <w:szCs w:val="18"/>
                            <w:lang w:val="en-AU"/>
                          </w:rPr>
                        </w:pPr>
                        <w:r w:rsidRPr="00F060B6">
                          <w:rPr>
                            <w:rFonts w:ascii="Arial" w:eastAsia="Times New Roman" w:hAnsi="Arial" w:cs="Arial"/>
                            <w:color w:val="000000"/>
                            <w:sz w:val="18"/>
                            <w:szCs w:val="18"/>
                            <w:lang w:val="en-AU"/>
                          </w:rPr>
                          <w:pict>
                            <v:rect id="_x0000_i22503" style="width:415pt;height:2pt" o:hralign="center" o:hrstd="t" o:hr="t" fillcolor="#aaa" stroked="f"/>
                          </w:pict>
                        </w:r>
                      </w:p>
                      <w:p w:rsidR="00F060B6" w:rsidRPr="00F060B6" w:rsidRDefault="00F060B6" w:rsidP="00F060B6">
                        <w:pPr>
                          <w:spacing w:before="100" w:beforeAutospacing="1" w:after="100" w:afterAutospacing="1"/>
                          <w:rPr>
                            <w:rFonts w:ascii="Times" w:hAnsi="Times" w:cs="Times New Roman"/>
                            <w:sz w:val="20"/>
                            <w:szCs w:val="20"/>
                            <w:lang w:val="en-AU"/>
                          </w:rPr>
                        </w:pPr>
                        <w:bookmarkStart w:id="8" w:name="013"/>
                        <w:bookmarkEnd w:id="8"/>
                        <w:r w:rsidRPr="00F060B6">
                          <w:rPr>
                            <w:rFonts w:ascii="Arial" w:hAnsi="Arial" w:cs="Arial"/>
                            <w:b/>
                            <w:bCs/>
                            <w:color w:val="000000"/>
                            <w:sz w:val="18"/>
                            <w:szCs w:val="18"/>
                            <w:lang w:val="en-AU"/>
                          </w:rPr>
                          <w:t>1.3 UK Government acts on executive remuneration</w:t>
                        </w:r>
                      </w:p>
                      <w:p w:rsidR="00F060B6" w:rsidRPr="00F060B6" w:rsidRDefault="00F060B6" w:rsidP="00F060B6">
                        <w:pPr>
                          <w:spacing w:before="100" w:beforeAutospacing="1" w:after="100" w:afterAutospacing="1"/>
                          <w:rPr>
                            <w:rFonts w:ascii="Times" w:hAnsi="Times" w:cs="Times New Roman"/>
                            <w:sz w:val="20"/>
                            <w:szCs w:val="20"/>
                            <w:lang w:val="en-AU"/>
                          </w:rPr>
                        </w:pPr>
                        <w:r w:rsidRPr="00F060B6">
                          <w:rPr>
                            <w:rFonts w:ascii="Arial" w:hAnsi="Arial" w:cs="Arial"/>
                            <w:color w:val="000000"/>
                            <w:sz w:val="18"/>
                            <w:szCs w:val="18"/>
                            <w:lang w:val="en-AU"/>
                          </w:rPr>
                          <w:t xml:space="preserve">On 23 January 2012, the UK Government announced new proposals to regulate excessive executive remuneration.  The proposals ensure that shareholders will be given more powers to block excessive pay proposals and payments for failure.  Companies will have to justify high salaries with clearer and more informative remuneration reports.  They will also be encouraged to increase diversity on their boards. </w:t>
                        </w:r>
                      </w:p>
                      <w:p w:rsidR="00F060B6" w:rsidRPr="00F060B6" w:rsidRDefault="00F060B6" w:rsidP="00F060B6">
                        <w:pPr>
                          <w:spacing w:before="100" w:beforeAutospacing="1" w:after="100" w:afterAutospacing="1"/>
                          <w:rPr>
                            <w:rFonts w:ascii="Times" w:hAnsi="Times" w:cs="Times New Roman"/>
                            <w:sz w:val="20"/>
                            <w:szCs w:val="20"/>
                            <w:lang w:val="en-AU"/>
                          </w:rPr>
                        </w:pPr>
                        <w:r w:rsidRPr="00F060B6">
                          <w:rPr>
                            <w:rFonts w:ascii="Arial" w:hAnsi="Arial" w:cs="Arial"/>
                            <w:color w:val="000000"/>
                            <w:sz w:val="18"/>
                            <w:szCs w:val="18"/>
                            <w:lang w:val="en-AU"/>
                          </w:rPr>
                          <w:t>Measures announced include:</w:t>
                        </w:r>
                      </w:p>
                      <w:p w:rsidR="00F060B6" w:rsidRPr="00F060B6" w:rsidRDefault="00F060B6" w:rsidP="00F060B6">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060B6">
                          <w:rPr>
                            <w:rFonts w:ascii="Arial" w:eastAsia="Times New Roman" w:hAnsi="Arial" w:cs="Arial"/>
                            <w:color w:val="000000"/>
                            <w:sz w:val="18"/>
                            <w:szCs w:val="18"/>
                            <w:lang w:val="en-AU"/>
                          </w:rPr>
                          <w:t>Greater transparency:  More information on what benchmarks companies use to set executive pay and how pay policy relates to company strategy and performance. Companies must produce a single figure for total pay and show how their spending on executive pay compares with other payouts such as dividends and business investment.</w:t>
                        </w:r>
                      </w:p>
                      <w:p w:rsidR="00F060B6" w:rsidRPr="00F060B6" w:rsidRDefault="00F060B6" w:rsidP="00F060B6">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060B6">
                          <w:rPr>
                            <w:rFonts w:ascii="Arial" w:eastAsia="Times New Roman" w:hAnsi="Arial" w:cs="Arial"/>
                            <w:color w:val="000000"/>
                            <w:sz w:val="18"/>
                            <w:szCs w:val="18"/>
                            <w:lang w:val="en-AU"/>
                          </w:rPr>
                          <w:t>More shareholder power:  The Government will consult on giving shareholders binding votes on executive pay policies and exit payments worth more than one year's salary. The Government will require companies to obtain 75 per cent (up from 50 per cent) shareholder support to pass the vote.  The Government will also look at requiring clawback clauses to be introduced in all contracts so pay can be recovered if a company performs poorly.</w:t>
                        </w:r>
                      </w:p>
                      <w:p w:rsidR="00F060B6" w:rsidRPr="00F060B6" w:rsidRDefault="00F060B6" w:rsidP="00F060B6">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060B6">
                          <w:rPr>
                            <w:rFonts w:ascii="Arial" w:eastAsia="Times New Roman" w:hAnsi="Arial" w:cs="Arial"/>
                            <w:color w:val="000000"/>
                            <w:sz w:val="18"/>
                            <w:szCs w:val="18"/>
                            <w:lang w:val="en-AU"/>
                          </w:rPr>
                          <w:t>More diversity:  Renewed drive to have more people from different professional backgrounds onto company boards.  The Government will look at reducing the number of current executive directors serving on other companies' remuneration committees.</w:t>
                        </w:r>
                      </w:p>
                      <w:p w:rsidR="00F060B6" w:rsidRPr="00F060B6" w:rsidRDefault="00F060B6" w:rsidP="00F060B6">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060B6">
                          <w:rPr>
                            <w:rFonts w:ascii="Arial" w:eastAsia="Times New Roman" w:hAnsi="Arial" w:cs="Arial"/>
                            <w:color w:val="000000"/>
                            <w:sz w:val="18"/>
                            <w:szCs w:val="18"/>
                            <w:lang w:val="en-AU"/>
                          </w:rPr>
                          <w:t>Employee engagement:  Companies to explain how they have consulted employees and taken account of employee pay when they set board pay. The Government will also encourage employees to utilise their right to request that employers consult them on pay deals.</w:t>
                        </w:r>
                      </w:p>
                      <w:p w:rsidR="00F060B6" w:rsidRPr="00F060B6" w:rsidRDefault="00F060B6" w:rsidP="00F060B6">
                        <w:pPr>
                          <w:spacing w:before="100" w:beforeAutospacing="1" w:after="100" w:afterAutospacing="1"/>
                          <w:rPr>
                            <w:rFonts w:ascii="Times" w:hAnsi="Times" w:cs="Times New Roman"/>
                            <w:sz w:val="20"/>
                            <w:szCs w:val="20"/>
                            <w:lang w:val="en-AU"/>
                          </w:rPr>
                        </w:pPr>
                        <w:r w:rsidRPr="00F060B6">
                          <w:rPr>
                            <w:rFonts w:ascii="Arial" w:hAnsi="Arial" w:cs="Arial"/>
                            <w:color w:val="000000"/>
                            <w:sz w:val="18"/>
                            <w:szCs w:val="18"/>
                            <w:lang w:val="en-AU"/>
                          </w:rPr>
                          <w:t>The proposals follow on from a discussion paper published in September 2011, which explored the issues surrounding executive remuneration.</w:t>
                        </w:r>
                      </w:p>
                      <w:p w:rsidR="00F060B6" w:rsidRPr="00F060B6" w:rsidRDefault="00F060B6" w:rsidP="00F060B6">
                        <w:pPr>
                          <w:spacing w:before="100" w:beforeAutospacing="1" w:after="100" w:afterAutospacing="1"/>
                          <w:rPr>
                            <w:rFonts w:ascii="Times" w:hAnsi="Times" w:cs="Times New Roman"/>
                            <w:sz w:val="20"/>
                            <w:szCs w:val="20"/>
                            <w:lang w:val="en-AU"/>
                          </w:rPr>
                        </w:pPr>
                        <w:r w:rsidRPr="00F060B6">
                          <w:rPr>
                            <w:rFonts w:ascii="Arial" w:hAnsi="Arial" w:cs="Arial"/>
                            <w:color w:val="000000"/>
                            <w:sz w:val="18"/>
                            <w:szCs w:val="18"/>
                            <w:lang w:val="en-AU"/>
                          </w:rPr>
                          <w:t xml:space="preserve">The Secretary of State's statement on 'Executive Pay' in the House of Commons (Hansard 23 January 2012) is available on the </w:t>
                        </w:r>
                        <w:r w:rsidRPr="00F060B6">
                          <w:rPr>
                            <w:rFonts w:ascii="Arial" w:hAnsi="Arial" w:cs="Arial"/>
                            <w:color w:val="000000"/>
                            <w:sz w:val="18"/>
                            <w:szCs w:val="18"/>
                            <w:lang w:val="en-AU"/>
                          </w:rPr>
                          <w:fldChar w:fldCharType="begin"/>
                        </w:r>
                        <w:r w:rsidRPr="00F060B6">
                          <w:rPr>
                            <w:rFonts w:ascii="Arial" w:hAnsi="Arial" w:cs="Arial"/>
                            <w:color w:val="000000"/>
                            <w:sz w:val="18"/>
                            <w:szCs w:val="18"/>
                            <w:lang w:val="en-AU"/>
                          </w:rPr>
                          <w:instrText xml:space="preserve"> HYPERLINK "http://www.publications.parliament.uk/pa/cm201212/cmhansrd/cm120123/debtext/120123-0001.htm" \l "12012313000002" \t "_new" </w:instrText>
                        </w:r>
                        <w:r w:rsidRPr="00F060B6">
                          <w:rPr>
                            <w:rFonts w:ascii="Arial" w:hAnsi="Arial" w:cs="Arial"/>
                            <w:color w:val="000000"/>
                            <w:sz w:val="18"/>
                            <w:szCs w:val="18"/>
                            <w:lang w:val="en-AU"/>
                          </w:rPr>
                        </w:r>
                        <w:r w:rsidRPr="00F060B6">
                          <w:rPr>
                            <w:rFonts w:ascii="Arial" w:hAnsi="Arial" w:cs="Arial"/>
                            <w:color w:val="000000"/>
                            <w:sz w:val="18"/>
                            <w:szCs w:val="18"/>
                            <w:lang w:val="en-AU"/>
                          </w:rPr>
                          <w:fldChar w:fldCharType="separate"/>
                        </w:r>
                        <w:r w:rsidRPr="00F060B6">
                          <w:rPr>
                            <w:rFonts w:ascii="Arial" w:hAnsi="Arial" w:cs="Arial"/>
                            <w:color w:val="0000FF"/>
                            <w:sz w:val="18"/>
                            <w:szCs w:val="18"/>
                            <w:u w:val="single"/>
                            <w:lang w:val="en-AU"/>
                          </w:rPr>
                          <w:t>House of Commons website</w:t>
                        </w:r>
                        <w:r w:rsidRPr="00F060B6">
                          <w:rPr>
                            <w:rFonts w:ascii="Arial" w:hAnsi="Arial" w:cs="Arial"/>
                            <w:color w:val="000000"/>
                            <w:sz w:val="18"/>
                            <w:szCs w:val="18"/>
                            <w:lang w:val="en-AU"/>
                          </w:rPr>
                          <w:fldChar w:fldCharType="end"/>
                        </w:r>
                        <w:r w:rsidRPr="00F060B6">
                          <w:rPr>
                            <w:rFonts w:ascii="Arial" w:hAnsi="Arial" w:cs="Arial"/>
                            <w:color w:val="000000"/>
                            <w:sz w:val="18"/>
                            <w:szCs w:val="18"/>
                            <w:lang w:val="en-AU"/>
                          </w:rPr>
                          <w:t>.</w:t>
                        </w:r>
                      </w:p>
                      <w:p w:rsidR="00F060B6" w:rsidRPr="00F060B6" w:rsidRDefault="00F060B6" w:rsidP="00F060B6">
                        <w:pPr>
                          <w:spacing w:before="100" w:beforeAutospacing="1" w:after="100" w:afterAutospacing="1"/>
                          <w:rPr>
                            <w:rFonts w:ascii="Times" w:hAnsi="Times" w:cs="Times New Roman"/>
                            <w:sz w:val="20"/>
                            <w:szCs w:val="20"/>
                            <w:lang w:val="en-AU"/>
                          </w:rPr>
                        </w:pPr>
                        <w:r w:rsidRPr="00F060B6">
                          <w:rPr>
                            <w:rFonts w:ascii="Arial" w:hAnsi="Arial" w:cs="Arial"/>
                            <w:color w:val="000000"/>
                            <w:sz w:val="18"/>
                            <w:szCs w:val="18"/>
                            <w:lang w:val="en-AU"/>
                          </w:rPr>
                          <w:t xml:space="preserve">The Executive Remuneration Discussion Paper is available on the UK Government's </w:t>
                        </w:r>
                        <w:r w:rsidRPr="00F060B6">
                          <w:rPr>
                            <w:rFonts w:ascii="Arial" w:hAnsi="Arial" w:cs="Arial"/>
                            <w:color w:val="000000"/>
                            <w:sz w:val="18"/>
                            <w:szCs w:val="18"/>
                            <w:lang w:val="en-AU"/>
                          </w:rPr>
                          <w:fldChar w:fldCharType="begin"/>
                        </w:r>
                        <w:r w:rsidRPr="00F060B6">
                          <w:rPr>
                            <w:rFonts w:ascii="Arial" w:hAnsi="Arial" w:cs="Arial"/>
                            <w:color w:val="000000"/>
                            <w:sz w:val="18"/>
                            <w:szCs w:val="18"/>
                            <w:lang w:val="en-AU"/>
                          </w:rPr>
                          <w:instrText xml:space="preserve"> HYPERLINK "http://www.bis.gov.uk/assets/biscore/business-law/docs/e/11-1287-executive-remuneration-discussion-paper.pdf" \t "_new" </w:instrText>
                        </w:r>
                        <w:r w:rsidRPr="00F060B6">
                          <w:rPr>
                            <w:rFonts w:ascii="Arial" w:hAnsi="Arial" w:cs="Arial"/>
                            <w:color w:val="000000"/>
                            <w:sz w:val="18"/>
                            <w:szCs w:val="18"/>
                            <w:lang w:val="en-AU"/>
                          </w:rPr>
                        </w:r>
                        <w:r w:rsidRPr="00F060B6">
                          <w:rPr>
                            <w:rFonts w:ascii="Arial" w:hAnsi="Arial" w:cs="Arial"/>
                            <w:color w:val="000000"/>
                            <w:sz w:val="18"/>
                            <w:szCs w:val="18"/>
                            <w:lang w:val="en-AU"/>
                          </w:rPr>
                          <w:fldChar w:fldCharType="separate"/>
                        </w:r>
                        <w:r w:rsidRPr="00F060B6">
                          <w:rPr>
                            <w:rFonts w:ascii="Arial" w:hAnsi="Arial" w:cs="Arial"/>
                            <w:color w:val="0000FF"/>
                            <w:sz w:val="18"/>
                            <w:szCs w:val="18"/>
                            <w:u w:val="single"/>
                            <w:lang w:val="en-AU"/>
                          </w:rPr>
                          <w:t>Department for Business Innovation and Skills website</w:t>
                        </w:r>
                        <w:r w:rsidRPr="00F060B6">
                          <w:rPr>
                            <w:rFonts w:ascii="Arial" w:hAnsi="Arial" w:cs="Arial"/>
                            <w:color w:val="000000"/>
                            <w:sz w:val="18"/>
                            <w:szCs w:val="18"/>
                            <w:lang w:val="en-AU"/>
                          </w:rPr>
                          <w:fldChar w:fldCharType="end"/>
                        </w:r>
                        <w:r w:rsidRPr="00F060B6">
                          <w:rPr>
                            <w:rFonts w:ascii="Arial" w:hAnsi="Arial" w:cs="Arial"/>
                            <w:color w:val="000000"/>
                            <w:sz w:val="18"/>
                            <w:szCs w:val="18"/>
                            <w:lang w:val="en-AU"/>
                          </w:rPr>
                          <w:t>.</w:t>
                        </w:r>
                      </w:p>
                      <w:p w:rsidR="00F060B6" w:rsidRPr="00F060B6" w:rsidRDefault="00F060B6" w:rsidP="00F060B6">
                        <w:pPr>
                          <w:spacing w:before="100" w:beforeAutospacing="1" w:after="100" w:afterAutospacing="1"/>
                          <w:rPr>
                            <w:rFonts w:ascii="Times" w:hAnsi="Times" w:cs="Times New Roman"/>
                            <w:sz w:val="20"/>
                            <w:szCs w:val="20"/>
                            <w:lang w:val="en-AU"/>
                          </w:rPr>
                        </w:pPr>
                        <w:r w:rsidRPr="00F060B6">
                          <w:rPr>
                            <w:rFonts w:ascii="Arial" w:hAnsi="Arial" w:cs="Arial"/>
                            <w:color w:val="000000"/>
                            <w:sz w:val="18"/>
                            <w:szCs w:val="18"/>
                            <w:lang w:val="en-AU"/>
                          </w:rPr>
                          <w:t xml:space="preserve">A summary of the responses to the Discussion Paper is also available on the </w:t>
                        </w:r>
                        <w:r w:rsidRPr="00F060B6">
                          <w:rPr>
                            <w:rFonts w:ascii="Arial" w:hAnsi="Arial" w:cs="Arial"/>
                            <w:color w:val="000000"/>
                            <w:sz w:val="18"/>
                            <w:szCs w:val="18"/>
                            <w:lang w:val="en-AU"/>
                          </w:rPr>
                          <w:fldChar w:fldCharType="begin"/>
                        </w:r>
                        <w:r w:rsidRPr="00F060B6">
                          <w:rPr>
                            <w:rFonts w:ascii="Arial" w:hAnsi="Arial" w:cs="Arial"/>
                            <w:color w:val="000000"/>
                            <w:sz w:val="18"/>
                            <w:szCs w:val="18"/>
                            <w:lang w:val="en-AU"/>
                          </w:rPr>
                          <w:instrText xml:space="preserve"> HYPERLINK "http://www.bis.gov.uk/assets/biscore/business-law/docs/e/12-564-executive-remuneration-discussion-paper-summary-responses.pdf" \t "_new" </w:instrText>
                        </w:r>
                        <w:r w:rsidRPr="00F060B6">
                          <w:rPr>
                            <w:rFonts w:ascii="Arial" w:hAnsi="Arial" w:cs="Arial"/>
                            <w:color w:val="000000"/>
                            <w:sz w:val="18"/>
                            <w:szCs w:val="18"/>
                            <w:lang w:val="en-AU"/>
                          </w:rPr>
                        </w:r>
                        <w:r w:rsidRPr="00F060B6">
                          <w:rPr>
                            <w:rFonts w:ascii="Arial" w:hAnsi="Arial" w:cs="Arial"/>
                            <w:color w:val="000000"/>
                            <w:sz w:val="18"/>
                            <w:szCs w:val="18"/>
                            <w:lang w:val="en-AU"/>
                          </w:rPr>
                          <w:fldChar w:fldCharType="separate"/>
                        </w:r>
                        <w:r w:rsidRPr="00F060B6">
                          <w:rPr>
                            <w:rFonts w:ascii="Arial" w:hAnsi="Arial" w:cs="Arial"/>
                            <w:color w:val="0000FF"/>
                            <w:sz w:val="18"/>
                            <w:szCs w:val="18"/>
                            <w:u w:val="single"/>
                            <w:lang w:val="en-AU"/>
                          </w:rPr>
                          <w:t>Department for Business Innovation and Skills website</w:t>
                        </w:r>
                        <w:r w:rsidRPr="00F060B6">
                          <w:rPr>
                            <w:rFonts w:ascii="Arial" w:hAnsi="Arial" w:cs="Arial"/>
                            <w:color w:val="000000"/>
                            <w:sz w:val="18"/>
                            <w:szCs w:val="18"/>
                            <w:lang w:val="en-AU"/>
                          </w:rPr>
                          <w:fldChar w:fldCharType="end"/>
                        </w:r>
                        <w:r w:rsidRPr="00F060B6">
                          <w:rPr>
                            <w:rFonts w:ascii="Arial" w:hAnsi="Arial" w:cs="Arial"/>
                            <w:color w:val="000000"/>
                            <w:sz w:val="18"/>
                            <w:szCs w:val="18"/>
                            <w:lang w:val="en-AU"/>
                          </w:rPr>
                          <w:t>.</w:t>
                        </w:r>
                      </w:p>
                      <w:p w:rsidR="00F060B6" w:rsidRPr="00F060B6" w:rsidRDefault="00F060B6" w:rsidP="00F060B6">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1480" name="Picture 21480" descr="etailed Contents">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80" descr="etailed Contents"/>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060B6" w:rsidRPr="00F060B6" w:rsidRDefault="00F060B6" w:rsidP="00F060B6">
                        <w:pPr>
                          <w:jc w:val="center"/>
                          <w:rPr>
                            <w:rFonts w:ascii="Arial" w:eastAsia="Times New Roman" w:hAnsi="Arial" w:cs="Arial"/>
                            <w:color w:val="000000"/>
                            <w:sz w:val="18"/>
                            <w:szCs w:val="18"/>
                            <w:lang w:val="en-AU"/>
                          </w:rPr>
                        </w:pPr>
                        <w:r w:rsidRPr="00F060B6">
                          <w:rPr>
                            <w:rFonts w:ascii="Arial" w:eastAsia="Times New Roman" w:hAnsi="Arial" w:cs="Arial"/>
                            <w:color w:val="000000"/>
                            <w:sz w:val="18"/>
                            <w:szCs w:val="18"/>
                            <w:lang w:val="en-AU"/>
                          </w:rPr>
                          <w:pict>
                            <v:rect id="_x0000_i22505" style="width:415pt;height:2pt" o:hralign="center" o:hrstd="t" o:hr="t" fillcolor="#aaa" stroked="f"/>
                          </w:pict>
                        </w:r>
                      </w:p>
                      <w:p w:rsidR="00F060B6" w:rsidRPr="00F060B6" w:rsidRDefault="00F060B6" w:rsidP="00F060B6">
                        <w:pPr>
                          <w:spacing w:before="100" w:beforeAutospacing="1" w:after="100" w:afterAutospacing="1"/>
                          <w:rPr>
                            <w:rFonts w:ascii="Times" w:hAnsi="Times" w:cs="Times New Roman"/>
                            <w:sz w:val="20"/>
                            <w:szCs w:val="20"/>
                            <w:lang w:val="en-AU"/>
                          </w:rPr>
                        </w:pPr>
                        <w:bookmarkStart w:id="9" w:name="014"/>
                        <w:bookmarkEnd w:id="9"/>
                        <w:r w:rsidRPr="00F060B6">
                          <w:rPr>
                            <w:rFonts w:ascii="Arial" w:hAnsi="Arial" w:cs="Arial"/>
                            <w:b/>
                            <w:bCs/>
                            <w:color w:val="000000"/>
                            <w:sz w:val="18"/>
                            <w:szCs w:val="18"/>
                            <w:lang w:val="en-AU"/>
                          </w:rPr>
                          <w:t>1.4 Productivity Commission inquiry into default superannuation funds in modern awards</w:t>
                        </w:r>
                      </w:p>
                      <w:p w:rsidR="00F060B6" w:rsidRPr="00F060B6" w:rsidRDefault="00F060B6" w:rsidP="00F060B6">
                        <w:pPr>
                          <w:spacing w:before="100" w:beforeAutospacing="1" w:after="100" w:afterAutospacing="1"/>
                          <w:rPr>
                            <w:rFonts w:ascii="Times" w:hAnsi="Times" w:cs="Times New Roman"/>
                            <w:sz w:val="20"/>
                            <w:szCs w:val="20"/>
                            <w:lang w:val="en-AU"/>
                          </w:rPr>
                        </w:pPr>
                        <w:r w:rsidRPr="00F060B6">
                          <w:rPr>
                            <w:rFonts w:ascii="Arial" w:hAnsi="Arial" w:cs="Arial"/>
                            <w:color w:val="000000"/>
                            <w:sz w:val="18"/>
                            <w:szCs w:val="18"/>
                            <w:lang w:val="en-AU"/>
                          </w:rPr>
                          <w:t>On 20 January 2012, the Australian Government announced that the Productivity Commission will conduct an inquiry into the selection and ongoing assessment of default superannuation funds in modern awards. The inquiry is expected to begin in early February 2012 and run for up to eight months.</w:t>
                        </w:r>
                      </w:p>
                      <w:p w:rsidR="00F060B6" w:rsidRPr="00F060B6" w:rsidRDefault="00F060B6" w:rsidP="00F060B6">
                        <w:pPr>
                          <w:spacing w:before="100" w:beforeAutospacing="1" w:after="100" w:afterAutospacing="1"/>
                          <w:rPr>
                            <w:rFonts w:ascii="Times" w:hAnsi="Times" w:cs="Times New Roman"/>
                            <w:sz w:val="20"/>
                            <w:szCs w:val="20"/>
                            <w:lang w:val="en-AU"/>
                          </w:rPr>
                        </w:pPr>
                        <w:r w:rsidRPr="00F060B6">
                          <w:rPr>
                            <w:rFonts w:ascii="Arial" w:hAnsi="Arial" w:cs="Arial"/>
                            <w:color w:val="000000"/>
                            <w:sz w:val="18"/>
                            <w:szCs w:val="18"/>
                            <w:lang w:val="en-AU"/>
                          </w:rPr>
                          <w:t xml:space="preserve">Superannuation originated in the industrial relations system and awards determined the funds that applied for each industry. The government believes default funds should continue to be included in modern awards, but there should also be a transparent set of criteria that such funds can be assessed against. </w:t>
                        </w:r>
                      </w:p>
                      <w:p w:rsidR="00F060B6" w:rsidRPr="00F060B6" w:rsidRDefault="00F060B6" w:rsidP="00F060B6">
                        <w:pPr>
                          <w:spacing w:before="100" w:beforeAutospacing="1" w:after="100" w:afterAutospacing="1"/>
                          <w:rPr>
                            <w:rFonts w:ascii="Times" w:hAnsi="Times" w:cs="Times New Roman"/>
                            <w:sz w:val="20"/>
                            <w:szCs w:val="20"/>
                            <w:lang w:val="en-AU"/>
                          </w:rPr>
                        </w:pPr>
                        <w:r w:rsidRPr="00F060B6">
                          <w:rPr>
                            <w:rFonts w:ascii="Arial" w:hAnsi="Arial" w:cs="Arial"/>
                            <w:color w:val="000000"/>
                            <w:sz w:val="18"/>
                            <w:szCs w:val="18"/>
                            <w:lang w:val="en-AU"/>
                          </w:rPr>
                          <w:t xml:space="preserve">The government has stated that this is in line with the Cooper Review, which recommended the processes by which default funds are nominated for inclusion in modern awards be reviewed in 2012 to assess whether they are sufficiently open and competitive. </w:t>
                        </w:r>
                      </w:p>
                      <w:p w:rsidR="00F060B6" w:rsidRPr="00F060B6" w:rsidRDefault="00F060B6" w:rsidP="00F060B6">
                        <w:pPr>
                          <w:spacing w:before="100" w:beforeAutospacing="1" w:after="100" w:afterAutospacing="1"/>
                          <w:rPr>
                            <w:rFonts w:ascii="Times" w:hAnsi="Times" w:cs="Times New Roman"/>
                            <w:sz w:val="20"/>
                            <w:szCs w:val="20"/>
                            <w:lang w:val="en-AU"/>
                          </w:rPr>
                        </w:pPr>
                        <w:r w:rsidRPr="00F060B6">
                          <w:rPr>
                            <w:rFonts w:ascii="Arial" w:hAnsi="Arial" w:cs="Arial"/>
                            <w:color w:val="000000"/>
                            <w:sz w:val="18"/>
                            <w:szCs w:val="18"/>
                            <w:lang w:val="en-AU"/>
                          </w:rPr>
                          <w:t xml:space="preserve">The government has asked the Commission to design a process for the selection and ongoing assessment of superannuation funds for nomination as default funds in modern awards.  Accordingly, it seeks to develop transparent and objective criteria against which funds wishing to be eligible for default fund status in modern awards can be assessed, on an ongoing basis, to ensure that the best interests of members are met if their superannuation contributions are allocated to a default fund under the modern award. </w:t>
                        </w:r>
                      </w:p>
                      <w:p w:rsidR="00F060B6" w:rsidRPr="00F060B6" w:rsidRDefault="00F060B6" w:rsidP="00F060B6">
                        <w:pPr>
                          <w:spacing w:before="100" w:beforeAutospacing="1" w:after="100" w:afterAutospacing="1"/>
                          <w:rPr>
                            <w:rFonts w:ascii="Times" w:hAnsi="Times" w:cs="Times New Roman"/>
                            <w:sz w:val="20"/>
                            <w:szCs w:val="20"/>
                            <w:lang w:val="en-AU"/>
                          </w:rPr>
                        </w:pPr>
                        <w:r w:rsidRPr="00F060B6">
                          <w:rPr>
                            <w:rFonts w:ascii="Arial" w:hAnsi="Arial" w:cs="Arial"/>
                            <w:color w:val="000000"/>
                            <w:sz w:val="18"/>
                            <w:szCs w:val="18"/>
                            <w:lang w:val="en-AU"/>
                          </w:rPr>
                          <w:t>The Productivity Commission will hold public hearings and release a draft report for public comment, before delivering a final report to government.</w:t>
                        </w:r>
                      </w:p>
                      <w:p w:rsidR="00F060B6" w:rsidRPr="00F060B6" w:rsidRDefault="00F060B6" w:rsidP="00F060B6">
                        <w:pPr>
                          <w:spacing w:before="100" w:beforeAutospacing="1" w:after="100" w:afterAutospacing="1"/>
                          <w:rPr>
                            <w:rFonts w:ascii="Times" w:hAnsi="Times" w:cs="Times New Roman"/>
                            <w:sz w:val="20"/>
                            <w:szCs w:val="20"/>
                            <w:lang w:val="en-AU"/>
                          </w:rPr>
                        </w:pPr>
                        <w:r w:rsidRPr="00F060B6">
                          <w:rPr>
                            <w:rFonts w:ascii="Arial" w:hAnsi="Arial" w:cs="Arial"/>
                            <w:color w:val="000000"/>
                            <w:sz w:val="18"/>
                            <w:szCs w:val="18"/>
                            <w:lang w:val="en-AU"/>
                          </w:rPr>
                          <w:t xml:space="preserve">The Terms of Reference for the Inquiry are available on the </w:t>
                        </w:r>
                        <w:r w:rsidRPr="00F060B6">
                          <w:rPr>
                            <w:rFonts w:ascii="Arial" w:hAnsi="Arial" w:cs="Arial"/>
                            <w:color w:val="000000"/>
                            <w:sz w:val="18"/>
                            <w:szCs w:val="18"/>
                            <w:lang w:val="en-AU"/>
                          </w:rPr>
                          <w:fldChar w:fldCharType="begin"/>
                        </w:r>
                        <w:r w:rsidRPr="00F060B6">
                          <w:rPr>
                            <w:rFonts w:ascii="Arial" w:hAnsi="Arial" w:cs="Arial"/>
                            <w:color w:val="000000"/>
                            <w:sz w:val="18"/>
                            <w:szCs w:val="18"/>
                            <w:lang w:val="en-AU"/>
                          </w:rPr>
                          <w:instrText xml:space="preserve"> HYPERLINK "http://assistant.treasurer.gov.au/DisplayDocs.aspx?doc=pressreleases/2012/003.htm&amp;pageID=003&amp;min=mva&amp;Year=&amp;DocType" \t "_new" </w:instrText>
                        </w:r>
                        <w:r w:rsidRPr="00F060B6">
                          <w:rPr>
                            <w:rFonts w:ascii="Arial" w:hAnsi="Arial" w:cs="Arial"/>
                            <w:color w:val="000000"/>
                            <w:sz w:val="18"/>
                            <w:szCs w:val="18"/>
                            <w:lang w:val="en-AU"/>
                          </w:rPr>
                        </w:r>
                        <w:r w:rsidRPr="00F060B6">
                          <w:rPr>
                            <w:rFonts w:ascii="Arial" w:hAnsi="Arial" w:cs="Arial"/>
                            <w:color w:val="000000"/>
                            <w:sz w:val="18"/>
                            <w:szCs w:val="18"/>
                            <w:lang w:val="en-AU"/>
                          </w:rPr>
                          <w:fldChar w:fldCharType="separate"/>
                        </w:r>
                        <w:r w:rsidRPr="00F060B6">
                          <w:rPr>
                            <w:rFonts w:ascii="Arial" w:hAnsi="Arial" w:cs="Arial"/>
                            <w:color w:val="0000FF"/>
                            <w:sz w:val="18"/>
                            <w:szCs w:val="18"/>
                            <w:u w:val="single"/>
                            <w:lang w:val="en-AU"/>
                          </w:rPr>
                          <w:t>Treasury website</w:t>
                        </w:r>
                        <w:r w:rsidRPr="00F060B6">
                          <w:rPr>
                            <w:rFonts w:ascii="Arial" w:hAnsi="Arial" w:cs="Arial"/>
                            <w:color w:val="000000"/>
                            <w:sz w:val="18"/>
                            <w:szCs w:val="18"/>
                            <w:lang w:val="en-AU"/>
                          </w:rPr>
                          <w:fldChar w:fldCharType="end"/>
                        </w:r>
                        <w:r w:rsidRPr="00F060B6">
                          <w:rPr>
                            <w:rFonts w:ascii="Arial" w:hAnsi="Arial" w:cs="Arial"/>
                            <w:color w:val="000000"/>
                            <w:sz w:val="18"/>
                            <w:szCs w:val="18"/>
                            <w:lang w:val="en-AU"/>
                          </w:rPr>
                          <w:t>.</w:t>
                        </w:r>
                      </w:p>
                      <w:p w:rsidR="00F060B6" w:rsidRPr="00F060B6" w:rsidRDefault="00F060B6" w:rsidP="00F060B6">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1482" name="Picture 21482" descr="etailed Contents">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82" descr="etailed Contents"/>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060B6" w:rsidRPr="00F060B6" w:rsidRDefault="00F060B6" w:rsidP="00F060B6">
                        <w:pPr>
                          <w:jc w:val="center"/>
                          <w:rPr>
                            <w:rFonts w:ascii="Arial" w:eastAsia="Times New Roman" w:hAnsi="Arial" w:cs="Arial"/>
                            <w:color w:val="000000"/>
                            <w:sz w:val="18"/>
                            <w:szCs w:val="18"/>
                            <w:lang w:val="en-AU"/>
                          </w:rPr>
                        </w:pPr>
                        <w:r w:rsidRPr="00F060B6">
                          <w:rPr>
                            <w:rFonts w:ascii="Arial" w:eastAsia="Times New Roman" w:hAnsi="Arial" w:cs="Arial"/>
                            <w:color w:val="000000"/>
                            <w:sz w:val="18"/>
                            <w:szCs w:val="18"/>
                            <w:lang w:val="en-AU"/>
                          </w:rPr>
                          <w:pict>
                            <v:rect id="_x0000_i22507" style="width:415pt;height:2pt" o:hralign="center" o:hrstd="t" o:hr="t" fillcolor="#aaa" stroked="f"/>
                          </w:pict>
                        </w:r>
                      </w:p>
                      <w:p w:rsidR="00F060B6" w:rsidRPr="00F060B6" w:rsidRDefault="00F060B6" w:rsidP="00F060B6">
                        <w:pPr>
                          <w:spacing w:before="100" w:beforeAutospacing="1" w:after="100" w:afterAutospacing="1"/>
                          <w:rPr>
                            <w:rFonts w:ascii="Times" w:hAnsi="Times" w:cs="Times New Roman"/>
                            <w:sz w:val="20"/>
                            <w:szCs w:val="20"/>
                            <w:lang w:val="en-AU"/>
                          </w:rPr>
                        </w:pPr>
                        <w:bookmarkStart w:id="10" w:name="015"/>
                        <w:bookmarkEnd w:id="10"/>
                        <w:r w:rsidRPr="00F060B6">
                          <w:rPr>
                            <w:rFonts w:ascii="Arial" w:hAnsi="Arial" w:cs="Arial"/>
                            <w:b/>
                            <w:bCs/>
                            <w:color w:val="000000"/>
                            <w:sz w:val="18"/>
                            <w:szCs w:val="18"/>
                            <w:lang w:val="en-AU"/>
                          </w:rPr>
                          <w:t>1.5 IOSCO principles on suspension of CIS redemptions</w:t>
                        </w:r>
                        <w:r w:rsidRPr="00F060B6">
                          <w:rPr>
                            <w:rFonts w:ascii="Arial" w:hAnsi="Arial" w:cs="Arial"/>
                            <w:color w:val="000000"/>
                            <w:sz w:val="18"/>
                            <w:szCs w:val="18"/>
                            <w:lang w:val="en-AU"/>
                          </w:rPr>
                          <w:br/>
                          <w:t> </w:t>
                        </w:r>
                        <w:r w:rsidRPr="00F060B6">
                          <w:rPr>
                            <w:rFonts w:ascii="Arial" w:hAnsi="Arial" w:cs="Arial"/>
                            <w:color w:val="000000"/>
                            <w:sz w:val="18"/>
                            <w:szCs w:val="18"/>
                            <w:lang w:val="en-AU"/>
                          </w:rPr>
                          <w:br/>
                          <w:t xml:space="preserve">On 19 January 2012, the Technical Committee of the International Organization of Securities Commissions (IOSCO) released its final report, 'Principles on Suspensions of Redemptions in Collective Investment Schemes', which contains principles regarding the suspension of redemptions for open-ended collective investment schemes (CIS). </w:t>
                        </w:r>
                        <w:r w:rsidRPr="00F060B6">
                          <w:rPr>
                            <w:rFonts w:ascii="Arial" w:hAnsi="Arial" w:cs="Arial"/>
                            <w:color w:val="000000"/>
                            <w:sz w:val="18"/>
                            <w:szCs w:val="18"/>
                            <w:lang w:val="en-AU"/>
                          </w:rPr>
                          <w:br/>
                          <w:t> </w:t>
                        </w:r>
                        <w:r w:rsidRPr="00F060B6">
                          <w:rPr>
                            <w:rFonts w:ascii="Arial" w:hAnsi="Arial" w:cs="Arial"/>
                            <w:color w:val="000000"/>
                            <w:sz w:val="18"/>
                            <w:szCs w:val="18"/>
                            <w:lang w:val="en-AU"/>
                          </w:rPr>
                          <w:br/>
                          <w:t>The principles reflect a common level of approach and provide standards against which both regulators and the industry can assess the quality of regulation and industry practices concerning suspensions of redemptions.</w:t>
                        </w:r>
                        <w:r w:rsidRPr="00F060B6">
                          <w:rPr>
                            <w:rFonts w:ascii="Arial" w:hAnsi="Arial" w:cs="Arial"/>
                            <w:color w:val="000000"/>
                            <w:sz w:val="18"/>
                            <w:szCs w:val="18"/>
                            <w:lang w:val="en-AU"/>
                          </w:rPr>
                          <w:br/>
                          <w:t> </w:t>
                        </w:r>
                        <w:r w:rsidRPr="00F060B6">
                          <w:rPr>
                            <w:rFonts w:ascii="Arial" w:hAnsi="Arial" w:cs="Arial"/>
                            <w:color w:val="000000"/>
                            <w:sz w:val="18"/>
                            <w:szCs w:val="18"/>
                            <w:lang w:val="en-AU"/>
                          </w:rPr>
                          <w:br/>
                          <w:t>The principles, which are based on the CIS responsible entities' basic duty to manage CIS liquidity on an on-going basis so as to avoid suspensions to the extent possible, generally cover all types of open-ended CIS which offer a continuous redemption right, and apply irrespective of whether they are offered to institutional or retail investors.  They are addressed to those entities responsible for the overall operation of the CIS and in particular its compliance with the legal/regulatory framework in the respective jurisdiction and thus for the implementation of the principles.  The delegation of activities may not be used to circumvent the principles and there should be compliance with the principles, whether activities are performed directly or through a third party.</w:t>
                        </w:r>
                        <w:r w:rsidRPr="00F060B6">
                          <w:rPr>
                            <w:rFonts w:ascii="Arial" w:hAnsi="Arial" w:cs="Arial"/>
                            <w:color w:val="000000"/>
                            <w:sz w:val="18"/>
                            <w:szCs w:val="18"/>
                            <w:lang w:val="en-AU"/>
                          </w:rPr>
                          <w:br/>
                          <w:t> </w:t>
                        </w:r>
                        <w:r w:rsidRPr="00F060B6">
                          <w:rPr>
                            <w:rFonts w:ascii="Arial" w:hAnsi="Arial" w:cs="Arial"/>
                            <w:color w:val="000000"/>
                            <w:sz w:val="18"/>
                            <w:szCs w:val="18"/>
                            <w:lang w:val="en-AU"/>
                          </w:rPr>
                          <w:br/>
                          <w:t>The principles comprise:</w:t>
                        </w:r>
                        <w:r w:rsidRPr="00F060B6">
                          <w:rPr>
                            <w:rFonts w:ascii="Arial" w:hAnsi="Arial" w:cs="Arial"/>
                            <w:color w:val="000000"/>
                            <w:sz w:val="18"/>
                            <w:szCs w:val="18"/>
                            <w:lang w:val="en-AU"/>
                          </w:rPr>
                          <w:br/>
                          <w:t> </w:t>
                        </w:r>
                        <w:r w:rsidRPr="00F060B6">
                          <w:rPr>
                            <w:rFonts w:ascii="Arial" w:hAnsi="Arial" w:cs="Arial"/>
                            <w:color w:val="000000"/>
                            <w:sz w:val="18"/>
                            <w:szCs w:val="18"/>
                            <w:lang w:val="en-AU"/>
                          </w:rPr>
                          <w:br/>
                        </w:r>
                        <w:r w:rsidRPr="00F060B6">
                          <w:rPr>
                            <w:rFonts w:ascii="Arial" w:hAnsi="Arial" w:cs="Arial"/>
                            <w:b/>
                            <w:bCs/>
                            <w:color w:val="000000"/>
                            <w:sz w:val="18"/>
                            <w:szCs w:val="18"/>
                            <w:lang w:val="en-AU"/>
                          </w:rPr>
                          <w:t>Management of liquidity risk:</w:t>
                        </w:r>
                        <w:r w:rsidRPr="00F060B6">
                          <w:rPr>
                            <w:rFonts w:ascii="Arial" w:hAnsi="Arial" w:cs="Arial"/>
                            <w:color w:val="000000"/>
                            <w:sz w:val="18"/>
                            <w:szCs w:val="18"/>
                            <w:lang w:val="en-AU"/>
                          </w:rPr>
                          <w:br/>
                          <w:t xml:space="preserve">1. The responsible entity should ensure that the degree of liquidity of the open-ended CIS it manages allows it in general to meet redemption obligations and other liabilities. </w:t>
                        </w:r>
                        <w:r w:rsidRPr="00F060B6">
                          <w:rPr>
                            <w:rFonts w:ascii="Arial" w:hAnsi="Arial" w:cs="Arial"/>
                            <w:color w:val="000000"/>
                            <w:sz w:val="18"/>
                            <w:szCs w:val="18"/>
                            <w:lang w:val="en-AU"/>
                          </w:rPr>
                          <w:br/>
                          <w:t> </w:t>
                        </w:r>
                        <w:r w:rsidRPr="00F060B6">
                          <w:rPr>
                            <w:rFonts w:ascii="Arial" w:hAnsi="Arial" w:cs="Arial"/>
                            <w:color w:val="000000"/>
                            <w:sz w:val="18"/>
                            <w:szCs w:val="18"/>
                            <w:lang w:val="en-AU"/>
                          </w:rPr>
                          <w:br/>
                          <w:t xml:space="preserve">2. Before and during any investment, the responsible entity should consider the liquidity of the types of instruments and assets and its consistency with the overall liquidity profile of the open-ended CIS. For this purpose, the responsible entity should establish, implement and maintain an appropriate liquidity management policy and process. </w:t>
                        </w:r>
                        <w:r w:rsidRPr="00F060B6">
                          <w:rPr>
                            <w:rFonts w:ascii="Arial" w:hAnsi="Arial" w:cs="Arial"/>
                            <w:color w:val="000000"/>
                            <w:sz w:val="18"/>
                            <w:szCs w:val="18"/>
                            <w:lang w:val="en-AU"/>
                          </w:rPr>
                          <w:br/>
                          <w:t> </w:t>
                        </w:r>
                        <w:r w:rsidRPr="00F060B6">
                          <w:rPr>
                            <w:rFonts w:ascii="Arial" w:hAnsi="Arial" w:cs="Arial"/>
                            <w:color w:val="000000"/>
                            <w:sz w:val="18"/>
                            <w:szCs w:val="18"/>
                            <w:lang w:val="en-AU"/>
                          </w:rPr>
                          <w:br/>
                        </w:r>
                        <w:r w:rsidRPr="00F060B6">
                          <w:rPr>
                            <w:rFonts w:ascii="Arial" w:hAnsi="Arial" w:cs="Arial"/>
                            <w:b/>
                            <w:bCs/>
                            <w:color w:val="000000"/>
                            <w:sz w:val="18"/>
                            <w:szCs w:val="18"/>
                            <w:lang w:val="en-AU"/>
                          </w:rPr>
                          <w:t xml:space="preserve">Ex-ante disclosure to investors: </w:t>
                        </w:r>
                        <w:r w:rsidRPr="00F060B6">
                          <w:rPr>
                            <w:rFonts w:ascii="Arial" w:hAnsi="Arial" w:cs="Arial"/>
                            <w:color w:val="000000"/>
                            <w:sz w:val="18"/>
                            <w:szCs w:val="18"/>
                            <w:lang w:val="en-AU"/>
                          </w:rPr>
                          <w:br/>
                          <w:t xml:space="preserve">3. The responsible entity should clearly disclose the ability to suspend redemptions in exceptional circumstances to investors prior to their investment into the CIS. </w:t>
                        </w:r>
                        <w:r w:rsidRPr="00F060B6">
                          <w:rPr>
                            <w:rFonts w:ascii="Arial" w:hAnsi="Arial" w:cs="Arial"/>
                            <w:color w:val="000000"/>
                            <w:sz w:val="18"/>
                            <w:szCs w:val="18"/>
                            <w:lang w:val="en-AU"/>
                          </w:rPr>
                          <w:br/>
                          <w:t> </w:t>
                        </w:r>
                        <w:r w:rsidRPr="00F060B6">
                          <w:rPr>
                            <w:rFonts w:ascii="Arial" w:hAnsi="Arial" w:cs="Arial"/>
                            <w:color w:val="000000"/>
                            <w:sz w:val="18"/>
                            <w:szCs w:val="18"/>
                            <w:lang w:val="en-AU"/>
                          </w:rPr>
                          <w:br/>
                        </w:r>
                        <w:r w:rsidRPr="00F060B6">
                          <w:rPr>
                            <w:rFonts w:ascii="Arial" w:hAnsi="Arial" w:cs="Arial"/>
                            <w:b/>
                            <w:bCs/>
                            <w:color w:val="000000"/>
                            <w:sz w:val="18"/>
                            <w:szCs w:val="18"/>
                            <w:lang w:val="en-AU"/>
                          </w:rPr>
                          <w:t xml:space="preserve">Criteria/reasons for the suspension: </w:t>
                        </w:r>
                        <w:r w:rsidRPr="00F060B6">
                          <w:rPr>
                            <w:rFonts w:ascii="Arial" w:hAnsi="Arial" w:cs="Arial"/>
                            <w:b/>
                            <w:bCs/>
                            <w:color w:val="000000"/>
                            <w:sz w:val="18"/>
                            <w:szCs w:val="18"/>
                            <w:lang w:val="en-AU"/>
                          </w:rPr>
                          <w:br/>
                        </w:r>
                        <w:r w:rsidRPr="00F060B6">
                          <w:rPr>
                            <w:rFonts w:ascii="Arial" w:hAnsi="Arial" w:cs="Arial"/>
                            <w:color w:val="000000"/>
                            <w:sz w:val="18"/>
                            <w:szCs w:val="18"/>
                            <w:lang w:val="en-AU"/>
                          </w:rPr>
                          <w:t xml:space="preserve">4.  Suspension of redemptions by the responsible entity may be justified only (a) if permitted by law and in exceptional circumstances provided such suspension is exclusively in the best interest of unit-holders within the CIS, or (b) if the suspension is required by law, regulation or regulators. </w:t>
                        </w:r>
                        <w:r w:rsidRPr="00F060B6">
                          <w:rPr>
                            <w:rFonts w:ascii="Arial" w:hAnsi="Arial" w:cs="Arial"/>
                            <w:color w:val="000000"/>
                            <w:sz w:val="18"/>
                            <w:szCs w:val="18"/>
                            <w:lang w:val="en-AU"/>
                          </w:rPr>
                          <w:br/>
                          <w:t> </w:t>
                        </w:r>
                        <w:r w:rsidRPr="00F060B6">
                          <w:rPr>
                            <w:rFonts w:ascii="Arial" w:hAnsi="Arial" w:cs="Arial"/>
                            <w:color w:val="000000"/>
                            <w:sz w:val="18"/>
                            <w:szCs w:val="18"/>
                            <w:lang w:val="en-AU"/>
                          </w:rPr>
                          <w:br/>
                        </w:r>
                        <w:r w:rsidRPr="00F060B6">
                          <w:rPr>
                            <w:rFonts w:ascii="Arial" w:hAnsi="Arial" w:cs="Arial"/>
                            <w:b/>
                            <w:bCs/>
                            <w:color w:val="000000"/>
                            <w:sz w:val="18"/>
                            <w:szCs w:val="18"/>
                            <w:lang w:val="en-AU"/>
                          </w:rPr>
                          <w:t>Decision to suspend:</w:t>
                        </w:r>
                        <w:r w:rsidRPr="00F060B6">
                          <w:rPr>
                            <w:rFonts w:ascii="Arial" w:hAnsi="Arial" w:cs="Arial"/>
                            <w:color w:val="000000"/>
                            <w:sz w:val="18"/>
                            <w:szCs w:val="18"/>
                            <w:lang w:val="en-AU"/>
                          </w:rPr>
                          <w:br/>
                          <w:t xml:space="preserve">5.  The responsible entity should have the operational capability to suspend redemptions in an orderly and efficient manner. </w:t>
                        </w:r>
                        <w:r w:rsidRPr="00F060B6">
                          <w:rPr>
                            <w:rFonts w:ascii="Arial" w:hAnsi="Arial" w:cs="Arial"/>
                            <w:color w:val="000000"/>
                            <w:sz w:val="18"/>
                            <w:szCs w:val="18"/>
                            <w:lang w:val="en-AU"/>
                          </w:rPr>
                          <w:br/>
                        </w:r>
                        <w:r w:rsidRPr="00F060B6">
                          <w:rPr>
                            <w:rFonts w:ascii="Arial" w:hAnsi="Arial" w:cs="Arial"/>
                            <w:color w:val="000000"/>
                            <w:sz w:val="18"/>
                            <w:szCs w:val="18"/>
                            <w:lang w:val="en-AU"/>
                          </w:rPr>
                          <w:br/>
                          <w:t xml:space="preserve">6.  The decision by the responsible entity to suspend redemptions, in particular the reasons for the suspension and the planned actions should be appropriately: (a) documented; (b) communicated to competent authorities and other relevant parties; and (c) communicated to unit-holders. </w:t>
                        </w:r>
                        <w:r w:rsidRPr="00F060B6">
                          <w:rPr>
                            <w:rFonts w:ascii="Arial" w:hAnsi="Arial" w:cs="Arial"/>
                            <w:color w:val="000000"/>
                            <w:sz w:val="18"/>
                            <w:szCs w:val="18"/>
                            <w:lang w:val="en-AU"/>
                          </w:rPr>
                          <w:br/>
                          <w:t> </w:t>
                        </w:r>
                        <w:r w:rsidRPr="00F060B6">
                          <w:rPr>
                            <w:rFonts w:ascii="Arial" w:hAnsi="Arial" w:cs="Arial"/>
                            <w:color w:val="000000"/>
                            <w:sz w:val="18"/>
                            <w:szCs w:val="18"/>
                            <w:lang w:val="en-AU"/>
                          </w:rPr>
                          <w:br/>
                        </w:r>
                        <w:r w:rsidRPr="00F060B6">
                          <w:rPr>
                            <w:rFonts w:ascii="Arial" w:hAnsi="Arial" w:cs="Arial"/>
                            <w:b/>
                            <w:bCs/>
                            <w:color w:val="000000"/>
                            <w:sz w:val="18"/>
                            <w:szCs w:val="18"/>
                            <w:lang w:val="en-AU"/>
                          </w:rPr>
                          <w:t xml:space="preserve">During the suspension: </w:t>
                        </w:r>
                        <w:r w:rsidRPr="00F060B6">
                          <w:rPr>
                            <w:rFonts w:ascii="Arial" w:hAnsi="Arial" w:cs="Arial"/>
                            <w:color w:val="000000"/>
                            <w:sz w:val="18"/>
                            <w:szCs w:val="18"/>
                            <w:lang w:val="en-AU"/>
                          </w:rPr>
                          <w:br/>
                          <w:t xml:space="preserve">7.  During the suspension of the redemptions, the responsible entity should not accept new subscriptions. </w:t>
                        </w:r>
                        <w:r w:rsidRPr="00F060B6">
                          <w:rPr>
                            <w:rFonts w:ascii="Arial" w:hAnsi="Arial" w:cs="Arial"/>
                            <w:color w:val="000000"/>
                            <w:sz w:val="18"/>
                            <w:szCs w:val="18"/>
                            <w:lang w:val="en-AU"/>
                          </w:rPr>
                          <w:br/>
                          <w:t> </w:t>
                        </w:r>
                        <w:r w:rsidRPr="00F060B6">
                          <w:rPr>
                            <w:rFonts w:ascii="Arial" w:hAnsi="Arial" w:cs="Arial"/>
                            <w:color w:val="000000"/>
                            <w:sz w:val="18"/>
                            <w:szCs w:val="18"/>
                            <w:lang w:val="en-AU"/>
                          </w:rPr>
                          <w:br/>
                          <w:t xml:space="preserve">8.  The suspension should be regularly reviewed by the responsible entity.  The responsible entity should take all necessary steps in order to resume normal operations as soon as possible having regard to the best interest of unit-holders. </w:t>
                        </w:r>
                        <w:r w:rsidRPr="00F060B6">
                          <w:rPr>
                            <w:rFonts w:ascii="Arial" w:hAnsi="Arial" w:cs="Arial"/>
                            <w:color w:val="000000"/>
                            <w:sz w:val="18"/>
                            <w:szCs w:val="18"/>
                            <w:lang w:val="en-AU"/>
                          </w:rPr>
                          <w:br/>
                        </w:r>
                        <w:r w:rsidRPr="00F060B6">
                          <w:rPr>
                            <w:rFonts w:ascii="Arial" w:hAnsi="Arial" w:cs="Arial"/>
                            <w:color w:val="000000"/>
                            <w:sz w:val="18"/>
                            <w:szCs w:val="18"/>
                            <w:lang w:val="en-AU"/>
                          </w:rPr>
                          <w:br/>
                          <w:t xml:space="preserve">9. The responsible entity should keep the competent authority and unit-holders informed throughout the period of suspension. The decision to resume normal operations should also be communicated as soon as practical. </w:t>
                        </w:r>
                        <w:r w:rsidRPr="00F060B6">
                          <w:rPr>
                            <w:rFonts w:ascii="Arial" w:hAnsi="Arial" w:cs="Arial"/>
                            <w:color w:val="000000"/>
                            <w:sz w:val="18"/>
                            <w:szCs w:val="18"/>
                            <w:lang w:val="en-AU"/>
                          </w:rPr>
                          <w:br/>
                          <w:t> </w:t>
                        </w:r>
                        <w:r w:rsidRPr="00F060B6">
                          <w:rPr>
                            <w:rFonts w:ascii="Arial" w:hAnsi="Arial" w:cs="Arial"/>
                            <w:color w:val="000000"/>
                            <w:sz w:val="18"/>
                            <w:szCs w:val="18"/>
                            <w:lang w:val="en-AU"/>
                          </w:rPr>
                          <w:br/>
                          <w:t xml:space="preserve">However, it should be noted that not all principles would necessarily be appropriate for, or apply to, specific non-retail CIS which are not offered to the public and are not subject to approval/registration but instead are subject to specific rules under their national applicable law and regulation. </w:t>
                        </w:r>
                        <w:r w:rsidRPr="00F060B6">
                          <w:rPr>
                            <w:rFonts w:ascii="Arial" w:hAnsi="Arial" w:cs="Arial"/>
                            <w:color w:val="000000"/>
                            <w:sz w:val="18"/>
                            <w:szCs w:val="18"/>
                            <w:lang w:val="en-AU"/>
                          </w:rPr>
                          <w:br/>
                          <w:t> </w:t>
                        </w:r>
                        <w:r w:rsidRPr="00F060B6">
                          <w:rPr>
                            <w:rFonts w:ascii="Arial" w:hAnsi="Arial" w:cs="Arial"/>
                            <w:color w:val="000000"/>
                            <w:sz w:val="18"/>
                            <w:szCs w:val="18"/>
                            <w:lang w:val="en-AU"/>
                          </w:rPr>
                          <w:br/>
                          <w:t>Implementation of the principles may vary from jurisdiction to jurisdiction, depending on local conditions and circumstances.</w:t>
                        </w:r>
                        <w:r w:rsidRPr="00F060B6">
                          <w:rPr>
                            <w:rFonts w:ascii="Arial" w:hAnsi="Arial" w:cs="Arial"/>
                            <w:color w:val="000000"/>
                            <w:sz w:val="18"/>
                            <w:szCs w:val="18"/>
                            <w:lang w:val="en-AU"/>
                          </w:rPr>
                          <w:br/>
                          <w:t> </w:t>
                        </w:r>
                        <w:r w:rsidRPr="00F060B6">
                          <w:rPr>
                            <w:rFonts w:ascii="Arial" w:hAnsi="Arial" w:cs="Arial"/>
                            <w:color w:val="000000"/>
                            <w:sz w:val="18"/>
                            <w:szCs w:val="18"/>
                            <w:lang w:val="en-AU"/>
                          </w:rPr>
                          <w:br/>
                          <w:t xml:space="preserve">The final report is available on the </w:t>
                        </w:r>
                        <w:r w:rsidRPr="00F060B6">
                          <w:rPr>
                            <w:rFonts w:ascii="Arial" w:hAnsi="Arial" w:cs="Arial"/>
                            <w:color w:val="000000"/>
                            <w:sz w:val="18"/>
                            <w:szCs w:val="18"/>
                            <w:lang w:val="en-AU"/>
                          </w:rPr>
                          <w:fldChar w:fldCharType="begin"/>
                        </w:r>
                        <w:r w:rsidRPr="00F060B6">
                          <w:rPr>
                            <w:rFonts w:ascii="Arial" w:hAnsi="Arial" w:cs="Arial"/>
                            <w:color w:val="000000"/>
                            <w:sz w:val="18"/>
                            <w:szCs w:val="18"/>
                            <w:lang w:val="en-AU"/>
                          </w:rPr>
                          <w:instrText xml:space="preserve"> HYPERLINK "http://www.iosco.org/library/pubdocs/pdf/IOSCOPD367.pdf" \t "_new" </w:instrText>
                        </w:r>
                        <w:r w:rsidRPr="00F060B6">
                          <w:rPr>
                            <w:rFonts w:ascii="Arial" w:hAnsi="Arial" w:cs="Arial"/>
                            <w:color w:val="000000"/>
                            <w:sz w:val="18"/>
                            <w:szCs w:val="18"/>
                            <w:lang w:val="en-AU"/>
                          </w:rPr>
                        </w:r>
                        <w:r w:rsidRPr="00F060B6">
                          <w:rPr>
                            <w:rFonts w:ascii="Arial" w:hAnsi="Arial" w:cs="Arial"/>
                            <w:color w:val="000000"/>
                            <w:sz w:val="18"/>
                            <w:szCs w:val="18"/>
                            <w:lang w:val="en-AU"/>
                          </w:rPr>
                          <w:fldChar w:fldCharType="separate"/>
                        </w:r>
                        <w:r w:rsidRPr="00F060B6">
                          <w:rPr>
                            <w:rFonts w:ascii="Arial" w:hAnsi="Arial" w:cs="Arial"/>
                            <w:color w:val="0000FF"/>
                            <w:sz w:val="18"/>
                            <w:szCs w:val="18"/>
                            <w:u w:val="single"/>
                            <w:lang w:val="en-AU"/>
                          </w:rPr>
                          <w:t>IOSCO website</w:t>
                        </w:r>
                        <w:r w:rsidRPr="00F060B6">
                          <w:rPr>
                            <w:rFonts w:ascii="Arial" w:hAnsi="Arial" w:cs="Arial"/>
                            <w:color w:val="000000"/>
                            <w:sz w:val="18"/>
                            <w:szCs w:val="18"/>
                            <w:lang w:val="en-AU"/>
                          </w:rPr>
                          <w:fldChar w:fldCharType="end"/>
                        </w:r>
                        <w:r w:rsidRPr="00F060B6">
                          <w:rPr>
                            <w:rFonts w:ascii="Arial" w:hAnsi="Arial" w:cs="Arial"/>
                            <w:color w:val="000000"/>
                            <w:sz w:val="18"/>
                            <w:szCs w:val="18"/>
                            <w:lang w:val="en-AU"/>
                          </w:rPr>
                          <w:t>.</w:t>
                        </w:r>
                      </w:p>
                      <w:p w:rsidR="00F060B6" w:rsidRPr="00F060B6" w:rsidRDefault="00F060B6" w:rsidP="00F060B6">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1484" name="Picture 21484" descr="etailed Contents">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84" descr="etailed Contents"/>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060B6" w:rsidRPr="00F060B6" w:rsidRDefault="00F060B6" w:rsidP="00F060B6">
                        <w:pPr>
                          <w:jc w:val="center"/>
                          <w:rPr>
                            <w:rFonts w:ascii="Arial" w:eastAsia="Times New Roman" w:hAnsi="Arial" w:cs="Arial"/>
                            <w:color w:val="000000"/>
                            <w:sz w:val="18"/>
                            <w:szCs w:val="18"/>
                            <w:lang w:val="en-AU"/>
                          </w:rPr>
                        </w:pPr>
                        <w:r w:rsidRPr="00F060B6">
                          <w:rPr>
                            <w:rFonts w:ascii="Arial" w:eastAsia="Times New Roman" w:hAnsi="Arial" w:cs="Arial"/>
                            <w:color w:val="000000"/>
                            <w:sz w:val="18"/>
                            <w:szCs w:val="18"/>
                            <w:lang w:val="en-AU"/>
                          </w:rPr>
                          <w:pict>
                            <v:rect id="_x0000_i22509" style="width:415pt;height:2pt" o:hralign="center" o:hrstd="t" o:hr="t" fillcolor="#aaa" stroked="f"/>
                          </w:pict>
                        </w:r>
                      </w:p>
                      <w:p w:rsidR="00F060B6" w:rsidRPr="00F060B6" w:rsidRDefault="00F060B6" w:rsidP="00F060B6">
                        <w:pPr>
                          <w:spacing w:before="100" w:beforeAutospacing="1" w:after="100" w:afterAutospacing="1"/>
                          <w:rPr>
                            <w:rFonts w:ascii="Times" w:hAnsi="Times" w:cs="Times New Roman"/>
                            <w:sz w:val="20"/>
                            <w:szCs w:val="20"/>
                            <w:lang w:val="en-AU"/>
                          </w:rPr>
                        </w:pPr>
                        <w:bookmarkStart w:id="11" w:name="016"/>
                        <w:bookmarkEnd w:id="11"/>
                        <w:r w:rsidRPr="00F060B6">
                          <w:rPr>
                            <w:rFonts w:ascii="Arial" w:hAnsi="Arial" w:cs="Arial"/>
                            <w:b/>
                            <w:bCs/>
                            <w:color w:val="000000"/>
                            <w:sz w:val="18"/>
                            <w:szCs w:val="18"/>
                            <w:lang w:val="en-AU"/>
                          </w:rPr>
                          <w:t>1.6 SEC seeks public comment for financial literacy study mandated by Dodd-Frank Act</w:t>
                        </w:r>
                        <w:r w:rsidRPr="00F060B6">
                          <w:rPr>
                            <w:rFonts w:ascii="Arial" w:hAnsi="Arial" w:cs="Arial"/>
                            <w:color w:val="000000"/>
                            <w:sz w:val="18"/>
                            <w:szCs w:val="18"/>
                            <w:lang w:val="en-AU"/>
                          </w:rPr>
                          <w:br/>
                          <w:t> </w:t>
                        </w:r>
                        <w:r w:rsidRPr="00F060B6">
                          <w:rPr>
                            <w:rFonts w:ascii="Arial" w:hAnsi="Arial" w:cs="Arial"/>
                            <w:color w:val="000000"/>
                            <w:sz w:val="18"/>
                            <w:szCs w:val="18"/>
                            <w:lang w:val="en-AU"/>
                          </w:rPr>
                          <w:br/>
                          <w:t xml:space="preserve">On 18 January 2012, the US Securities and Exchange Commission announced a request for public comment on financial literacy and investor disclosure issues that it is studying as part of a review mandated by the Dodd-Frank Wall Street Reform and Consumer Protection Act.  </w:t>
                        </w:r>
                        <w:r w:rsidRPr="00F060B6">
                          <w:rPr>
                            <w:rFonts w:ascii="Arial" w:hAnsi="Arial" w:cs="Arial"/>
                            <w:color w:val="000000"/>
                            <w:sz w:val="18"/>
                            <w:szCs w:val="18"/>
                            <w:lang w:val="en-AU"/>
                          </w:rPr>
                          <w:br/>
                          <w:t> </w:t>
                        </w:r>
                        <w:r w:rsidRPr="00F060B6">
                          <w:rPr>
                            <w:rFonts w:ascii="Arial" w:hAnsi="Arial" w:cs="Arial"/>
                            <w:color w:val="000000"/>
                            <w:sz w:val="18"/>
                            <w:szCs w:val="18"/>
                            <w:lang w:val="en-AU"/>
                          </w:rPr>
                          <w:br/>
                          <w:t>Section 917 of the Dodd-Frank Act directs the SEC to conduct a study of retail investors' financial literacy and submit its findings to Congress by 21 July 2012. The SEC is using qualitative and quantitative research, including investor testing, to help inform the study.  To supplement its research, the SEC also is seeking public comment on financial literacy and investor disclosure issues.</w:t>
                        </w:r>
                      </w:p>
                      <w:p w:rsidR="00F060B6" w:rsidRPr="00F060B6" w:rsidRDefault="00F060B6" w:rsidP="00F060B6">
                        <w:pPr>
                          <w:spacing w:before="100" w:beforeAutospacing="1" w:after="100" w:afterAutospacing="1"/>
                          <w:rPr>
                            <w:rFonts w:ascii="Times" w:hAnsi="Times" w:cs="Times New Roman"/>
                            <w:sz w:val="20"/>
                            <w:szCs w:val="20"/>
                            <w:lang w:val="en-AU"/>
                          </w:rPr>
                        </w:pPr>
                        <w:r w:rsidRPr="00F060B6">
                          <w:rPr>
                            <w:rFonts w:ascii="Arial" w:hAnsi="Arial" w:cs="Arial"/>
                            <w:color w:val="000000"/>
                            <w:sz w:val="18"/>
                            <w:szCs w:val="18"/>
                            <w:lang w:val="en-AU"/>
                          </w:rPr>
                          <w:t>Consistent with the Dodd-Frank Act's specifications for the study, the SEC is seeking comment on methods to improve the timing, content, and format of disclosures to investors regarding financial intermediaries, investment products, and investment services.  It also requests comment on information that retail investors need to make informed financial decisions on hiring a financial intermediary or purchasing an investment product or service typically sold to retail investors, including mutual funds.  In addition, the SEC seeks comment on how to make investment expenses and conflicts of interest in investment transactions more transparent to investors.</w:t>
                        </w:r>
                      </w:p>
                      <w:p w:rsidR="00F060B6" w:rsidRPr="00F060B6" w:rsidRDefault="00F060B6" w:rsidP="00F060B6">
                        <w:pPr>
                          <w:spacing w:before="100" w:beforeAutospacing="1" w:after="100" w:afterAutospacing="1"/>
                          <w:rPr>
                            <w:rFonts w:ascii="Times" w:hAnsi="Times" w:cs="Times New Roman"/>
                            <w:sz w:val="20"/>
                            <w:szCs w:val="20"/>
                            <w:lang w:val="en-AU"/>
                          </w:rPr>
                        </w:pPr>
                        <w:r w:rsidRPr="00F060B6">
                          <w:rPr>
                            <w:rFonts w:ascii="Arial" w:hAnsi="Arial" w:cs="Arial"/>
                            <w:color w:val="000000"/>
                            <w:sz w:val="18"/>
                            <w:szCs w:val="18"/>
                            <w:lang w:val="en-AU"/>
                          </w:rPr>
                          <w:t xml:space="preserve">Further information is available on the </w:t>
                        </w:r>
                        <w:r w:rsidRPr="00F060B6">
                          <w:rPr>
                            <w:rFonts w:ascii="Arial" w:hAnsi="Arial" w:cs="Arial"/>
                            <w:color w:val="000000"/>
                            <w:sz w:val="18"/>
                            <w:szCs w:val="18"/>
                            <w:lang w:val="en-AU"/>
                          </w:rPr>
                          <w:fldChar w:fldCharType="begin"/>
                        </w:r>
                        <w:r w:rsidRPr="00F060B6">
                          <w:rPr>
                            <w:rFonts w:ascii="Arial" w:hAnsi="Arial" w:cs="Arial"/>
                            <w:color w:val="000000"/>
                            <w:sz w:val="18"/>
                            <w:szCs w:val="18"/>
                            <w:lang w:val="en-AU"/>
                          </w:rPr>
                          <w:instrText xml:space="preserve"> HYPERLINK "http://www.sec.gov/rules/other/2012/34-66164.pdf" \t "_new" </w:instrText>
                        </w:r>
                        <w:r w:rsidRPr="00F060B6">
                          <w:rPr>
                            <w:rFonts w:ascii="Arial" w:hAnsi="Arial" w:cs="Arial"/>
                            <w:color w:val="000000"/>
                            <w:sz w:val="18"/>
                            <w:szCs w:val="18"/>
                            <w:lang w:val="en-AU"/>
                          </w:rPr>
                        </w:r>
                        <w:r w:rsidRPr="00F060B6">
                          <w:rPr>
                            <w:rFonts w:ascii="Arial" w:hAnsi="Arial" w:cs="Arial"/>
                            <w:color w:val="000000"/>
                            <w:sz w:val="18"/>
                            <w:szCs w:val="18"/>
                            <w:lang w:val="en-AU"/>
                          </w:rPr>
                          <w:fldChar w:fldCharType="separate"/>
                        </w:r>
                        <w:r w:rsidRPr="00F060B6">
                          <w:rPr>
                            <w:rFonts w:ascii="Arial" w:hAnsi="Arial" w:cs="Arial"/>
                            <w:color w:val="0000FF"/>
                            <w:sz w:val="18"/>
                            <w:szCs w:val="18"/>
                            <w:u w:val="single"/>
                            <w:lang w:val="en-AU"/>
                          </w:rPr>
                          <w:t>SEC website</w:t>
                        </w:r>
                        <w:r w:rsidRPr="00F060B6">
                          <w:rPr>
                            <w:rFonts w:ascii="Arial" w:hAnsi="Arial" w:cs="Arial"/>
                            <w:color w:val="000000"/>
                            <w:sz w:val="18"/>
                            <w:szCs w:val="18"/>
                            <w:lang w:val="en-AU"/>
                          </w:rPr>
                          <w:fldChar w:fldCharType="end"/>
                        </w:r>
                        <w:r w:rsidRPr="00F060B6">
                          <w:rPr>
                            <w:rFonts w:ascii="Arial" w:hAnsi="Arial" w:cs="Arial"/>
                            <w:color w:val="000000"/>
                            <w:sz w:val="18"/>
                            <w:szCs w:val="18"/>
                            <w:lang w:val="en-AU"/>
                          </w:rPr>
                          <w:t>.</w:t>
                        </w:r>
                      </w:p>
                      <w:p w:rsidR="00F060B6" w:rsidRPr="00F060B6" w:rsidRDefault="00F060B6" w:rsidP="00F060B6">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1486" name="Picture 21486" descr="etailed Contents">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86" descr="etailed Contents"/>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060B6" w:rsidRPr="00F060B6" w:rsidRDefault="00F060B6" w:rsidP="00F060B6">
                        <w:pPr>
                          <w:jc w:val="center"/>
                          <w:rPr>
                            <w:rFonts w:ascii="Arial" w:eastAsia="Times New Roman" w:hAnsi="Arial" w:cs="Arial"/>
                            <w:color w:val="000000"/>
                            <w:sz w:val="18"/>
                            <w:szCs w:val="18"/>
                            <w:lang w:val="en-AU"/>
                          </w:rPr>
                        </w:pPr>
                        <w:r w:rsidRPr="00F060B6">
                          <w:rPr>
                            <w:rFonts w:ascii="Arial" w:eastAsia="Times New Roman" w:hAnsi="Arial" w:cs="Arial"/>
                            <w:color w:val="000000"/>
                            <w:sz w:val="18"/>
                            <w:szCs w:val="18"/>
                            <w:lang w:val="en-AU"/>
                          </w:rPr>
                          <w:pict>
                            <v:rect id="_x0000_i22511" style="width:415pt;height:2pt" o:hralign="center" o:hrstd="t" o:hr="t" fillcolor="#aaa" stroked="f"/>
                          </w:pict>
                        </w:r>
                      </w:p>
                      <w:p w:rsidR="00F060B6" w:rsidRPr="00F060B6" w:rsidRDefault="00F060B6" w:rsidP="00F060B6">
                        <w:pPr>
                          <w:spacing w:before="100" w:beforeAutospacing="1" w:after="100" w:afterAutospacing="1"/>
                          <w:rPr>
                            <w:rFonts w:ascii="Times" w:hAnsi="Times" w:cs="Times New Roman"/>
                            <w:sz w:val="20"/>
                            <w:szCs w:val="20"/>
                            <w:lang w:val="en-AU"/>
                          </w:rPr>
                        </w:pPr>
                        <w:bookmarkStart w:id="12" w:name="017"/>
                        <w:bookmarkEnd w:id="12"/>
                        <w:r w:rsidRPr="00F060B6">
                          <w:rPr>
                            <w:rFonts w:ascii="Arial" w:hAnsi="Arial" w:cs="Arial"/>
                            <w:b/>
                            <w:bCs/>
                            <w:color w:val="000000"/>
                            <w:sz w:val="18"/>
                            <w:szCs w:val="18"/>
                            <w:lang w:val="en-AU"/>
                          </w:rPr>
                          <w:t>1.7 CPSS-IOSCO final report on requirements for OTC derivatives data reporting and aggregation</w:t>
                        </w:r>
                        <w:r w:rsidRPr="00F060B6">
                          <w:rPr>
                            <w:rFonts w:ascii="Arial" w:hAnsi="Arial" w:cs="Arial"/>
                            <w:color w:val="000000"/>
                            <w:sz w:val="18"/>
                            <w:szCs w:val="18"/>
                            <w:lang w:val="en-AU"/>
                          </w:rPr>
                          <w:br/>
                          <w:t> </w:t>
                        </w:r>
                        <w:r w:rsidRPr="00F060B6">
                          <w:rPr>
                            <w:rFonts w:ascii="Arial" w:hAnsi="Arial" w:cs="Arial"/>
                            <w:color w:val="000000"/>
                            <w:sz w:val="18"/>
                            <w:szCs w:val="18"/>
                            <w:lang w:val="en-AU"/>
                          </w:rPr>
                          <w:br/>
                          <w:t xml:space="preserve">On 17 January 2012, the Committee on Payment and Settlement Systems (CPSS) and the Technical Committee of the International Organization of Securities Commissions (IOSCO) released their final report on the OTC derivatives data that should be collected, stored and disseminated by trade repositories (TRs). </w:t>
                        </w:r>
                        <w:r w:rsidRPr="00F060B6">
                          <w:rPr>
                            <w:rFonts w:ascii="Arial" w:hAnsi="Arial" w:cs="Arial"/>
                            <w:color w:val="000000"/>
                            <w:sz w:val="18"/>
                            <w:szCs w:val="18"/>
                            <w:lang w:val="en-AU"/>
                          </w:rPr>
                          <w:br/>
                          <w:t> </w:t>
                        </w:r>
                        <w:r w:rsidRPr="00F060B6">
                          <w:rPr>
                            <w:rFonts w:ascii="Arial" w:hAnsi="Arial" w:cs="Arial"/>
                            <w:color w:val="000000"/>
                            <w:sz w:val="18"/>
                            <w:szCs w:val="18"/>
                            <w:lang w:val="en-AU"/>
                          </w:rPr>
                          <w:br/>
                          <w:t xml:space="preserve">The report addresses Recommendation 19 in the October 2010 report of the Financial Stability Board, 'Implementing OTC derivatives market reforms', which called on the CPSS and IOSCO to consult with the authorities and the OTC Derivatives Regulators Forum in developing: </w:t>
                        </w:r>
                      </w:p>
                      <w:p w:rsidR="00F060B6" w:rsidRPr="00F060B6" w:rsidRDefault="00F060B6" w:rsidP="00F060B6">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060B6">
                          <w:rPr>
                            <w:rFonts w:ascii="Arial" w:eastAsia="Times New Roman" w:hAnsi="Arial" w:cs="Arial"/>
                            <w:color w:val="000000"/>
                            <w:sz w:val="18"/>
                            <w:szCs w:val="18"/>
                            <w:lang w:val="en-AU"/>
                          </w:rPr>
                          <w:t xml:space="preserve"> minimum data reporting requirements and standardized formats, and </w:t>
                        </w:r>
                      </w:p>
                      <w:p w:rsidR="00F060B6" w:rsidRPr="00F060B6" w:rsidRDefault="00F060B6" w:rsidP="00F060B6">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060B6">
                          <w:rPr>
                            <w:rFonts w:ascii="Arial" w:eastAsia="Times New Roman" w:hAnsi="Arial" w:cs="Arial"/>
                            <w:color w:val="000000"/>
                            <w:sz w:val="18"/>
                            <w:szCs w:val="18"/>
                            <w:lang w:val="en-AU"/>
                          </w:rPr>
                          <w:t xml:space="preserve"> the methodology and mechanism for data aggregation on a global basis. </w:t>
                        </w:r>
                      </w:p>
                      <w:p w:rsidR="00F060B6" w:rsidRPr="00F060B6" w:rsidRDefault="00F060B6" w:rsidP="00F060B6">
                        <w:pPr>
                          <w:spacing w:before="100" w:beforeAutospacing="1" w:after="100" w:afterAutospacing="1"/>
                          <w:rPr>
                            <w:rFonts w:ascii="Times" w:hAnsi="Times" w:cs="Times New Roman"/>
                            <w:sz w:val="20"/>
                            <w:szCs w:val="20"/>
                            <w:lang w:val="en-AU"/>
                          </w:rPr>
                        </w:pPr>
                        <w:r w:rsidRPr="00F060B6">
                          <w:rPr>
                            <w:rFonts w:ascii="Arial" w:hAnsi="Arial" w:cs="Arial"/>
                            <w:color w:val="000000"/>
                            <w:sz w:val="18"/>
                            <w:szCs w:val="18"/>
                            <w:lang w:val="en-AU"/>
                          </w:rPr>
                          <w:t>The requirements and data formats will apply both to market participants reporting to TRs and to TRs reporting to the public and to regulators. The report also finds that certain information currently not supported by TRs would be helpful in assessing systemic risk and financial stability, and discusses options for bridging these gaps.</w:t>
                        </w:r>
                        <w:r w:rsidRPr="00F060B6">
                          <w:rPr>
                            <w:rFonts w:ascii="Arial" w:hAnsi="Arial" w:cs="Arial"/>
                            <w:color w:val="000000"/>
                            <w:sz w:val="18"/>
                            <w:szCs w:val="18"/>
                            <w:lang w:val="en-AU"/>
                          </w:rPr>
                          <w:br/>
                          <w:t> </w:t>
                        </w:r>
                        <w:r w:rsidRPr="00F060B6">
                          <w:rPr>
                            <w:rFonts w:ascii="Arial" w:hAnsi="Arial" w:cs="Arial"/>
                            <w:color w:val="000000"/>
                            <w:sz w:val="18"/>
                            <w:szCs w:val="18"/>
                            <w:lang w:val="en-AU"/>
                          </w:rPr>
                          <w:br/>
                          <w:t>Issues relating to data access for the authorities and reporting entities are discussed, including methods and tools that could provide the authorities with better access to data. Public dissemination of data, it is noted, promotes the understanding of OTC derivatives markets by all stakeholders, underpins investor protection, and facilitates the exercise of market discipline.   The report also covers the mechanisms and tools that the authorities will need for the purpose of aggregating OTC derivatives data.</w:t>
                        </w:r>
                        <w:r w:rsidRPr="00F060B6">
                          <w:rPr>
                            <w:rFonts w:ascii="Arial" w:hAnsi="Arial" w:cs="Arial"/>
                            <w:color w:val="000000"/>
                            <w:sz w:val="18"/>
                            <w:szCs w:val="18"/>
                            <w:lang w:val="en-AU"/>
                          </w:rPr>
                          <w:br/>
                          <w:t> </w:t>
                        </w:r>
                        <w:r w:rsidRPr="00F060B6">
                          <w:rPr>
                            <w:rFonts w:ascii="Arial" w:hAnsi="Arial" w:cs="Arial"/>
                            <w:color w:val="000000"/>
                            <w:sz w:val="18"/>
                            <w:szCs w:val="18"/>
                            <w:lang w:val="en-AU"/>
                          </w:rPr>
                          <w:br/>
                          <w:t xml:space="preserve">The committees support the view that TRs, by collecting such data centrally, would provide authorities and the public with better and more timely information on OTC derivatives.  This would make markets more transparent, help to prevent market abuse, and promote financial stability. </w:t>
                        </w:r>
                        <w:r w:rsidRPr="00F060B6">
                          <w:rPr>
                            <w:rFonts w:ascii="Arial" w:hAnsi="Arial" w:cs="Arial"/>
                            <w:color w:val="000000"/>
                            <w:sz w:val="18"/>
                            <w:szCs w:val="18"/>
                            <w:lang w:val="en-AU"/>
                          </w:rPr>
                          <w:br/>
                          <w:t> </w:t>
                        </w:r>
                        <w:r w:rsidRPr="00F060B6">
                          <w:rPr>
                            <w:rFonts w:ascii="Arial" w:hAnsi="Arial" w:cs="Arial"/>
                            <w:color w:val="000000"/>
                            <w:sz w:val="18"/>
                            <w:szCs w:val="18"/>
                            <w:lang w:val="en-AU"/>
                          </w:rPr>
                          <w:br/>
                          <w:t>The report indicates that some questions remain regarding how best to address current data gaps and define authorities' access to TRs.  As requested by the G20, two internationally coordinated working groups will address these questions in the coming year.  The FSB will establish an ad hoc group of experts to further consider means of filling current data gaps, while the CPSS and IOSCO will establish a joint group to examine authorities' access to trade repositories.</w:t>
                        </w:r>
                        <w:r w:rsidRPr="00F060B6">
                          <w:rPr>
                            <w:rFonts w:ascii="Arial" w:hAnsi="Arial" w:cs="Arial"/>
                            <w:color w:val="000000"/>
                            <w:sz w:val="18"/>
                            <w:szCs w:val="18"/>
                            <w:lang w:val="en-AU"/>
                          </w:rPr>
                          <w:br/>
                          <w:t> </w:t>
                        </w:r>
                        <w:r w:rsidRPr="00F060B6">
                          <w:rPr>
                            <w:rFonts w:ascii="Arial" w:hAnsi="Arial" w:cs="Arial"/>
                            <w:color w:val="000000"/>
                            <w:sz w:val="18"/>
                            <w:szCs w:val="18"/>
                            <w:lang w:val="en-AU"/>
                          </w:rPr>
                          <w:br/>
                          <w:t xml:space="preserve">The final report is available on the </w:t>
                        </w:r>
                        <w:r w:rsidRPr="00F060B6">
                          <w:rPr>
                            <w:rFonts w:ascii="Arial" w:hAnsi="Arial" w:cs="Arial"/>
                            <w:color w:val="000000"/>
                            <w:sz w:val="18"/>
                            <w:szCs w:val="18"/>
                            <w:lang w:val="en-AU"/>
                          </w:rPr>
                          <w:fldChar w:fldCharType="begin"/>
                        </w:r>
                        <w:r w:rsidRPr="00F060B6">
                          <w:rPr>
                            <w:rFonts w:ascii="Arial" w:hAnsi="Arial" w:cs="Arial"/>
                            <w:color w:val="000000"/>
                            <w:sz w:val="18"/>
                            <w:szCs w:val="18"/>
                            <w:lang w:val="en-AU"/>
                          </w:rPr>
                          <w:instrText xml:space="preserve"> HYPERLINK "http://www.iosco.org/library/pubdocs/pdf/IOSCOPD366.pdf" \t "_new" </w:instrText>
                        </w:r>
                        <w:r w:rsidRPr="00F060B6">
                          <w:rPr>
                            <w:rFonts w:ascii="Arial" w:hAnsi="Arial" w:cs="Arial"/>
                            <w:color w:val="000000"/>
                            <w:sz w:val="18"/>
                            <w:szCs w:val="18"/>
                            <w:lang w:val="en-AU"/>
                          </w:rPr>
                        </w:r>
                        <w:r w:rsidRPr="00F060B6">
                          <w:rPr>
                            <w:rFonts w:ascii="Arial" w:hAnsi="Arial" w:cs="Arial"/>
                            <w:color w:val="000000"/>
                            <w:sz w:val="18"/>
                            <w:szCs w:val="18"/>
                            <w:lang w:val="en-AU"/>
                          </w:rPr>
                          <w:fldChar w:fldCharType="separate"/>
                        </w:r>
                        <w:r w:rsidRPr="00F060B6">
                          <w:rPr>
                            <w:rFonts w:ascii="Arial" w:hAnsi="Arial" w:cs="Arial"/>
                            <w:color w:val="0000FF"/>
                            <w:sz w:val="18"/>
                            <w:szCs w:val="18"/>
                            <w:u w:val="single"/>
                            <w:lang w:val="en-AU"/>
                          </w:rPr>
                          <w:t>IOSCO website</w:t>
                        </w:r>
                        <w:r w:rsidRPr="00F060B6">
                          <w:rPr>
                            <w:rFonts w:ascii="Arial" w:hAnsi="Arial" w:cs="Arial"/>
                            <w:color w:val="000000"/>
                            <w:sz w:val="18"/>
                            <w:szCs w:val="18"/>
                            <w:lang w:val="en-AU"/>
                          </w:rPr>
                          <w:fldChar w:fldCharType="end"/>
                        </w:r>
                        <w:r w:rsidRPr="00F060B6">
                          <w:rPr>
                            <w:rFonts w:ascii="Arial" w:hAnsi="Arial" w:cs="Arial"/>
                            <w:color w:val="000000"/>
                            <w:sz w:val="18"/>
                            <w:szCs w:val="18"/>
                            <w:lang w:val="en-AU"/>
                          </w:rPr>
                          <w:t>.</w:t>
                        </w:r>
                      </w:p>
                      <w:p w:rsidR="00F060B6" w:rsidRPr="00F060B6" w:rsidRDefault="00F060B6" w:rsidP="00F060B6">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1488" name="Picture 21488" descr="etailed Contents">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88" descr="etailed Contents"/>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060B6" w:rsidRPr="00F060B6" w:rsidRDefault="00F060B6" w:rsidP="00F060B6">
                        <w:pPr>
                          <w:jc w:val="center"/>
                          <w:rPr>
                            <w:rFonts w:ascii="Arial" w:eastAsia="Times New Roman" w:hAnsi="Arial" w:cs="Arial"/>
                            <w:color w:val="000000"/>
                            <w:sz w:val="18"/>
                            <w:szCs w:val="18"/>
                            <w:lang w:val="en-AU"/>
                          </w:rPr>
                        </w:pPr>
                        <w:r w:rsidRPr="00F060B6">
                          <w:rPr>
                            <w:rFonts w:ascii="Arial" w:eastAsia="Times New Roman" w:hAnsi="Arial" w:cs="Arial"/>
                            <w:color w:val="000000"/>
                            <w:sz w:val="18"/>
                            <w:szCs w:val="18"/>
                            <w:lang w:val="en-AU"/>
                          </w:rPr>
                          <w:pict>
                            <v:rect id="_x0000_i22513" style="width:415pt;height:2pt" o:hralign="center" o:hrstd="t" o:hr="t" fillcolor="#aaa" stroked="f"/>
                          </w:pict>
                        </w:r>
                      </w:p>
                      <w:p w:rsidR="00F060B6" w:rsidRPr="00F060B6" w:rsidRDefault="00F060B6" w:rsidP="00F060B6">
                        <w:pPr>
                          <w:spacing w:before="100" w:beforeAutospacing="1" w:after="100" w:afterAutospacing="1"/>
                          <w:rPr>
                            <w:rFonts w:ascii="Times" w:hAnsi="Times" w:cs="Times New Roman"/>
                            <w:sz w:val="20"/>
                            <w:szCs w:val="20"/>
                            <w:lang w:val="en-AU"/>
                          </w:rPr>
                        </w:pPr>
                        <w:bookmarkStart w:id="13" w:name="018"/>
                        <w:bookmarkEnd w:id="13"/>
                        <w:r w:rsidRPr="00F060B6">
                          <w:rPr>
                            <w:rFonts w:ascii="Arial" w:hAnsi="Arial" w:cs="Arial"/>
                            <w:b/>
                            <w:bCs/>
                            <w:color w:val="000000"/>
                            <w:sz w:val="18"/>
                            <w:szCs w:val="18"/>
                            <w:lang w:val="en-AU"/>
                          </w:rPr>
                          <w:t xml:space="preserve">1.8 ECGI conference on 'Corporate Governance After the Crisis'  </w:t>
                        </w:r>
                        <w:r w:rsidRPr="00F060B6">
                          <w:rPr>
                            <w:rFonts w:ascii="Arial" w:hAnsi="Arial" w:cs="Arial"/>
                            <w:color w:val="000000"/>
                            <w:sz w:val="18"/>
                            <w:szCs w:val="18"/>
                            <w:lang w:val="en-AU"/>
                          </w:rPr>
                          <w:br/>
                          <w:t> </w:t>
                        </w:r>
                        <w:r w:rsidRPr="00F060B6">
                          <w:rPr>
                            <w:rFonts w:ascii="Arial" w:hAnsi="Arial" w:cs="Arial"/>
                            <w:color w:val="000000"/>
                            <w:sz w:val="18"/>
                            <w:szCs w:val="18"/>
                            <w:lang w:val="en-AU"/>
                          </w:rPr>
                          <w:br/>
                          <w:t>On 13-14 January 2012, the European Corporate Governance Institute, in conjunction with Columbia Law School, the Faculty of Law at the University of Oxford and the University of Oxford's Saïd Business School, held an academic conference entitled 'Corporate Governance After the Crisis'.  </w:t>
                        </w:r>
                        <w:r w:rsidRPr="00F060B6">
                          <w:rPr>
                            <w:rFonts w:ascii="Arial" w:hAnsi="Arial" w:cs="Arial"/>
                            <w:color w:val="000000"/>
                            <w:sz w:val="18"/>
                            <w:szCs w:val="18"/>
                            <w:lang w:val="en-AU"/>
                          </w:rPr>
                          <w:br/>
                          <w:t> </w:t>
                        </w:r>
                        <w:r w:rsidRPr="00F060B6">
                          <w:rPr>
                            <w:rFonts w:ascii="Arial" w:hAnsi="Arial" w:cs="Arial"/>
                            <w:color w:val="000000"/>
                            <w:sz w:val="18"/>
                            <w:szCs w:val="18"/>
                            <w:lang w:val="en-AU"/>
                          </w:rPr>
                          <w:br/>
                          <w:t xml:space="preserve">The conference sought to identify a series of key questions arising out of the global financial crisis, which were as follows: </w:t>
                        </w:r>
                        <w:r w:rsidRPr="00F060B6">
                          <w:rPr>
                            <w:rFonts w:ascii="Arial" w:hAnsi="Arial" w:cs="Arial"/>
                            <w:color w:val="000000"/>
                            <w:sz w:val="18"/>
                            <w:szCs w:val="18"/>
                            <w:lang w:val="en-AU"/>
                          </w:rPr>
                          <w:br/>
                          <w:t> </w:t>
                        </w:r>
                        <w:r w:rsidRPr="00F060B6">
                          <w:rPr>
                            <w:rFonts w:ascii="Arial" w:hAnsi="Arial" w:cs="Arial"/>
                            <w:color w:val="000000"/>
                            <w:sz w:val="18"/>
                            <w:szCs w:val="18"/>
                            <w:lang w:val="en-AU"/>
                          </w:rPr>
                          <w:br/>
                          <w:t xml:space="preserve">(i) Are banks different? </w:t>
                        </w:r>
                        <w:r w:rsidRPr="00F060B6">
                          <w:rPr>
                            <w:rFonts w:ascii="Arial" w:hAnsi="Arial" w:cs="Arial"/>
                            <w:color w:val="000000"/>
                            <w:sz w:val="18"/>
                            <w:szCs w:val="18"/>
                            <w:lang w:val="en-AU"/>
                          </w:rPr>
                          <w:br/>
                        </w:r>
                        <w:r w:rsidRPr="00F060B6">
                          <w:rPr>
                            <w:rFonts w:ascii="Arial" w:hAnsi="Arial" w:cs="Arial"/>
                            <w:color w:val="000000"/>
                            <w:sz w:val="18"/>
                            <w:szCs w:val="18"/>
                            <w:lang w:val="en-AU"/>
                          </w:rPr>
                          <w:br/>
                          <w:t>(ii) Lessons for the governance of financial and non-financial firms</w:t>
                        </w:r>
                        <w:r w:rsidRPr="00F060B6">
                          <w:rPr>
                            <w:rFonts w:ascii="Arial" w:hAnsi="Arial" w:cs="Arial"/>
                            <w:color w:val="000000"/>
                            <w:sz w:val="18"/>
                            <w:szCs w:val="18"/>
                            <w:lang w:val="en-AU"/>
                          </w:rPr>
                          <w:br/>
                        </w:r>
                        <w:r w:rsidRPr="00F060B6">
                          <w:rPr>
                            <w:rFonts w:ascii="Arial" w:hAnsi="Arial" w:cs="Arial"/>
                            <w:color w:val="000000"/>
                            <w:sz w:val="18"/>
                            <w:szCs w:val="18"/>
                            <w:lang w:val="en-AU"/>
                          </w:rPr>
                          <w:br/>
                          <w:t>(iii) Systemic effects of regulation</w:t>
                        </w:r>
                        <w:r w:rsidRPr="00F060B6">
                          <w:rPr>
                            <w:rFonts w:ascii="Arial" w:hAnsi="Arial" w:cs="Arial"/>
                            <w:color w:val="000000"/>
                            <w:sz w:val="18"/>
                            <w:szCs w:val="18"/>
                            <w:lang w:val="en-AU"/>
                          </w:rPr>
                          <w:br/>
                        </w:r>
                        <w:r w:rsidRPr="00F060B6">
                          <w:rPr>
                            <w:rFonts w:ascii="Arial" w:hAnsi="Arial" w:cs="Arial"/>
                            <w:color w:val="000000"/>
                            <w:sz w:val="18"/>
                            <w:szCs w:val="18"/>
                            <w:lang w:val="en-AU"/>
                          </w:rPr>
                          <w:br/>
                          <w:t>(iv) Shareholder behaviour and goals</w:t>
                        </w:r>
                        <w:r w:rsidRPr="00F060B6">
                          <w:rPr>
                            <w:rFonts w:ascii="Arial" w:hAnsi="Arial" w:cs="Arial"/>
                            <w:color w:val="000000"/>
                            <w:sz w:val="18"/>
                            <w:szCs w:val="18"/>
                            <w:lang w:val="en-AU"/>
                          </w:rPr>
                          <w:br/>
                        </w:r>
                        <w:r w:rsidRPr="00F060B6">
                          <w:rPr>
                            <w:rFonts w:ascii="Arial" w:hAnsi="Arial" w:cs="Arial"/>
                            <w:color w:val="000000"/>
                            <w:sz w:val="18"/>
                            <w:szCs w:val="18"/>
                            <w:lang w:val="en-AU"/>
                          </w:rPr>
                          <w:br/>
                          <w:t>(v) Alternative models of corporate governance.</w:t>
                        </w:r>
                        <w:r w:rsidRPr="00F060B6">
                          <w:rPr>
                            <w:rFonts w:ascii="Arial" w:hAnsi="Arial" w:cs="Arial"/>
                            <w:color w:val="000000"/>
                            <w:sz w:val="18"/>
                            <w:szCs w:val="18"/>
                            <w:lang w:val="en-AU"/>
                          </w:rPr>
                          <w:br/>
                          <w:t> </w:t>
                        </w:r>
                        <w:r w:rsidRPr="00F060B6">
                          <w:rPr>
                            <w:rFonts w:ascii="Arial" w:hAnsi="Arial" w:cs="Arial"/>
                            <w:color w:val="000000"/>
                            <w:sz w:val="18"/>
                            <w:szCs w:val="18"/>
                            <w:lang w:val="en-AU"/>
                          </w:rPr>
                          <w:br/>
                          <w:t xml:space="preserve">Some of the papers presented at the conference have been made publicly available on the </w:t>
                        </w:r>
                        <w:r w:rsidRPr="00F060B6">
                          <w:rPr>
                            <w:rFonts w:ascii="Arial" w:hAnsi="Arial" w:cs="Arial"/>
                            <w:color w:val="000000"/>
                            <w:sz w:val="18"/>
                            <w:szCs w:val="18"/>
                            <w:lang w:val="en-AU"/>
                          </w:rPr>
                          <w:fldChar w:fldCharType="begin"/>
                        </w:r>
                        <w:r w:rsidRPr="00F060B6">
                          <w:rPr>
                            <w:rFonts w:ascii="Arial" w:hAnsi="Arial" w:cs="Arial"/>
                            <w:color w:val="000000"/>
                            <w:sz w:val="18"/>
                            <w:szCs w:val="18"/>
                            <w:lang w:val="en-AU"/>
                          </w:rPr>
                          <w:instrText xml:space="preserve"> HYPERLINK "http://www.ecgi.org/ceo/2012/index.php" \t "_new" </w:instrText>
                        </w:r>
                        <w:r w:rsidRPr="00F060B6">
                          <w:rPr>
                            <w:rFonts w:ascii="Arial" w:hAnsi="Arial" w:cs="Arial"/>
                            <w:color w:val="000000"/>
                            <w:sz w:val="18"/>
                            <w:szCs w:val="18"/>
                            <w:lang w:val="en-AU"/>
                          </w:rPr>
                        </w:r>
                        <w:r w:rsidRPr="00F060B6">
                          <w:rPr>
                            <w:rFonts w:ascii="Arial" w:hAnsi="Arial" w:cs="Arial"/>
                            <w:color w:val="000000"/>
                            <w:sz w:val="18"/>
                            <w:szCs w:val="18"/>
                            <w:lang w:val="en-AU"/>
                          </w:rPr>
                          <w:fldChar w:fldCharType="separate"/>
                        </w:r>
                        <w:r w:rsidRPr="00F060B6">
                          <w:rPr>
                            <w:rFonts w:ascii="Arial" w:hAnsi="Arial" w:cs="Arial"/>
                            <w:color w:val="0000FF"/>
                            <w:sz w:val="18"/>
                            <w:szCs w:val="18"/>
                            <w:u w:val="single"/>
                            <w:lang w:val="en-AU"/>
                          </w:rPr>
                          <w:t>ECGI website</w:t>
                        </w:r>
                        <w:r w:rsidRPr="00F060B6">
                          <w:rPr>
                            <w:rFonts w:ascii="Arial" w:hAnsi="Arial" w:cs="Arial"/>
                            <w:color w:val="000000"/>
                            <w:sz w:val="18"/>
                            <w:szCs w:val="18"/>
                            <w:lang w:val="en-AU"/>
                          </w:rPr>
                          <w:fldChar w:fldCharType="end"/>
                        </w:r>
                        <w:r w:rsidRPr="00F060B6">
                          <w:rPr>
                            <w:rFonts w:ascii="Arial" w:hAnsi="Arial" w:cs="Arial"/>
                            <w:color w:val="000000"/>
                            <w:sz w:val="18"/>
                            <w:szCs w:val="18"/>
                            <w:lang w:val="en-AU"/>
                          </w:rPr>
                          <w:t>.</w:t>
                        </w:r>
                      </w:p>
                      <w:p w:rsidR="00F060B6" w:rsidRPr="00F060B6" w:rsidRDefault="00F060B6" w:rsidP="00F060B6">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1490" name="Picture 21490" descr="etailed Contents">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90" descr="etailed Contents"/>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060B6" w:rsidRPr="00F060B6" w:rsidRDefault="00F060B6" w:rsidP="00F060B6">
                        <w:pPr>
                          <w:jc w:val="center"/>
                          <w:rPr>
                            <w:rFonts w:ascii="Arial" w:eastAsia="Times New Roman" w:hAnsi="Arial" w:cs="Arial"/>
                            <w:color w:val="000000"/>
                            <w:sz w:val="18"/>
                            <w:szCs w:val="18"/>
                            <w:lang w:val="en-AU"/>
                          </w:rPr>
                        </w:pPr>
                        <w:r w:rsidRPr="00F060B6">
                          <w:rPr>
                            <w:rFonts w:ascii="Arial" w:eastAsia="Times New Roman" w:hAnsi="Arial" w:cs="Arial"/>
                            <w:color w:val="000000"/>
                            <w:sz w:val="18"/>
                            <w:szCs w:val="18"/>
                            <w:lang w:val="en-AU"/>
                          </w:rPr>
                          <w:pict>
                            <v:rect id="_x0000_i22515" style="width:415pt;height:2pt" o:hralign="center" o:hrstd="t" o:hr="t" fillcolor="#aaa" stroked="f"/>
                          </w:pict>
                        </w:r>
                      </w:p>
                      <w:p w:rsidR="00F060B6" w:rsidRPr="00F060B6" w:rsidRDefault="00F060B6" w:rsidP="00F060B6">
                        <w:pPr>
                          <w:spacing w:before="100" w:beforeAutospacing="1" w:after="100" w:afterAutospacing="1"/>
                          <w:rPr>
                            <w:rFonts w:ascii="Times" w:hAnsi="Times" w:cs="Times New Roman"/>
                            <w:sz w:val="20"/>
                            <w:szCs w:val="20"/>
                            <w:lang w:val="en-AU"/>
                          </w:rPr>
                        </w:pPr>
                        <w:bookmarkStart w:id="14" w:name="019"/>
                        <w:bookmarkEnd w:id="14"/>
                        <w:r w:rsidRPr="00F060B6">
                          <w:rPr>
                            <w:rFonts w:ascii="Arial" w:hAnsi="Arial" w:cs="Arial"/>
                            <w:b/>
                            <w:bCs/>
                            <w:color w:val="000000"/>
                            <w:sz w:val="18"/>
                            <w:szCs w:val="18"/>
                            <w:lang w:val="en-AU"/>
                          </w:rPr>
                          <w:t>1.9 ESMA first credit rating agency annual report</w:t>
                        </w:r>
                        <w:r w:rsidRPr="00F060B6">
                          <w:rPr>
                            <w:rFonts w:ascii="Arial" w:hAnsi="Arial" w:cs="Arial"/>
                            <w:color w:val="000000"/>
                            <w:sz w:val="18"/>
                            <w:szCs w:val="18"/>
                            <w:lang w:val="en-AU"/>
                          </w:rPr>
                          <w:br/>
                          <w:t> </w:t>
                        </w:r>
                        <w:r w:rsidRPr="00F060B6">
                          <w:rPr>
                            <w:rFonts w:ascii="Arial" w:hAnsi="Arial" w:cs="Arial"/>
                            <w:color w:val="000000"/>
                            <w:sz w:val="18"/>
                            <w:szCs w:val="18"/>
                            <w:lang w:val="en-AU"/>
                          </w:rPr>
                          <w:br/>
                          <w:t>On 13 January 2012, the European Securities and Markets Authority (ESMA) published its first annual report in respect of its supervision of credit rating agencies.  Since 1 July 2011, ESMA has had the exclusive responsibility for the registration and supervision of credit rating agencies in the EU.</w:t>
                        </w:r>
                        <w:r w:rsidRPr="00F060B6">
                          <w:rPr>
                            <w:rFonts w:ascii="Arial" w:hAnsi="Arial" w:cs="Arial"/>
                            <w:color w:val="000000"/>
                            <w:sz w:val="18"/>
                            <w:szCs w:val="18"/>
                            <w:lang w:val="en-AU"/>
                          </w:rPr>
                          <w:br/>
                          <w:t> </w:t>
                        </w:r>
                        <w:r w:rsidRPr="00F060B6">
                          <w:rPr>
                            <w:rFonts w:ascii="Arial" w:hAnsi="Arial" w:cs="Arial"/>
                            <w:color w:val="000000"/>
                            <w:sz w:val="18"/>
                            <w:szCs w:val="18"/>
                            <w:lang w:val="en-AU"/>
                          </w:rPr>
                          <w:br/>
                          <w:t xml:space="preserve">The report summarizes the work carried out by national competent authorities (NCAs) and ESMA during the registration process and presents the supervisory actions that ESMA has undertaken in the course of 2011 in order to ensure that registered CRAs comply with the standards established in the relevant EU Regulation. </w:t>
                        </w:r>
                        <w:r w:rsidRPr="00F060B6">
                          <w:rPr>
                            <w:rFonts w:ascii="Arial" w:hAnsi="Arial" w:cs="Arial"/>
                            <w:color w:val="000000"/>
                            <w:sz w:val="18"/>
                            <w:szCs w:val="18"/>
                            <w:lang w:val="en-AU"/>
                          </w:rPr>
                          <w:br/>
                          <w:t> </w:t>
                        </w:r>
                        <w:r w:rsidRPr="00F060B6">
                          <w:rPr>
                            <w:rFonts w:ascii="Arial" w:hAnsi="Arial" w:cs="Arial"/>
                            <w:color w:val="000000"/>
                            <w:sz w:val="18"/>
                            <w:szCs w:val="18"/>
                            <w:lang w:val="en-AU"/>
                          </w:rPr>
                          <w:br/>
                          <w:t xml:space="preserve">Following the applications for registration by CRAs, the NCAs ensure that CRAs are compliant with the integrity, transparency, good governance, independence and quality standards spelled out in the EU Regulation before adopting any positive registration decision. </w:t>
                        </w:r>
                        <w:r w:rsidRPr="00F060B6">
                          <w:rPr>
                            <w:rFonts w:ascii="Arial" w:hAnsi="Arial" w:cs="Arial"/>
                            <w:color w:val="000000"/>
                            <w:sz w:val="18"/>
                            <w:szCs w:val="18"/>
                            <w:lang w:val="en-AU"/>
                          </w:rPr>
                          <w:br/>
                          <w:t> </w:t>
                        </w:r>
                        <w:r w:rsidRPr="00F060B6">
                          <w:rPr>
                            <w:rFonts w:ascii="Arial" w:hAnsi="Arial" w:cs="Arial"/>
                            <w:color w:val="000000"/>
                            <w:sz w:val="18"/>
                            <w:szCs w:val="18"/>
                            <w:lang w:val="en-AU"/>
                          </w:rPr>
                          <w:br/>
                          <w:t>The report also informs on other policy activities carried out by ESMA under the EU Regulation during the same period.</w:t>
                        </w:r>
                        <w:r w:rsidRPr="00F060B6">
                          <w:rPr>
                            <w:rFonts w:ascii="Arial" w:hAnsi="Arial" w:cs="Arial"/>
                            <w:color w:val="000000"/>
                            <w:sz w:val="18"/>
                            <w:szCs w:val="18"/>
                            <w:lang w:val="en-AU"/>
                          </w:rPr>
                          <w:br/>
                          <w:t> </w:t>
                        </w:r>
                        <w:r w:rsidRPr="00F060B6">
                          <w:rPr>
                            <w:rFonts w:ascii="Arial" w:hAnsi="Arial" w:cs="Arial"/>
                            <w:color w:val="000000"/>
                            <w:sz w:val="18"/>
                            <w:szCs w:val="18"/>
                            <w:lang w:val="en-AU"/>
                          </w:rPr>
                          <w:br/>
                          <w:t xml:space="preserve">ESMA's annual report on CRAs is available on the </w:t>
                        </w:r>
                        <w:r w:rsidRPr="00F060B6">
                          <w:rPr>
                            <w:rFonts w:ascii="Arial" w:hAnsi="Arial" w:cs="Arial"/>
                            <w:color w:val="000000"/>
                            <w:sz w:val="18"/>
                            <w:szCs w:val="18"/>
                            <w:lang w:val="en-AU"/>
                          </w:rPr>
                          <w:fldChar w:fldCharType="begin"/>
                        </w:r>
                        <w:r w:rsidRPr="00F060B6">
                          <w:rPr>
                            <w:rFonts w:ascii="Arial" w:hAnsi="Arial" w:cs="Arial"/>
                            <w:color w:val="000000"/>
                            <w:sz w:val="18"/>
                            <w:szCs w:val="18"/>
                            <w:lang w:val="en-AU"/>
                          </w:rPr>
                          <w:instrText xml:space="preserve"> HYPERLINK "http://www.esma.europa.eu" \t "_new" </w:instrText>
                        </w:r>
                        <w:r w:rsidRPr="00F060B6">
                          <w:rPr>
                            <w:rFonts w:ascii="Arial" w:hAnsi="Arial" w:cs="Arial"/>
                            <w:color w:val="000000"/>
                            <w:sz w:val="18"/>
                            <w:szCs w:val="18"/>
                            <w:lang w:val="en-AU"/>
                          </w:rPr>
                        </w:r>
                        <w:r w:rsidRPr="00F060B6">
                          <w:rPr>
                            <w:rFonts w:ascii="Arial" w:hAnsi="Arial" w:cs="Arial"/>
                            <w:color w:val="000000"/>
                            <w:sz w:val="18"/>
                            <w:szCs w:val="18"/>
                            <w:lang w:val="en-AU"/>
                          </w:rPr>
                          <w:fldChar w:fldCharType="separate"/>
                        </w:r>
                        <w:r w:rsidRPr="00F060B6">
                          <w:rPr>
                            <w:rFonts w:ascii="Arial" w:hAnsi="Arial" w:cs="Arial"/>
                            <w:color w:val="0000FF"/>
                            <w:sz w:val="18"/>
                            <w:szCs w:val="18"/>
                            <w:u w:val="single"/>
                            <w:lang w:val="en-AU"/>
                          </w:rPr>
                          <w:t>ESMA website</w:t>
                        </w:r>
                        <w:r w:rsidRPr="00F060B6">
                          <w:rPr>
                            <w:rFonts w:ascii="Arial" w:hAnsi="Arial" w:cs="Arial"/>
                            <w:color w:val="000000"/>
                            <w:sz w:val="18"/>
                            <w:szCs w:val="18"/>
                            <w:lang w:val="en-AU"/>
                          </w:rPr>
                          <w:fldChar w:fldCharType="end"/>
                        </w:r>
                        <w:r w:rsidRPr="00F060B6">
                          <w:rPr>
                            <w:rFonts w:ascii="Arial" w:hAnsi="Arial" w:cs="Arial"/>
                            <w:color w:val="000000"/>
                            <w:sz w:val="18"/>
                            <w:szCs w:val="18"/>
                            <w:lang w:val="en-AU"/>
                          </w:rPr>
                          <w:t>.</w:t>
                        </w:r>
                      </w:p>
                      <w:p w:rsidR="00F060B6" w:rsidRPr="00F060B6" w:rsidRDefault="00F060B6" w:rsidP="00F060B6">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1492" name="Picture 21492" descr="etailed Contents">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92" descr="etailed Contents"/>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060B6" w:rsidRPr="00F060B6" w:rsidRDefault="00F060B6" w:rsidP="00F060B6">
                        <w:pPr>
                          <w:jc w:val="center"/>
                          <w:rPr>
                            <w:rFonts w:ascii="Arial" w:eastAsia="Times New Roman" w:hAnsi="Arial" w:cs="Arial"/>
                            <w:color w:val="000000"/>
                            <w:sz w:val="18"/>
                            <w:szCs w:val="18"/>
                            <w:lang w:val="en-AU"/>
                          </w:rPr>
                        </w:pPr>
                        <w:r w:rsidRPr="00F060B6">
                          <w:rPr>
                            <w:rFonts w:ascii="Arial" w:eastAsia="Times New Roman" w:hAnsi="Arial" w:cs="Arial"/>
                            <w:color w:val="000000"/>
                            <w:sz w:val="18"/>
                            <w:szCs w:val="18"/>
                            <w:lang w:val="en-AU"/>
                          </w:rPr>
                          <w:pict>
                            <v:rect id="_x0000_i22517" style="width:415pt;height:2pt" o:hralign="center" o:hrstd="t" o:hr="t" fillcolor="#aaa" stroked="f"/>
                          </w:pict>
                        </w:r>
                      </w:p>
                      <w:p w:rsidR="00F060B6" w:rsidRPr="00F060B6" w:rsidRDefault="00F060B6" w:rsidP="00F060B6">
                        <w:pPr>
                          <w:spacing w:before="100" w:beforeAutospacing="1" w:after="100" w:afterAutospacing="1"/>
                          <w:rPr>
                            <w:rFonts w:ascii="Times" w:hAnsi="Times" w:cs="Times New Roman"/>
                            <w:sz w:val="20"/>
                            <w:szCs w:val="20"/>
                            <w:lang w:val="en-AU"/>
                          </w:rPr>
                        </w:pPr>
                        <w:bookmarkStart w:id="15" w:name="0110"/>
                        <w:bookmarkEnd w:id="15"/>
                        <w:r w:rsidRPr="00F060B6">
                          <w:rPr>
                            <w:rFonts w:ascii="Arial" w:hAnsi="Arial" w:cs="Arial"/>
                            <w:b/>
                            <w:bCs/>
                            <w:color w:val="000000"/>
                            <w:sz w:val="18"/>
                            <w:szCs w:val="18"/>
                            <w:lang w:val="en-AU"/>
                          </w:rPr>
                          <w:t>1.10 IMF working paper on bank capital adequacy in Australia</w:t>
                        </w:r>
                        <w:r w:rsidRPr="00F060B6">
                          <w:rPr>
                            <w:rFonts w:ascii="Arial" w:hAnsi="Arial" w:cs="Arial"/>
                            <w:color w:val="000000"/>
                            <w:sz w:val="18"/>
                            <w:szCs w:val="18"/>
                            <w:lang w:val="en-AU"/>
                          </w:rPr>
                          <w:br/>
                        </w:r>
                        <w:r w:rsidRPr="00F060B6">
                          <w:rPr>
                            <w:rFonts w:ascii="Arial" w:hAnsi="Arial" w:cs="Arial"/>
                            <w:color w:val="000000"/>
                            <w:sz w:val="18"/>
                            <w:szCs w:val="18"/>
                            <w:lang w:val="en-AU"/>
                          </w:rPr>
                          <w:br/>
                          <w:t xml:space="preserve">On 1 January 2012, the International Monetary Fund (IMF) released a Working Paper entitled 'Bank Capital Adequacy in Australia'.  </w:t>
                        </w:r>
                        <w:r w:rsidRPr="00F060B6">
                          <w:rPr>
                            <w:rFonts w:ascii="Arial" w:hAnsi="Arial" w:cs="Arial"/>
                            <w:color w:val="000000"/>
                            <w:sz w:val="18"/>
                            <w:szCs w:val="18"/>
                            <w:lang w:val="en-AU"/>
                          </w:rPr>
                          <w:br/>
                          <w:t> </w:t>
                        </w:r>
                        <w:r w:rsidRPr="00F060B6">
                          <w:rPr>
                            <w:rFonts w:ascii="Arial" w:hAnsi="Arial" w:cs="Arial"/>
                            <w:color w:val="000000"/>
                            <w:sz w:val="18"/>
                            <w:szCs w:val="18"/>
                            <w:lang w:val="en-AU"/>
                          </w:rPr>
                          <w:br/>
                          <w:t xml:space="preserve">The Working Paper has found that, given Australia's conservative approach in implementing the Basel II framework, Australian banks' headline capital ratios underestimate their capital strengths. Given their high capital quality and the progress in their funding profiles since the global financial crisis, the Australian banks are making good progress toward meeting the Basel III requirements, including the new liquidity standards.  </w:t>
                        </w:r>
                        <w:r w:rsidRPr="00F060B6">
                          <w:rPr>
                            <w:rFonts w:ascii="Arial" w:hAnsi="Arial" w:cs="Arial"/>
                            <w:color w:val="000000"/>
                            <w:sz w:val="18"/>
                            <w:szCs w:val="18"/>
                            <w:lang w:val="en-AU"/>
                          </w:rPr>
                          <w:br/>
                          <w:t> </w:t>
                        </w:r>
                        <w:r w:rsidRPr="00F060B6">
                          <w:rPr>
                            <w:rFonts w:ascii="Arial" w:hAnsi="Arial" w:cs="Arial"/>
                            <w:color w:val="000000"/>
                            <w:sz w:val="18"/>
                            <w:szCs w:val="18"/>
                            <w:lang w:val="en-AU"/>
                          </w:rPr>
                          <w:br/>
                          <w:t>Stress tests calibrated on the Irish crisis experience show that the banks could withstand sizable shocks to their exposure to residential mortgages.  However, combining residential mortgage shocks with corporate losses expected at the peak of the global financial crisis would put more pressure on Australian banks' capital.  Therefore, the Paper suggests that it would be useful to consider the merits of higher capital requirements for systemically important domestic banks.</w:t>
                        </w:r>
                        <w:r w:rsidRPr="00F060B6">
                          <w:rPr>
                            <w:rFonts w:ascii="Arial" w:hAnsi="Arial" w:cs="Arial"/>
                            <w:color w:val="000000"/>
                            <w:sz w:val="18"/>
                            <w:szCs w:val="18"/>
                            <w:lang w:val="en-AU"/>
                          </w:rPr>
                          <w:br/>
                        </w:r>
                        <w:r w:rsidRPr="00F060B6">
                          <w:rPr>
                            <w:rFonts w:ascii="Arial" w:hAnsi="Arial" w:cs="Arial"/>
                            <w:color w:val="000000"/>
                            <w:sz w:val="18"/>
                            <w:szCs w:val="18"/>
                            <w:lang w:val="en-AU"/>
                          </w:rPr>
                          <w:br/>
                          <w:t xml:space="preserve">The Working Paper is available on the </w:t>
                        </w:r>
                        <w:r w:rsidRPr="00F060B6">
                          <w:rPr>
                            <w:rFonts w:ascii="Arial" w:hAnsi="Arial" w:cs="Arial"/>
                            <w:color w:val="000000"/>
                            <w:sz w:val="18"/>
                            <w:szCs w:val="18"/>
                            <w:lang w:val="en-AU"/>
                          </w:rPr>
                          <w:fldChar w:fldCharType="begin"/>
                        </w:r>
                        <w:r w:rsidRPr="00F060B6">
                          <w:rPr>
                            <w:rFonts w:ascii="Arial" w:hAnsi="Arial" w:cs="Arial"/>
                            <w:color w:val="000000"/>
                            <w:sz w:val="18"/>
                            <w:szCs w:val="18"/>
                            <w:lang w:val="en-AU"/>
                          </w:rPr>
                          <w:instrText xml:space="preserve"> HYPERLINK "http://www.imf.org/external/pubs/ft/wp/2012/wp1225.pdf" \t "_new" </w:instrText>
                        </w:r>
                        <w:r w:rsidRPr="00F060B6">
                          <w:rPr>
                            <w:rFonts w:ascii="Arial" w:hAnsi="Arial" w:cs="Arial"/>
                            <w:color w:val="000000"/>
                            <w:sz w:val="18"/>
                            <w:szCs w:val="18"/>
                            <w:lang w:val="en-AU"/>
                          </w:rPr>
                        </w:r>
                        <w:r w:rsidRPr="00F060B6">
                          <w:rPr>
                            <w:rFonts w:ascii="Arial" w:hAnsi="Arial" w:cs="Arial"/>
                            <w:color w:val="000000"/>
                            <w:sz w:val="18"/>
                            <w:szCs w:val="18"/>
                            <w:lang w:val="en-AU"/>
                          </w:rPr>
                          <w:fldChar w:fldCharType="separate"/>
                        </w:r>
                        <w:r w:rsidRPr="00F060B6">
                          <w:rPr>
                            <w:rFonts w:ascii="Arial" w:hAnsi="Arial" w:cs="Arial"/>
                            <w:color w:val="0000FF"/>
                            <w:sz w:val="18"/>
                            <w:szCs w:val="18"/>
                            <w:u w:val="single"/>
                            <w:lang w:val="en-AU"/>
                          </w:rPr>
                          <w:t>IMF website</w:t>
                        </w:r>
                        <w:r w:rsidRPr="00F060B6">
                          <w:rPr>
                            <w:rFonts w:ascii="Arial" w:hAnsi="Arial" w:cs="Arial"/>
                            <w:color w:val="000000"/>
                            <w:sz w:val="18"/>
                            <w:szCs w:val="18"/>
                            <w:lang w:val="en-AU"/>
                          </w:rPr>
                          <w:fldChar w:fldCharType="end"/>
                        </w:r>
                        <w:r w:rsidRPr="00F060B6">
                          <w:rPr>
                            <w:rFonts w:ascii="Arial" w:hAnsi="Arial" w:cs="Arial"/>
                            <w:color w:val="000000"/>
                            <w:sz w:val="18"/>
                            <w:szCs w:val="18"/>
                            <w:lang w:val="en-AU"/>
                          </w:rPr>
                          <w:t>.</w:t>
                        </w:r>
                      </w:p>
                      <w:p w:rsidR="00F060B6" w:rsidRPr="00F060B6" w:rsidRDefault="00F060B6" w:rsidP="00F060B6">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1494" name="Picture 21494" descr="etailed Contents">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94" descr="etailed Contents"/>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060B6" w:rsidRPr="00F060B6" w:rsidRDefault="00F060B6" w:rsidP="00F060B6">
                        <w:pPr>
                          <w:jc w:val="center"/>
                          <w:rPr>
                            <w:rFonts w:ascii="Arial" w:eastAsia="Times New Roman" w:hAnsi="Arial" w:cs="Arial"/>
                            <w:color w:val="000000"/>
                            <w:sz w:val="18"/>
                            <w:szCs w:val="18"/>
                            <w:lang w:val="en-AU"/>
                          </w:rPr>
                        </w:pPr>
                        <w:r w:rsidRPr="00F060B6">
                          <w:rPr>
                            <w:rFonts w:ascii="Arial" w:eastAsia="Times New Roman" w:hAnsi="Arial" w:cs="Arial"/>
                            <w:color w:val="000000"/>
                            <w:sz w:val="18"/>
                            <w:szCs w:val="18"/>
                            <w:lang w:val="en-AU"/>
                          </w:rPr>
                          <w:pict>
                            <v:rect id="_x0000_i22519" style="width:415pt;height:2pt" o:hralign="center" o:hrstd="t" o:hr="t" fillcolor="#aaa" stroked="f"/>
                          </w:pict>
                        </w:r>
                      </w:p>
                      <w:p w:rsidR="00F060B6" w:rsidRPr="00F060B6" w:rsidRDefault="00F060B6" w:rsidP="00F060B6">
                        <w:pPr>
                          <w:spacing w:before="100" w:beforeAutospacing="1" w:after="100" w:afterAutospacing="1"/>
                          <w:rPr>
                            <w:rFonts w:ascii="Times" w:hAnsi="Times" w:cs="Times New Roman"/>
                            <w:sz w:val="20"/>
                            <w:szCs w:val="20"/>
                            <w:lang w:val="en-AU"/>
                          </w:rPr>
                        </w:pPr>
                        <w:bookmarkStart w:id="16" w:name="0111"/>
                        <w:bookmarkEnd w:id="16"/>
                        <w:r w:rsidRPr="00F060B6">
                          <w:rPr>
                            <w:rFonts w:ascii="Arial" w:hAnsi="Arial" w:cs="Arial"/>
                            <w:b/>
                            <w:bCs/>
                            <w:color w:val="000000"/>
                            <w:sz w:val="18"/>
                            <w:szCs w:val="18"/>
                            <w:lang w:val="en-AU"/>
                          </w:rPr>
                          <w:t>1.11 IMF working paper on rating agencies</w:t>
                        </w:r>
                        <w:r w:rsidRPr="00F060B6">
                          <w:rPr>
                            <w:rFonts w:ascii="Arial" w:hAnsi="Arial" w:cs="Arial"/>
                            <w:color w:val="000000"/>
                            <w:sz w:val="18"/>
                            <w:szCs w:val="18"/>
                            <w:lang w:val="en-AU"/>
                          </w:rPr>
                          <w:br/>
                          <w:t> </w:t>
                        </w:r>
                        <w:r w:rsidRPr="00F060B6">
                          <w:rPr>
                            <w:rFonts w:ascii="Arial" w:hAnsi="Arial" w:cs="Arial"/>
                            <w:color w:val="000000"/>
                            <w:sz w:val="18"/>
                            <w:szCs w:val="18"/>
                            <w:lang w:val="en-AU"/>
                          </w:rPr>
                          <w:br/>
                          <w:t xml:space="preserve">On 1 January 2012, the International Monetary Fund (IMF) released a Working Paper entitled 'Are Rating Agencies Powerful?  An Investigation into the Impact and Accuracy of Sovereign Ratings'.  </w:t>
                        </w:r>
                        <w:r w:rsidRPr="00F060B6">
                          <w:rPr>
                            <w:rFonts w:ascii="Arial" w:hAnsi="Arial" w:cs="Arial"/>
                            <w:color w:val="000000"/>
                            <w:sz w:val="18"/>
                            <w:szCs w:val="18"/>
                            <w:lang w:val="en-AU"/>
                          </w:rPr>
                          <w:br/>
                          <w:t> </w:t>
                        </w:r>
                        <w:r w:rsidRPr="00F060B6">
                          <w:rPr>
                            <w:rFonts w:ascii="Arial" w:hAnsi="Arial" w:cs="Arial"/>
                            <w:color w:val="000000"/>
                            <w:sz w:val="18"/>
                            <w:szCs w:val="18"/>
                            <w:lang w:val="en-AU"/>
                          </w:rPr>
                          <w:br/>
                          <w:t>The Working Paper found that Credit Rating Agencies' (CRAs) opinions have an impact in the cost of funding of sovereign issuers and consequently ratings are a concern for financial stability.  While ratings produced by the major CRAs perform reasonably well when it comes to rank ordering default risk among sovereigns, there is evidence of rating stability failure during the recent global financial crisis.  According to the Working Paper, these failures suggest that ratings should incorporate the obligor's resilience to stress scenarios.  Furthermore, the empirical evidence also supports:  </w:t>
                        </w:r>
                      </w:p>
                      <w:p w:rsidR="00F060B6" w:rsidRPr="00F060B6" w:rsidRDefault="00F060B6" w:rsidP="00F060B6">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060B6">
                          <w:rPr>
                            <w:rFonts w:ascii="Arial" w:eastAsia="Times New Roman" w:hAnsi="Arial" w:cs="Arial"/>
                            <w:color w:val="000000"/>
                            <w:sz w:val="18"/>
                            <w:szCs w:val="18"/>
                            <w:lang w:val="en-AU"/>
                          </w:rPr>
                          <w:t>reform initiatives to reduce the impact of CRAs' certification services;  </w:t>
                        </w:r>
                      </w:p>
                      <w:p w:rsidR="00F060B6" w:rsidRPr="00F060B6" w:rsidRDefault="00F060B6" w:rsidP="00F060B6">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060B6">
                          <w:rPr>
                            <w:rFonts w:ascii="Arial" w:eastAsia="Times New Roman" w:hAnsi="Arial" w:cs="Arial"/>
                            <w:color w:val="000000"/>
                            <w:sz w:val="18"/>
                            <w:szCs w:val="18"/>
                            <w:lang w:val="en-AU"/>
                          </w:rPr>
                          <w:t>more stringent validation requirements for ratings if they are to be used in capital regulations; and  </w:t>
                        </w:r>
                      </w:p>
                      <w:p w:rsidR="00F060B6" w:rsidRPr="00F060B6" w:rsidRDefault="00F060B6" w:rsidP="00F060B6">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060B6">
                          <w:rPr>
                            <w:rFonts w:ascii="Arial" w:eastAsia="Times New Roman" w:hAnsi="Arial" w:cs="Arial"/>
                            <w:color w:val="000000"/>
                            <w:sz w:val="18"/>
                            <w:szCs w:val="18"/>
                            <w:lang w:val="en-AU"/>
                          </w:rPr>
                          <w:t>more transparency with regard to the quantitative parameters used in the rating process.</w:t>
                        </w:r>
                      </w:p>
                      <w:p w:rsidR="00F060B6" w:rsidRPr="00F060B6" w:rsidRDefault="00F060B6" w:rsidP="00F060B6">
                        <w:pPr>
                          <w:spacing w:before="100" w:beforeAutospacing="1" w:after="100" w:afterAutospacing="1"/>
                          <w:rPr>
                            <w:rFonts w:ascii="Times" w:hAnsi="Times" w:cs="Times New Roman"/>
                            <w:sz w:val="20"/>
                            <w:szCs w:val="20"/>
                            <w:lang w:val="en-AU"/>
                          </w:rPr>
                        </w:pPr>
                        <w:r w:rsidRPr="00F060B6">
                          <w:rPr>
                            <w:rFonts w:ascii="Arial" w:hAnsi="Arial" w:cs="Arial"/>
                            <w:color w:val="000000"/>
                            <w:sz w:val="18"/>
                            <w:szCs w:val="18"/>
                            <w:lang w:val="en-AU"/>
                          </w:rPr>
                          <w:t xml:space="preserve">The Working Paper is available on the </w:t>
                        </w:r>
                        <w:r w:rsidRPr="00F060B6">
                          <w:rPr>
                            <w:rFonts w:ascii="Arial" w:hAnsi="Arial" w:cs="Arial"/>
                            <w:color w:val="000000"/>
                            <w:sz w:val="18"/>
                            <w:szCs w:val="18"/>
                            <w:lang w:val="en-AU"/>
                          </w:rPr>
                          <w:fldChar w:fldCharType="begin"/>
                        </w:r>
                        <w:r w:rsidRPr="00F060B6">
                          <w:rPr>
                            <w:rFonts w:ascii="Arial" w:hAnsi="Arial" w:cs="Arial"/>
                            <w:color w:val="000000"/>
                            <w:sz w:val="18"/>
                            <w:szCs w:val="18"/>
                            <w:lang w:val="en-AU"/>
                          </w:rPr>
                          <w:instrText xml:space="preserve"> HYPERLINK "http://www.imf.org/external/pubs/ft/wp/2012/wp1223.pdf" \t "_new" </w:instrText>
                        </w:r>
                        <w:r w:rsidRPr="00F060B6">
                          <w:rPr>
                            <w:rFonts w:ascii="Arial" w:hAnsi="Arial" w:cs="Arial"/>
                            <w:color w:val="000000"/>
                            <w:sz w:val="18"/>
                            <w:szCs w:val="18"/>
                            <w:lang w:val="en-AU"/>
                          </w:rPr>
                        </w:r>
                        <w:r w:rsidRPr="00F060B6">
                          <w:rPr>
                            <w:rFonts w:ascii="Arial" w:hAnsi="Arial" w:cs="Arial"/>
                            <w:color w:val="000000"/>
                            <w:sz w:val="18"/>
                            <w:szCs w:val="18"/>
                            <w:lang w:val="en-AU"/>
                          </w:rPr>
                          <w:fldChar w:fldCharType="separate"/>
                        </w:r>
                        <w:r w:rsidRPr="00F060B6">
                          <w:rPr>
                            <w:rFonts w:ascii="Arial" w:hAnsi="Arial" w:cs="Arial"/>
                            <w:color w:val="0000FF"/>
                            <w:sz w:val="18"/>
                            <w:szCs w:val="18"/>
                            <w:u w:val="single"/>
                            <w:lang w:val="en-AU"/>
                          </w:rPr>
                          <w:t>IMF website</w:t>
                        </w:r>
                        <w:r w:rsidRPr="00F060B6">
                          <w:rPr>
                            <w:rFonts w:ascii="Arial" w:hAnsi="Arial" w:cs="Arial"/>
                            <w:color w:val="000000"/>
                            <w:sz w:val="18"/>
                            <w:szCs w:val="18"/>
                            <w:lang w:val="en-AU"/>
                          </w:rPr>
                          <w:fldChar w:fldCharType="end"/>
                        </w:r>
                        <w:r w:rsidRPr="00F060B6">
                          <w:rPr>
                            <w:rFonts w:ascii="Arial" w:hAnsi="Arial" w:cs="Arial"/>
                            <w:color w:val="000000"/>
                            <w:sz w:val="18"/>
                            <w:szCs w:val="18"/>
                            <w:lang w:val="en-AU"/>
                          </w:rPr>
                          <w:t>.</w:t>
                        </w:r>
                      </w:p>
                      <w:p w:rsidR="00F060B6" w:rsidRPr="00F060B6" w:rsidRDefault="00F060B6" w:rsidP="00F060B6">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1496" name="Picture 21496" descr="etailed Contents">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96" descr="etailed Contents"/>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060B6" w:rsidRPr="00F060B6" w:rsidRDefault="00F060B6" w:rsidP="00F060B6">
                        <w:pPr>
                          <w:jc w:val="center"/>
                          <w:rPr>
                            <w:rFonts w:ascii="Arial" w:eastAsia="Times New Roman" w:hAnsi="Arial" w:cs="Arial"/>
                            <w:color w:val="000000"/>
                            <w:sz w:val="18"/>
                            <w:szCs w:val="18"/>
                            <w:lang w:val="en-AU"/>
                          </w:rPr>
                        </w:pPr>
                        <w:r w:rsidRPr="00F060B6">
                          <w:rPr>
                            <w:rFonts w:ascii="Arial" w:eastAsia="Times New Roman" w:hAnsi="Arial" w:cs="Arial"/>
                            <w:color w:val="000000"/>
                            <w:sz w:val="18"/>
                            <w:szCs w:val="18"/>
                            <w:lang w:val="en-AU"/>
                          </w:rPr>
                          <w:pict>
                            <v:rect id="_x0000_i22521" style="width:415pt;height:2pt" o:hralign="center" o:hrstd="t" o:hr="t" fillcolor="#aaa" stroked="f"/>
                          </w:pict>
                        </w:r>
                      </w:p>
                      <w:p w:rsidR="00F060B6" w:rsidRPr="00F060B6" w:rsidRDefault="00F060B6" w:rsidP="00F060B6">
                        <w:pPr>
                          <w:spacing w:before="100" w:beforeAutospacing="1" w:after="100" w:afterAutospacing="1"/>
                          <w:rPr>
                            <w:rFonts w:ascii="Times" w:hAnsi="Times" w:cs="Times New Roman"/>
                            <w:sz w:val="20"/>
                            <w:szCs w:val="20"/>
                            <w:lang w:val="en-AU"/>
                          </w:rPr>
                        </w:pPr>
                        <w:bookmarkStart w:id="17" w:name="0112"/>
                        <w:bookmarkEnd w:id="17"/>
                        <w:r w:rsidRPr="00F060B6">
                          <w:rPr>
                            <w:rFonts w:ascii="Arial" w:hAnsi="Arial" w:cs="Arial"/>
                            <w:b/>
                            <w:bCs/>
                            <w:color w:val="000000"/>
                            <w:sz w:val="18"/>
                            <w:szCs w:val="18"/>
                            <w:lang w:val="en-AU"/>
                          </w:rPr>
                          <w:t xml:space="preserve">1.12 CAFRAL-BIS conference on post-GFC financial sector regulation </w:t>
                        </w:r>
                        <w:r w:rsidRPr="00F060B6">
                          <w:rPr>
                            <w:rFonts w:ascii="Arial" w:hAnsi="Arial" w:cs="Arial"/>
                            <w:color w:val="000000"/>
                            <w:sz w:val="18"/>
                            <w:szCs w:val="18"/>
                            <w:lang w:val="en-AU"/>
                          </w:rPr>
                          <w:br/>
                          <w:t> </w:t>
                        </w:r>
                        <w:r w:rsidRPr="00F060B6">
                          <w:rPr>
                            <w:rFonts w:ascii="Arial" w:hAnsi="Arial" w:cs="Arial"/>
                            <w:color w:val="000000"/>
                            <w:sz w:val="18"/>
                            <w:szCs w:val="18"/>
                            <w:lang w:val="en-AU"/>
                          </w:rPr>
                          <w:br/>
                          <w:t xml:space="preserve">On 15-16 November 2011 in Mumbai, India, the Bank for International Settlements (BIS), in conjunction with the Centre for Advanced Financial Research and Learning  (CAFRAL), held its inaugural international conference of central banks and regulators on the topic of 'Financial regulation and its implications for growth equity and stability in the post-crisis world'.  </w:t>
                        </w:r>
                      </w:p>
                      <w:p w:rsidR="00F060B6" w:rsidRPr="00F060B6" w:rsidRDefault="00F060B6" w:rsidP="00F060B6">
                        <w:pPr>
                          <w:spacing w:before="100" w:beforeAutospacing="1" w:after="100" w:afterAutospacing="1"/>
                          <w:rPr>
                            <w:rFonts w:ascii="Times" w:hAnsi="Times" w:cs="Times New Roman"/>
                            <w:sz w:val="20"/>
                            <w:szCs w:val="20"/>
                            <w:lang w:val="en-AU"/>
                          </w:rPr>
                        </w:pPr>
                        <w:r w:rsidRPr="00F060B6">
                          <w:rPr>
                            <w:rFonts w:ascii="Arial" w:hAnsi="Arial" w:cs="Arial"/>
                            <w:color w:val="000000"/>
                            <w:sz w:val="18"/>
                            <w:szCs w:val="18"/>
                            <w:lang w:val="en-AU"/>
                          </w:rPr>
                          <w:t xml:space="preserve">A selection of speeches, papers and summaries of discussions from the conference is available on the </w:t>
                        </w:r>
                        <w:r w:rsidRPr="00F060B6">
                          <w:rPr>
                            <w:rFonts w:ascii="Arial" w:hAnsi="Arial" w:cs="Arial"/>
                            <w:color w:val="000000"/>
                            <w:sz w:val="18"/>
                            <w:szCs w:val="18"/>
                            <w:lang w:val="en-AU"/>
                          </w:rPr>
                          <w:fldChar w:fldCharType="begin"/>
                        </w:r>
                        <w:r w:rsidRPr="00F060B6">
                          <w:rPr>
                            <w:rFonts w:ascii="Arial" w:hAnsi="Arial" w:cs="Arial"/>
                            <w:color w:val="000000"/>
                            <w:sz w:val="18"/>
                            <w:szCs w:val="18"/>
                            <w:lang w:val="en-AU"/>
                          </w:rPr>
                          <w:instrText xml:space="preserve"> HYPERLINK "http://www.bis.org/publ/bppdf/bispap62.htm" \t "_new" </w:instrText>
                        </w:r>
                        <w:r w:rsidRPr="00F060B6">
                          <w:rPr>
                            <w:rFonts w:ascii="Arial" w:hAnsi="Arial" w:cs="Arial"/>
                            <w:color w:val="000000"/>
                            <w:sz w:val="18"/>
                            <w:szCs w:val="18"/>
                            <w:lang w:val="en-AU"/>
                          </w:rPr>
                        </w:r>
                        <w:r w:rsidRPr="00F060B6">
                          <w:rPr>
                            <w:rFonts w:ascii="Arial" w:hAnsi="Arial" w:cs="Arial"/>
                            <w:color w:val="000000"/>
                            <w:sz w:val="18"/>
                            <w:szCs w:val="18"/>
                            <w:lang w:val="en-AU"/>
                          </w:rPr>
                          <w:fldChar w:fldCharType="separate"/>
                        </w:r>
                        <w:r w:rsidRPr="00F060B6">
                          <w:rPr>
                            <w:rFonts w:ascii="Arial" w:hAnsi="Arial" w:cs="Arial"/>
                            <w:color w:val="0000FF"/>
                            <w:sz w:val="18"/>
                            <w:szCs w:val="18"/>
                            <w:u w:val="single"/>
                            <w:lang w:val="en-AU"/>
                          </w:rPr>
                          <w:t>BIS website</w:t>
                        </w:r>
                        <w:r w:rsidRPr="00F060B6">
                          <w:rPr>
                            <w:rFonts w:ascii="Arial" w:hAnsi="Arial" w:cs="Arial"/>
                            <w:color w:val="000000"/>
                            <w:sz w:val="18"/>
                            <w:szCs w:val="18"/>
                            <w:lang w:val="en-AU"/>
                          </w:rPr>
                          <w:fldChar w:fldCharType="end"/>
                        </w:r>
                        <w:r w:rsidRPr="00F060B6">
                          <w:rPr>
                            <w:rFonts w:ascii="Arial" w:hAnsi="Arial" w:cs="Arial"/>
                            <w:color w:val="000000"/>
                            <w:sz w:val="18"/>
                            <w:szCs w:val="18"/>
                            <w:lang w:val="en-AU"/>
                          </w:rPr>
                          <w:t>.</w:t>
                        </w:r>
                      </w:p>
                      <w:p w:rsidR="00F060B6" w:rsidRPr="00F060B6" w:rsidRDefault="00F060B6" w:rsidP="00F060B6">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1498" name="Picture 21498" descr="etailed Contents">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98" descr="etailed Contents"/>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060B6" w:rsidRPr="00F060B6" w:rsidRDefault="00F060B6" w:rsidP="00F060B6">
                        <w:pPr>
                          <w:jc w:val="center"/>
                          <w:rPr>
                            <w:rFonts w:ascii="Arial" w:eastAsia="Times New Roman" w:hAnsi="Arial" w:cs="Arial"/>
                            <w:color w:val="000000"/>
                            <w:sz w:val="18"/>
                            <w:szCs w:val="18"/>
                            <w:lang w:val="en-AU"/>
                          </w:rPr>
                        </w:pPr>
                        <w:r w:rsidRPr="00F060B6">
                          <w:rPr>
                            <w:rFonts w:ascii="Arial" w:eastAsia="Times New Roman" w:hAnsi="Arial" w:cs="Arial"/>
                            <w:color w:val="000000"/>
                            <w:sz w:val="18"/>
                            <w:szCs w:val="18"/>
                            <w:lang w:val="en-AU"/>
                          </w:rPr>
                          <w:pict>
                            <v:rect id="_x0000_i22523" style="width:415pt;height:2pt" o:hralign="center" o:hrstd="t" o:hr="t" fillcolor="#aaa" stroked="f"/>
                          </w:pict>
                        </w:r>
                      </w:p>
                      <w:p w:rsidR="00F060B6" w:rsidRPr="00F060B6" w:rsidRDefault="00F060B6" w:rsidP="00F060B6">
                        <w:pPr>
                          <w:spacing w:before="100" w:beforeAutospacing="1" w:after="100" w:afterAutospacing="1"/>
                          <w:rPr>
                            <w:rFonts w:ascii="Times" w:hAnsi="Times" w:cs="Times New Roman"/>
                            <w:sz w:val="20"/>
                            <w:szCs w:val="20"/>
                            <w:lang w:val="en-AU"/>
                          </w:rPr>
                        </w:pPr>
                        <w:bookmarkStart w:id="18" w:name="0113"/>
                        <w:bookmarkEnd w:id="18"/>
                        <w:r w:rsidRPr="00F060B6">
                          <w:rPr>
                            <w:rFonts w:ascii="Arial" w:hAnsi="Arial" w:cs="Arial"/>
                            <w:b/>
                            <w:bCs/>
                            <w:color w:val="000000"/>
                            <w:sz w:val="18"/>
                            <w:szCs w:val="18"/>
                            <w:lang w:val="en-AU"/>
                          </w:rPr>
                          <w:t>1.13 APRA prudential standard for Financial Claims Scheme</w:t>
                        </w:r>
                        <w:r w:rsidRPr="00F060B6">
                          <w:rPr>
                            <w:rFonts w:ascii="Arial" w:hAnsi="Arial" w:cs="Arial"/>
                            <w:color w:val="000000"/>
                            <w:sz w:val="18"/>
                            <w:szCs w:val="18"/>
                            <w:lang w:val="en-AU"/>
                          </w:rPr>
                          <w:br/>
                        </w:r>
                        <w:r w:rsidRPr="00F060B6">
                          <w:rPr>
                            <w:rFonts w:ascii="Arial" w:hAnsi="Arial" w:cs="Arial"/>
                            <w:color w:val="000000"/>
                            <w:sz w:val="18"/>
                            <w:szCs w:val="18"/>
                            <w:lang w:val="en-AU"/>
                          </w:rPr>
                          <w:br/>
                          <w:t xml:space="preserve">On 22 December 2011, the Australian Prudential Regulation Authority (APRA) released 'Prudential Standard APS 910 Financial Claims Scheme' (APS 910), which implements some of the operational requirements of the Financial Claims Scheme (FCS) for authorised deposit-taking institutions (ADIs). </w:t>
                        </w:r>
                      </w:p>
                      <w:p w:rsidR="00F060B6" w:rsidRPr="00F060B6" w:rsidRDefault="00F060B6" w:rsidP="00F060B6">
                        <w:pPr>
                          <w:spacing w:before="100" w:beforeAutospacing="1" w:after="100" w:afterAutospacing="1"/>
                          <w:rPr>
                            <w:rFonts w:ascii="Times" w:hAnsi="Times" w:cs="Times New Roman"/>
                            <w:sz w:val="20"/>
                            <w:szCs w:val="20"/>
                            <w:lang w:val="en-AU"/>
                          </w:rPr>
                        </w:pPr>
                        <w:r w:rsidRPr="00F060B6">
                          <w:rPr>
                            <w:rFonts w:ascii="Arial" w:hAnsi="Arial" w:cs="Arial"/>
                            <w:color w:val="000000"/>
                            <w:sz w:val="18"/>
                            <w:szCs w:val="18"/>
                            <w:lang w:val="en-AU"/>
                          </w:rPr>
                          <w:t>The FCS was established in October 2008.  It is designed to protect depositors (up to a defined amount) and to provide them with timely access to their deposits in the event that their ADI becomes insolvent and is declared to be subject to the FCS.</w:t>
                        </w:r>
                        <w:r w:rsidRPr="00F060B6">
                          <w:rPr>
                            <w:rFonts w:ascii="Arial" w:hAnsi="Arial" w:cs="Arial"/>
                            <w:color w:val="000000"/>
                            <w:sz w:val="18"/>
                            <w:szCs w:val="18"/>
                            <w:lang w:val="en-AU"/>
                          </w:rPr>
                          <w:br/>
                        </w:r>
                        <w:r w:rsidRPr="00F060B6">
                          <w:rPr>
                            <w:rFonts w:ascii="Arial" w:hAnsi="Arial" w:cs="Arial"/>
                            <w:color w:val="000000"/>
                            <w:sz w:val="18"/>
                            <w:szCs w:val="18"/>
                            <w:lang w:val="en-AU"/>
                          </w:rPr>
                          <w:br/>
                          <w:t>APRA consulted with industry on the proposed FCS requirements twice in 2010 and most recently in September 2011.  APS 910 reflects APRA's consideration of issues raised as part of this consultation. The key requirements of the prudential standard include:</w:t>
                        </w:r>
                      </w:p>
                      <w:p w:rsidR="00F060B6" w:rsidRPr="00F060B6" w:rsidRDefault="00F060B6" w:rsidP="00F060B6">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060B6">
                          <w:rPr>
                            <w:rFonts w:ascii="Arial" w:eastAsia="Times New Roman" w:hAnsi="Arial" w:cs="Arial"/>
                            <w:color w:val="000000"/>
                            <w:sz w:val="18"/>
                            <w:szCs w:val="18"/>
                            <w:lang w:val="en-AU"/>
                          </w:rPr>
                          <w:t>ADIs will need to identify each unique account-holder; </w:t>
                        </w:r>
                      </w:p>
                      <w:p w:rsidR="00F060B6" w:rsidRPr="00F060B6" w:rsidRDefault="00F060B6" w:rsidP="00F060B6">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060B6">
                          <w:rPr>
                            <w:rFonts w:ascii="Arial" w:eastAsia="Times New Roman" w:hAnsi="Arial" w:cs="Arial"/>
                            <w:color w:val="000000"/>
                            <w:sz w:val="18"/>
                            <w:szCs w:val="18"/>
                            <w:lang w:val="en-AU"/>
                          </w:rPr>
                          <w:t>ADIs will need to be able to produce a 'Single Customer View' (SCV) that aggregates the protected accounts held by each account-holder; and </w:t>
                        </w:r>
                      </w:p>
                      <w:p w:rsidR="00F060B6" w:rsidRPr="00F060B6" w:rsidRDefault="00F060B6" w:rsidP="00F060B6">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060B6">
                          <w:rPr>
                            <w:rFonts w:ascii="Arial" w:eastAsia="Times New Roman" w:hAnsi="Arial" w:cs="Arial"/>
                            <w:color w:val="000000"/>
                            <w:sz w:val="18"/>
                            <w:szCs w:val="18"/>
                            <w:lang w:val="en-AU"/>
                          </w:rPr>
                          <w:t>SCV data will be subject to annual reviews by the ADI's external auditor, as well as attestation by the ADI's chief executive officer. </w:t>
                        </w:r>
                      </w:p>
                      <w:p w:rsidR="00F060B6" w:rsidRPr="00F060B6" w:rsidRDefault="00F060B6" w:rsidP="00F060B6">
                        <w:pPr>
                          <w:spacing w:before="100" w:beforeAutospacing="1" w:after="100" w:afterAutospacing="1"/>
                          <w:rPr>
                            <w:rFonts w:ascii="Times" w:hAnsi="Times" w:cs="Times New Roman"/>
                            <w:sz w:val="20"/>
                            <w:szCs w:val="20"/>
                            <w:lang w:val="en-AU"/>
                          </w:rPr>
                        </w:pPr>
                        <w:r w:rsidRPr="00F060B6">
                          <w:rPr>
                            <w:rFonts w:ascii="Arial" w:hAnsi="Arial" w:cs="Arial"/>
                            <w:color w:val="000000"/>
                            <w:sz w:val="18"/>
                            <w:szCs w:val="18"/>
                            <w:lang w:val="en-AU"/>
                          </w:rPr>
                          <w:t>Once the prudential standard comes into force, and after the relevant transition period, ADIs will be subject to testing of their FCS preparedness through APRA on-site visits.  APRA will also be working with ADIs during the transition period to ensure that there is clear and consistent application of the principles that underpin the introduction of APS 910 across the ADI industry.</w:t>
                        </w:r>
                        <w:r w:rsidRPr="00F060B6">
                          <w:rPr>
                            <w:rFonts w:ascii="Arial" w:hAnsi="Arial" w:cs="Arial"/>
                            <w:color w:val="000000"/>
                            <w:sz w:val="18"/>
                            <w:szCs w:val="18"/>
                            <w:lang w:val="en-AU"/>
                          </w:rPr>
                          <w:br/>
                        </w:r>
                        <w:r w:rsidRPr="00F060B6">
                          <w:rPr>
                            <w:rFonts w:ascii="Arial" w:hAnsi="Arial" w:cs="Arial"/>
                            <w:color w:val="000000"/>
                            <w:sz w:val="18"/>
                            <w:szCs w:val="18"/>
                            <w:lang w:val="en-AU"/>
                          </w:rPr>
                          <w:br/>
                          <w:t xml:space="preserve">APS 910 took effect on 1 January 2012.  Allowing for the two-year transition period, ADIs will need to comply with the standard not later than 31 December 2013 unless granted an extended transition. </w:t>
                        </w:r>
                        <w:r w:rsidRPr="00F060B6">
                          <w:rPr>
                            <w:rFonts w:ascii="Arial" w:hAnsi="Arial" w:cs="Arial"/>
                            <w:color w:val="000000"/>
                            <w:sz w:val="18"/>
                            <w:szCs w:val="18"/>
                            <w:lang w:val="en-AU"/>
                          </w:rPr>
                          <w:br/>
                        </w:r>
                        <w:r w:rsidRPr="00F060B6">
                          <w:rPr>
                            <w:rFonts w:ascii="Arial" w:hAnsi="Arial" w:cs="Arial"/>
                            <w:color w:val="000000"/>
                            <w:sz w:val="18"/>
                            <w:szCs w:val="18"/>
                            <w:lang w:val="en-AU"/>
                          </w:rPr>
                          <w:br/>
                          <w:t xml:space="preserve">APS 910 is available on the </w:t>
                        </w:r>
                        <w:r w:rsidRPr="00F060B6">
                          <w:rPr>
                            <w:rFonts w:ascii="Arial" w:hAnsi="Arial" w:cs="Arial"/>
                            <w:color w:val="000000"/>
                            <w:sz w:val="18"/>
                            <w:szCs w:val="18"/>
                            <w:lang w:val="en-AU"/>
                          </w:rPr>
                          <w:fldChar w:fldCharType="begin"/>
                        </w:r>
                        <w:r w:rsidRPr="00F060B6">
                          <w:rPr>
                            <w:rFonts w:ascii="Arial" w:hAnsi="Arial" w:cs="Arial"/>
                            <w:color w:val="000000"/>
                            <w:sz w:val="18"/>
                            <w:szCs w:val="18"/>
                            <w:lang w:val="en-AU"/>
                          </w:rPr>
                          <w:instrText xml:space="preserve"> HYPERLINK "http://www.apra.gov.au/adi/PrudentialFramework/Pages/prudential-standards-and-guidance-notes-for-adis.aspx" \t "_new" </w:instrText>
                        </w:r>
                        <w:r w:rsidRPr="00F060B6">
                          <w:rPr>
                            <w:rFonts w:ascii="Arial" w:hAnsi="Arial" w:cs="Arial"/>
                            <w:color w:val="000000"/>
                            <w:sz w:val="18"/>
                            <w:szCs w:val="18"/>
                            <w:lang w:val="en-AU"/>
                          </w:rPr>
                        </w:r>
                        <w:r w:rsidRPr="00F060B6">
                          <w:rPr>
                            <w:rFonts w:ascii="Arial" w:hAnsi="Arial" w:cs="Arial"/>
                            <w:color w:val="000000"/>
                            <w:sz w:val="18"/>
                            <w:szCs w:val="18"/>
                            <w:lang w:val="en-AU"/>
                          </w:rPr>
                          <w:fldChar w:fldCharType="separate"/>
                        </w:r>
                        <w:r w:rsidRPr="00F060B6">
                          <w:rPr>
                            <w:rFonts w:ascii="Arial" w:hAnsi="Arial" w:cs="Arial"/>
                            <w:color w:val="0000FF"/>
                            <w:sz w:val="18"/>
                            <w:szCs w:val="18"/>
                            <w:u w:val="single"/>
                            <w:lang w:val="en-AU"/>
                          </w:rPr>
                          <w:t>APRA website</w:t>
                        </w:r>
                        <w:r w:rsidRPr="00F060B6">
                          <w:rPr>
                            <w:rFonts w:ascii="Arial" w:hAnsi="Arial" w:cs="Arial"/>
                            <w:color w:val="000000"/>
                            <w:sz w:val="18"/>
                            <w:szCs w:val="18"/>
                            <w:lang w:val="en-AU"/>
                          </w:rPr>
                          <w:fldChar w:fldCharType="end"/>
                        </w:r>
                        <w:r w:rsidRPr="00F060B6">
                          <w:rPr>
                            <w:rFonts w:ascii="Arial" w:hAnsi="Arial" w:cs="Arial"/>
                            <w:color w:val="000000"/>
                            <w:sz w:val="18"/>
                            <w:szCs w:val="18"/>
                            <w:lang w:val="en-AU"/>
                          </w:rPr>
                          <w:t>.</w:t>
                        </w:r>
                      </w:p>
                      <w:p w:rsidR="00F060B6" w:rsidRPr="00F060B6" w:rsidRDefault="00F060B6" w:rsidP="00F060B6">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1500" name="Picture 21500" descr="etailed Contents">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00" descr="etailed Contents"/>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060B6" w:rsidRPr="00F060B6" w:rsidRDefault="00F060B6" w:rsidP="00F060B6">
                        <w:pPr>
                          <w:jc w:val="center"/>
                          <w:rPr>
                            <w:rFonts w:ascii="Arial" w:eastAsia="Times New Roman" w:hAnsi="Arial" w:cs="Arial"/>
                            <w:color w:val="000000"/>
                            <w:sz w:val="18"/>
                            <w:szCs w:val="18"/>
                            <w:lang w:val="en-AU"/>
                          </w:rPr>
                        </w:pPr>
                        <w:r w:rsidRPr="00F060B6">
                          <w:rPr>
                            <w:rFonts w:ascii="Arial" w:eastAsia="Times New Roman" w:hAnsi="Arial" w:cs="Arial"/>
                            <w:color w:val="000000"/>
                            <w:sz w:val="18"/>
                            <w:szCs w:val="18"/>
                            <w:lang w:val="en-AU"/>
                          </w:rPr>
                          <w:pict>
                            <v:rect id="_x0000_i22525" style="width:415pt;height:2pt" o:hralign="center" o:hrstd="t" o:hr="t" fillcolor="#aaa" stroked="f"/>
                          </w:pict>
                        </w:r>
                      </w:p>
                      <w:p w:rsidR="00F060B6" w:rsidRPr="00F060B6" w:rsidRDefault="00F060B6" w:rsidP="00F060B6">
                        <w:pPr>
                          <w:spacing w:before="100" w:beforeAutospacing="1" w:after="100" w:afterAutospacing="1"/>
                          <w:rPr>
                            <w:rFonts w:ascii="Times" w:hAnsi="Times" w:cs="Times New Roman"/>
                            <w:sz w:val="20"/>
                            <w:szCs w:val="20"/>
                            <w:lang w:val="en-AU"/>
                          </w:rPr>
                        </w:pPr>
                        <w:bookmarkStart w:id="19" w:name="0114"/>
                        <w:bookmarkEnd w:id="19"/>
                        <w:r w:rsidRPr="00F060B6">
                          <w:rPr>
                            <w:rFonts w:ascii="Arial" w:hAnsi="Arial" w:cs="Arial"/>
                            <w:b/>
                            <w:bCs/>
                            <w:color w:val="000000"/>
                            <w:sz w:val="18"/>
                            <w:szCs w:val="18"/>
                            <w:lang w:val="en-AU"/>
                          </w:rPr>
                          <w:t>1.14 ESMA extends transitional period for use of non-EU credit ratings; Australian CRA regime endorsed; first regulatory technical standards on CRAs adopted</w:t>
                        </w:r>
                        <w:r w:rsidRPr="00F060B6">
                          <w:rPr>
                            <w:rFonts w:ascii="Arial" w:hAnsi="Arial" w:cs="Arial"/>
                            <w:color w:val="000000"/>
                            <w:sz w:val="18"/>
                            <w:szCs w:val="18"/>
                            <w:lang w:val="en-AU"/>
                          </w:rPr>
                          <w:br/>
                          <w:t> </w:t>
                        </w:r>
                        <w:r w:rsidRPr="00F060B6">
                          <w:rPr>
                            <w:rFonts w:ascii="Arial" w:hAnsi="Arial" w:cs="Arial"/>
                            <w:color w:val="000000"/>
                            <w:sz w:val="18"/>
                            <w:szCs w:val="18"/>
                            <w:lang w:val="en-AU"/>
                          </w:rPr>
                          <w:br/>
                          <w:t>On 22 December 2011, the European Securities and Markets Authority (ESMA) announced that it had decided to extend until 30 April 2012 the initial transitional period of three months for credit ratings issued outside the European Union.  This decision allows the use in the EU of credit ratings issued in third countries while the convergence process with the EU requirements and the endorsement process of third countries continue.  </w:t>
                        </w:r>
                        <w:r w:rsidRPr="00F060B6">
                          <w:rPr>
                            <w:rFonts w:ascii="Arial" w:hAnsi="Arial" w:cs="Arial"/>
                            <w:color w:val="000000"/>
                            <w:sz w:val="18"/>
                            <w:szCs w:val="18"/>
                            <w:lang w:val="en-AU"/>
                          </w:rPr>
                          <w:br/>
                          <w:t> </w:t>
                        </w:r>
                        <w:r w:rsidRPr="00F060B6">
                          <w:rPr>
                            <w:rFonts w:ascii="Arial" w:hAnsi="Arial" w:cs="Arial"/>
                            <w:color w:val="000000"/>
                            <w:sz w:val="18"/>
                            <w:szCs w:val="18"/>
                            <w:lang w:val="en-AU"/>
                          </w:rPr>
                          <w:br/>
                          <w:t>At the same time, following an assessment of its regulatory framework, ESMA announced that it has decided to endorse Australia's regulatory regime on credit ratings (according to Art 4 (3) of the EU Regulation on Credit Rating Agencies, or CRAs1).  As part of the endorsement decision, ESMA and the Australian Securities and Investments Commission (ASIC) concluded on 20 December 2011 the exchange of letters (EOL) establishing the co-operation arrangement between the EU and Australia for the supervision of cross-border CRAs.</w:t>
                        </w:r>
                      </w:p>
                      <w:p w:rsidR="00F060B6" w:rsidRPr="00F060B6" w:rsidRDefault="00F060B6" w:rsidP="00F060B6">
                        <w:pPr>
                          <w:spacing w:before="100" w:beforeAutospacing="1" w:after="100" w:afterAutospacing="1"/>
                          <w:rPr>
                            <w:rFonts w:ascii="Times" w:hAnsi="Times" w:cs="Times New Roman"/>
                            <w:sz w:val="20"/>
                            <w:szCs w:val="20"/>
                            <w:lang w:val="en-AU"/>
                          </w:rPr>
                        </w:pPr>
                        <w:r w:rsidRPr="00F060B6">
                          <w:rPr>
                            <w:rFonts w:ascii="Arial" w:hAnsi="Arial" w:cs="Arial"/>
                            <w:color w:val="000000"/>
                            <w:sz w:val="18"/>
                            <w:szCs w:val="18"/>
                            <w:lang w:val="en-AU"/>
                          </w:rPr>
                          <w:t>Having assessed as endorsable Japan and now Australia, ESMA is in an advanced state of its assessment for several other non-EU countries, namely Argentina, Canada, Hong Kong, Singapore, and the USA.  ESMA is also currently examining the regulatory frameworks of Brazil and Mexico.</w:t>
                        </w:r>
                      </w:p>
                      <w:p w:rsidR="00F060B6" w:rsidRPr="00F060B6" w:rsidRDefault="00F060B6" w:rsidP="00F060B6">
                        <w:pPr>
                          <w:spacing w:before="100" w:beforeAutospacing="1" w:after="100" w:afterAutospacing="1"/>
                          <w:rPr>
                            <w:rFonts w:ascii="Times" w:hAnsi="Times" w:cs="Times New Roman"/>
                            <w:sz w:val="20"/>
                            <w:szCs w:val="20"/>
                            <w:lang w:val="en-AU"/>
                          </w:rPr>
                        </w:pPr>
                        <w:r w:rsidRPr="00F060B6">
                          <w:rPr>
                            <w:rFonts w:ascii="Arial" w:hAnsi="Arial" w:cs="Arial"/>
                            <w:color w:val="000000"/>
                            <w:sz w:val="18"/>
                            <w:szCs w:val="18"/>
                            <w:lang w:val="en-AU"/>
                          </w:rPr>
                          <w:t xml:space="preserve">Finally, on 20 December 2011, ESMA adopted its first four draft Regulatory Technical Standards (RTS) on Credit Rating Agencies (CRAs). In accordance with the CRA Regulation 4, these four RTS were sent for endorsement to the European Commission. </w:t>
                        </w:r>
                      </w:p>
                      <w:p w:rsidR="00F060B6" w:rsidRPr="00F060B6" w:rsidRDefault="00F060B6" w:rsidP="00F060B6">
                        <w:pPr>
                          <w:spacing w:before="100" w:beforeAutospacing="1" w:after="100" w:afterAutospacing="1"/>
                          <w:rPr>
                            <w:rFonts w:ascii="Times" w:hAnsi="Times" w:cs="Times New Roman"/>
                            <w:sz w:val="20"/>
                            <w:szCs w:val="20"/>
                            <w:lang w:val="en-AU"/>
                          </w:rPr>
                        </w:pPr>
                        <w:r w:rsidRPr="00F060B6">
                          <w:rPr>
                            <w:rFonts w:ascii="Arial" w:hAnsi="Arial" w:cs="Arial"/>
                            <w:color w:val="000000"/>
                            <w:sz w:val="18"/>
                            <w:szCs w:val="18"/>
                            <w:lang w:val="en-AU"/>
                          </w:rPr>
                          <w:t>They will be directly applicable in all Member States upon the date of endorsement. The four RTS contribute to the establishment of harmonized standards in financial services, to ensure a level playing field and adequate protection for investors and consumers across the European Union.</w:t>
                        </w:r>
                      </w:p>
                      <w:p w:rsidR="00F060B6" w:rsidRPr="00F060B6" w:rsidRDefault="00F060B6" w:rsidP="00F060B6">
                        <w:pPr>
                          <w:spacing w:before="100" w:beforeAutospacing="1" w:after="100" w:afterAutospacing="1"/>
                          <w:rPr>
                            <w:rFonts w:ascii="Times" w:hAnsi="Times" w:cs="Times New Roman"/>
                            <w:sz w:val="20"/>
                            <w:szCs w:val="20"/>
                            <w:lang w:val="en-AU"/>
                          </w:rPr>
                        </w:pPr>
                        <w:r w:rsidRPr="00F060B6">
                          <w:rPr>
                            <w:rFonts w:ascii="Arial" w:hAnsi="Arial" w:cs="Arial"/>
                            <w:color w:val="000000"/>
                            <w:sz w:val="18"/>
                            <w:szCs w:val="18"/>
                            <w:lang w:val="en-AU"/>
                          </w:rPr>
                          <w:t>The new draft standards complement the CRA Regulation by introducing detailed specifications for CRAs for the information they have to provide to ESMA at the moment of registration, certification, and during their periodic data reporting.  Such information will be used by ESMA for its ongoing supervision.  In addition, the RTS detail the information that will be used for the disclosure on the past performance of credit rating, provided to the public through ESMA's central repository (CEREP), which will be made publically available in January 2012.  Finally, the RTS provide detailed specifications on the compliance of credit rating methodologies with the CRA Regulation.</w:t>
                        </w:r>
                      </w:p>
                      <w:p w:rsidR="00F060B6" w:rsidRPr="00F060B6" w:rsidRDefault="00F060B6" w:rsidP="00F060B6">
                        <w:pPr>
                          <w:spacing w:before="100" w:beforeAutospacing="1" w:after="100" w:afterAutospacing="1"/>
                          <w:rPr>
                            <w:rFonts w:ascii="Times" w:hAnsi="Times" w:cs="Times New Roman"/>
                            <w:sz w:val="20"/>
                            <w:szCs w:val="20"/>
                            <w:lang w:val="en-AU"/>
                          </w:rPr>
                        </w:pPr>
                        <w:r w:rsidRPr="00F060B6">
                          <w:rPr>
                            <w:rFonts w:ascii="Arial" w:hAnsi="Arial" w:cs="Arial"/>
                            <w:color w:val="000000"/>
                            <w:sz w:val="18"/>
                            <w:szCs w:val="18"/>
                            <w:lang w:val="en-AU"/>
                          </w:rPr>
                          <w:t xml:space="preserve">Further information is available on the </w:t>
                        </w:r>
                        <w:r w:rsidRPr="00F060B6">
                          <w:rPr>
                            <w:rFonts w:ascii="Arial" w:hAnsi="Arial" w:cs="Arial"/>
                            <w:color w:val="000000"/>
                            <w:sz w:val="18"/>
                            <w:szCs w:val="18"/>
                            <w:lang w:val="en-AU"/>
                          </w:rPr>
                          <w:fldChar w:fldCharType="begin"/>
                        </w:r>
                        <w:r w:rsidRPr="00F060B6">
                          <w:rPr>
                            <w:rFonts w:ascii="Arial" w:hAnsi="Arial" w:cs="Arial"/>
                            <w:color w:val="000000"/>
                            <w:sz w:val="18"/>
                            <w:szCs w:val="18"/>
                            <w:lang w:val="en-AU"/>
                          </w:rPr>
                          <w:instrText xml:space="preserve"> HYPERLINK "http://www.esma.europa.eu/news/ESMA-extends-transitional-period-use-non-EU-credit-ratings-Australian-CRA-regime-endorsed?t=326&amp;o=home" \t "_new" </w:instrText>
                        </w:r>
                        <w:r w:rsidRPr="00F060B6">
                          <w:rPr>
                            <w:rFonts w:ascii="Arial" w:hAnsi="Arial" w:cs="Arial"/>
                            <w:color w:val="000000"/>
                            <w:sz w:val="18"/>
                            <w:szCs w:val="18"/>
                            <w:lang w:val="en-AU"/>
                          </w:rPr>
                        </w:r>
                        <w:r w:rsidRPr="00F060B6">
                          <w:rPr>
                            <w:rFonts w:ascii="Arial" w:hAnsi="Arial" w:cs="Arial"/>
                            <w:color w:val="000000"/>
                            <w:sz w:val="18"/>
                            <w:szCs w:val="18"/>
                            <w:lang w:val="en-AU"/>
                          </w:rPr>
                          <w:fldChar w:fldCharType="separate"/>
                        </w:r>
                        <w:r w:rsidRPr="00F060B6">
                          <w:rPr>
                            <w:rFonts w:ascii="Arial" w:hAnsi="Arial" w:cs="Arial"/>
                            <w:color w:val="0000FF"/>
                            <w:sz w:val="18"/>
                            <w:szCs w:val="18"/>
                            <w:u w:val="single"/>
                            <w:lang w:val="en-AU"/>
                          </w:rPr>
                          <w:t>ESMA website</w:t>
                        </w:r>
                        <w:r w:rsidRPr="00F060B6">
                          <w:rPr>
                            <w:rFonts w:ascii="Arial" w:hAnsi="Arial" w:cs="Arial"/>
                            <w:color w:val="000000"/>
                            <w:sz w:val="18"/>
                            <w:szCs w:val="18"/>
                            <w:lang w:val="en-AU"/>
                          </w:rPr>
                          <w:fldChar w:fldCharType="end"/>
                        </w:r>
                        <w:r w:rsidRPr="00F060B6">
                          <w:rPr>
                            <w:rFonts w:ascii="Arial" w:hAnsi="Arial" w:cs="Arial"/>
                            <w:color w:val="000000"/>
                            <w:sz w:val="18"/>
                            <w:szCs w:val="18"/>
                            <w:lang w:val="en-AU"/>
                          </w:rPr>
                          <w:t>.</w:t>
                        </w:r>
                      </w:p>
                      <w:p w:rsidR="00F060B6" w:rsidRPr="00F060B6" w:rsidRDefault="00F060B6" w:rsidP="00F060B6">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1502" name="Picture 21502" descr="etailed Contents">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02" descr="etailed Contents"/>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060B6" w:rsidRPr="00F060B6" w:rsidRDefault="00F060B6" w:rsidP="00F060B6">
                        <w:pPr>
                          <w:jc w:val="center"/>
                          <w:rPr>
                            <w:rFonts w:ascii="Arial" w:eastAsia="Times New Roman" w:hAnsi="Arial" w:cs="Arial"/>
                            <w:color w:val="000000"/>
                            <w:sz w:val="18"/>
                            <w:szCs w:val="18"/>
                            <w:lang w:val="en-AU"/>
                          </w:rPr>
                        </w:pPr>
                        <w:r w:rsidRPr="00F060B6">
                          <w:rPr>
                            <w:rFonts w:ascii="Arial" w:eastAsia="Times New Roman" w:hAnsi="Arial" w:cs="Arial"/>
                            <w:color w:val="000000"/>
                            <w:sz w:val="18"/>
                            <w:szCs w:val="18"/>
                            <w:lang w:val="en-AU"/>
                          </w:rPr>
                          <w:pict>
                            <v:rect id="_x0000_i22527" style="width:415pt;height:2pt" o:hralign="center" o:hrstd="t" o:hr="t" fillcolor="#aaa" stroked="f"/>
                          </w:pict>
                        </w:r>
                      </w:p>
                      <w:p w:rsidR="00F060B6" w:rsidRPr="00F060B6" w:rsidRDefault="00F060B6" w:rsidP="00F060B6">
                        <w:pPr>
                          <w:spacing w:before="100" w:beforeAutospacing="1" w:after="100" w:afterAutospacing="1"/>
                          <w:rPr>
                            <w:rFonts w:ascii="Times" w:hAnsi="Times" w:cs="Times New Roman"/>
                            <w:sz w:val="20"/>
                            <w:szCs w:val="20"/>
                            <w:lang w:val="en-AU"/>
                          </w:rPr>
                        </w:pPr>
                        <w:bookmarkStart w:id="20" w:name="0115"/>
                        <w:bookmarkEnd w:id="20"/>
                        <w:r w:rsidRPr="00F060B6">
                          <w:rPr>
                            <w:rFonts w:ascii="Arial" w:hAnsi="Arial" w:cs="Arial"/>
                            <w:b/>
                            <w:bCs/>
                            <w:color w:val="000000"/>
                            <w:sz w:val="18"/>
                            <w:szCs w:val="18"/>
                            <w:lang w:val="en-AU"/>
                          </w:rPr>
                          <w:t>1.15 Further consultation on new Shorter Product Disclosure Statement regime</w:t>
                        </w:r>
                        <w:r w:rsidRPr="00F060B6">
                          <w:rPr>
                            <w:rFonts w:ascii="Arial" w:hAnsi="Arial" w:cs="Arial"/>
                            <w:color w:val="000000"/>
                            <w:sz w:val="18"/>
                            <w:szCs w:val="18"/>
                            <w:lang w:val="en-AU"/>
                          </w:rPr>
                          <w:br/>
                          <w:t> </w:t>
                        </w:r>
                        <w:r w:rsidRPr="00F060B6">
                          <w:rPr>
                            <w:rFonts w:ascii="Arial" w:hAnsi="Arial" w:cs="Arial"/>
                            <w:color w:val="000000"/>
                            <w:sz w:val="18"/>
                            <w:szCs w:val="18"/>
                            <w:lang w:val="en-AU"/>
                          </w:rPr>
                          <w:br/>
                          <w:t>On 22 December 2011, the Australian Government announced that it would undertake further consultation with industry and consumer groups on the transition to the Shorter Product Disclosure Statement (SPDS) regime.</w:t>
                        </w:r>
                      </w:p>
                      <w:p w:rsidR="00F060B6" w:rsidRPr="00F060B6" w:rsidRDefault="00F060B6" w:rsidP="00F060B6">
                        <w:pPr>
                          <w:spacing w:before="100" w:beforeAutospacing="1" w:after="100" w:afterAutospacing="1"/>
                          <w:rPr>
                            <w:rFonts w:ascii="Times" w:hAnsi="Times" w:cs="Times New Roman"/>
                            <w:sz w:val="20"/>
                            <w:szCs w:val="20"/>
                            <w:lang w:val="en-AU"/>
                          </w:rPr>
                        </w:pPr>
                        <w:r w:rsidRPr="00F060B6">
                          <w:rPr>
                            <w:rFonts w:ascii="Arial" w:hAnsi="Arial" w:cs="Arial"/>
                            <w:color w:val="000000"/>
                            <w:sz w:val="18"/>
                            <w:szCs w:val="18"/>
                            <w:lang w:val="en-AU"/>
                          </w:rPr>
                          <w:t xml:space="preserve">Due to commence on 22 June 2012, the SPDS regime is designed to ensure that disclosure for certain financial products - including superannuation and simple managed investment schemes - is presented in a short and simple way that equips consumers to make better financial decisions. </w:t>
                        </w:r>
                      </w:p>
                      <w:p w:rsidR="00F060B6" w:rsidRPr="00F060B6" w:rsidRDefault="00F060B6" w:rsidP="00F060B6">
                        <w:pPr>
                          <w:spacing w:before="100" w:beforeAutospacing="1" w:after="100" w:afterAutospacing="1"/>
                          <w:rPr>
                            <w:rFonts w:ascii="Times" w:hAnsi="Times" w:cs="Times New Roman"/>
                            <w:sz w:val="20"/>
                            <w:szCs w:val="20"/>
                            <w:lang w:val="en-AU"/>
                          </w:rPr>
                        </w:pPr>
                        <w:r w:rsidRPr="00F060B6">
                          <w:rPr>
                            <w:rFonts w:ascii="Arial" w:hAnsi="Arial" w:cs="Arial"/>
                            <w:color w:val="000000"/>
                            <w:sz w:val="18"/>
                            <w:szCs w:val="18"/>
                            <w:lang w:val="en-AU"/>
                          </w:rPr>
                          <w:t xml:space="preserve">However, the Government has stated that it is aware that the financial services industry is dealing with a number of implementation issues in moving to the new SPDS regulations for superannuation platforms and multifunds.  Accordingly, in order to address the need to transition to the new regulations, the Government will be undertaking further consultation with industry and consumer groups to determine whether these products should be completely out of the shorter PDS regime or in the regime but with modified content requirements. </w:t>
                        </w:r>
                      </w:p>
                      <w:p w:rsidR="00F060B6" w:rsidRPr="00F060B6" w:rsidRDefault="00F060B6" w:rsidP="00F060B6">
                        <w:pPr>
                          <w:spacing w:before="100" w:beforeAutospacing="1" w:after="100" w:afterAutospacing="1"/>
                          <w:rPr>
                            <w:rFonts w:ascii="Times" w:hAnsi="Times" w:cs="Times New Roman"/>
                            <w:sz w:val="20"/>
                            <w:szCs w:val="20"/>
                            <w:lang w:val="en-AU"/>
                          </w:rPr>
                        </w:pPr>
                        <w:r w:rsidRPr="00F060B6">
                          <w:rPr>
                            <w:rFonts w:ascii="Arial" w:hAnsi="Arial" w:cs="Arial"/>
                            <w:color w:val="000000"/>
                            <w:sz w:val="18"/>
                            <w:szCs w:val="18"/>
                            <w:lang w:val="en-AU"/>
                          </w:rPr>
                          <w:t xml:space="preserve">The Government has announced that on an interim basis: </w:t>
                        </w:r>
                      </w:p>
                      <w:p w:rsidR="00F060B6" w:rsidRPr="00F060B6" w:rsidRDefault="00F060B6" w:rsidP="00F060B6">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060B6">
                          <w:rPr>
                            <w:rFonts w:ascii="Arial" w:eastAsia="Times New Roman" w:hAnsi="Arial" w:cs="Arial"/>
                            <w:color w:val="000000"/>
                            <w:sz w:val="18"/>
                            <w:szCs w:val="18"/>
                            <w:lang w:val="en-AU"/>
                          </w:rPr>
                          <w:t>Superannuation platforms will be excluded from the SPDS regime, however relief will be provided by ASIC so that superannuation platforms can, on the discretion of the provider, be included in the SPDS regime; and </w:t>
                        </w:r>
                      </w:p>
                      <w:p w:rsidR="00F060B6" w:rsidRPr="00F060B6" w:rsidRDefault="00F060B6" w:rsidP="00F060B6">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060B6">
                          <w:rPr>
                            <w:rFonts w:ascii="Arial" w:eastAsia="Times New Roman" w:hAnsi="Arial" w:cs="Arial"/>
                            <w:color w:val="000000"/>
                            <w:sz w:val="18"/>
                            <w:szCs w:val="18"/>
                            <w:lang w:val="en-AU"/>
                          </w:rPr>
                          <w:t>Multifunds will also be excluded from the SPDS regime, however relief will also be provided so that multifunds can at the discretion of the provider, be included in the SPDS regime.</w:t>
                        </w:r>
                      </w:p>
                      <w:p w:rsidR="00F060B6" w:rsidRPr="00F060B6" w:rsidRDefault="00F060B6" w:rsidP="00F060B6">
                        <w:pPr>
                          <w:spacing w:before="100" w:beforeAutospacing="1" w:after="100" w:afterAutospacing="1"/>
                          <w:rPr>
                            <w:rFonts w:ascii="Times" w:hAnsi="Times" w:cs="Times New Roman"/>
                            <w:sz w:val="20"/>
                            <w:szCs w:val="20"/>
                            <w:lang w:val="en-AU"/>
                          </w:rPr>
                        </w:pPr>
                        <w:r w:rsidRPr="00F060B6">
                          <w:rPr>
                            <w:rFonts w:ascii="Arial" w:hAnsi="Arial" w:cs="Arial"/>
                            <w:color w:val="000000"/>
                            <w:sz w:val="18"/>
                            <w:szCs w:val="18"/>
                            <w:lang w:val="en-AU"/>
                          </w:rPr>
                          <w:t xml:space="preserve">The Government also reiterated that other complex products such as hedge funds will continue to remain excluded from the SPDS regime, in accordance with the original policy intent, until these products can be fully considered in respect of the policy intent of the SPDS regime. </w:t>
                        </w:r>
                      </w:p>
                      <w:p w:rsidR="00F060B6" w:rsidRPr="00F060B6" w:rsidRDefault="00F060B6" w:rsidP="00F060B6">
                        <w:pPr>
                          <w:spacing w:before="100" w:beforeAutospacing="1" w:after="100" w:afterAutospacing="1"/>
                          <w:rPr>
                            <w:rFonts w:ascii="Times" w:hAnsi="Times" w:cs="Times New Roman"/>
                            <w:sz w:val="20"/>
                            <w:szCs w:val="20"/>
                            <w:lang w:val="en-AU"/>
                          </w:rPr>
                        </w:pPr>
                        <w:r w:rsidRPr="00F060B6">
                          <w:rPr>
                            <w:rFonts w:ascii="Arial" w:hAnsi="Arial" w:cs="Arial"/>
                            <w:color w:val="000000"/>
                            <w:sz w:val="18"/>
                            <w:szCs w:val="18"/>
                            <w:lang w:val="en-AU"/>
                          </w:rPr>
                          <w:t xml:space="preserve">The announcement is available on the </w:t>
                        </w:r>
                        <w:r w:rsidRPr="00F060B6">
                          <w:rPr>
                            <w:rFonts w:ascii="Arial" w:hAnsi="Arial" w:cs="Arial"/>
                            <w:color w:val="000000"/>
                            <w:sz w:val="18"/>
                            <w:szCs w:val="18"/>
                            <w:lang w:val="en-AU"/>
                          </w:rPr>
                          <w:fldChar w:fldCharType="begin"/>
                        </w:r>
                        <w:r w:rsidRPr="00F060B6">
                          <w:rPr>
                            <w:rFonts w:ascii="Arial" w:hAnsi="Arial" w:cs="Arial"/>
                            <w:color w:val="000000"/>
                            <w:sz w:val="18"/>
                            <w:szCs w:val="18"/>
                            <w:lang w:val="en-AU"/>
                          </w:rPr>
                          <w:instrText xml:space="preserve"> HYPERLINK "http://mfss.treasurer.gov.au/DisplayDocs.aspx?doc=pressreleases/2011/169.htm&amp;pageID=003&amp;min=brs&amp;Year=&amp;DocType" \t "_new" </w:instrText>
                        </w:r>
                        <w:r w:rsidRPr="00F060B6">
                          <w:rPr>
                            <w:rFonts w:ascii="Arial" w:hAnsi="Arial" w:cs="Arial"/>
                            <w:color w:val="000000"/>
                            <w:sz w:val="18"/>
                            <w:szCs w:val="18"/>
                            <w:lang w:val="en-AU"/>
                          </w:rPr>
                        </w:r>
                        <w:r w:rsidRPr="00F060B6">
                          <w:rPr>
                            <w:rFonts w:ascii="Arial" w:hAnsi="Arial" w:cs="Arial"/>
                            <w:color w:val="000000"/>
                            <w:sz w:val="18"/>
                            <w:szCs w:val="18"/>
                            <w:lang w:val="en-AU"/>
                          </w:rPr>
                          <w:fldChar w:fldCharType="separate"/>
                        </w:r>
                        <w:r w:rsidRPr="00F060B6">
                          <w:rPr>
                            <w:rFonts w:ascii="Arial" w:hAnsi="Arial" w:cs="Arial"/>
                            <w:color w:val="0000FF"/>
                            <w:sz w:val="18"/>
                            <w:szCs w:val="18"/>
                            <w:u w:val="single"/>
                            <w:lang w:val="en-AU"/>
                          </w:rPr>
                          <w:t>Treasury website</w:t>
                        </w:r>
                        <w:r w:rsidRPr="00F060B6">
                          <w:rPr>
                            <w:rFonts w:ascii="Arial" w:hAnsi="Arial" w:cs="Arial"/>
                            <w:color w:val="000000"/>
                            <w:sz w:val="18"/>
                            <w:szCs w:val="18"/>
                            <w:lang w:val="en-AU"/>
                          </w:rPr>
                          <w:fldChar w:fldCharType="end"/>
                        </w:r>
                        <w:r w:rsidRPr="00F060B6">
                          <w:rPr>
                            <w:rFonts w:ascii="Arial" w:hAnsi="Arial" w:cs="Arial"/>
                            <w:color w:val="000000"/>
                            <w:sz w:val="18"/>
                            <w:szCs w:val="18"/>
                            <w:lang w:val="en-AU"/>
                          </w:rPr>
                          <w:t>.</w:t>
                        </w:r>
                      </w:p>
                      <w:p w:rsidR="00F060B6" w:rsidRPr="00F060B6" w:rsidRDefault="00F060B6" w:rsidP="00F060B6">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1504" name="Picture 21504" descr="etailed Contents">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04" descr="etailed Contents"/>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060B6" w:rsidRPr="00F060B6" w:rsidRDefault="00F060B6" w:rsidP="00F060B6">
                        <w:pPr>
                          <w:jc w:val="center"/>
                          <w:rPr>
                            <w:rFonts w:ascii="Arial" w:eastAsia="Times New Roman" w:hAnsi="Arial" w:cs="Arial"/>
                            <w:color w:val="000000"/>
                            <w:sz w:val="18"/>
                            <w:szCs w:val="18"/>
                            <w:lang w:val="en-AU"/>
                          </w:rPr>
                        </w:pPr>
                        <w:r w:rsidRPr="00F060B6">
                          <w:rPr>
                            <w:rFonts w:ascii="Arial" w:eastAsia="Times New Roman" w:hAnsi="Arial" w:cs="Arial"/>
                            <w:color w:val="000000"/>
                            <w:sz w:val="18"/>
                            <w:szCs w:val="18"/>
                            <w:lang w:val="en-AU"/>
                          </w:rPr>
                          <w:pict>
                            <v:rect id="_x0000_i22529" style="width:415pt;height:2pt" o:hralign="center" o:hrstd="t" o:hr="t" fillcolor="#aaa" stroked="f"/>
                          </w:pict>
                        </w:r>
                      </w:p>
                      <w:p w:rsidR="00F060B6" w:rsidRPr="00F060B6" w:rsidRDefault="00F060B6" w:rsidP="00F060B6">
                        <w:pPr>
                          <w:spacing w:before="100" w:beforeAutospacing="1" w:after="100" w:afterAutospacing="1"/>
                          <w:rPr>
                            <w:rFonts w:ascii="Times" w:hAnsi="Times" w:cs="Times New Roman"/>
                            <w:sz w:val="20"/>
                            <w:szCs w:val="20"/>
                            <w:lang w:val="en-AU"/>
                          </w:rPr>
                        </w:pPr>
                        <w:bookmarkStart w:id="21" w:name="0116"/>
                        <w:bookmarkEnd w:id="21"/>
                        <w:r w:rsidRPr="00F060B6">
                          <w:rPr>
                            <w:rFonts w:ascii="Arial" w:hAnsi="Arial" w:cs="Arial"/>
                            <w:b/>
                            <w:bCs/>
                            <w:color w:val="000000"/>
                            <w:sz w:val="18"/>
                            <w:szCs w:val="18"/>
                            <w:lang w:val="en-AU"/>
                          </w:rPr>
                          <w:t>1.16 FSA guidance on remuneration proportionality</w:t>
                        </w:r>
                        <w:r w:rsidRPr="00F060B6">
                          <w:rPr>
                            <w:rFonts w:ascii="Arial" w:hAnsi="Arial" w:cs="Arial"/>
                            <w:color w:val="000000"/>
                            <w:sz w:val="18"/>
                            <w:szCs w:val="18"/>
                            <w:lang w:val="en-AU"/>
                          </w:rPr>
                          <w:br/>
                          <w:t> </w:t>
                        </w:r>
                        <w:r w:rsidRPr="00F060B6">
                          <w:rPr>
                            <w:rFonts w:ascii="Arial" w:hAnsi="Arial" w:cs="Arial"/>
                            <w:color w:val="000000"/>
                            <w:sz w:val="18"/>
                            <w:szCs w:val="18"/>
                            <w:lang w:val="en-AU"/>
                          </w:rPr>
                          <w:br/>
                          <w:t>On 21 December 2011, the UK Financial Services Authority published, in respect of the Remuneration Code (SYSC 19A) and the Pillar 3 disclosures on remuneration (BIPRU 11), its 'General Guidance on Proportionality'. The remuneration principles proportionality rule requires a firm, when establishing and applying the total remuneration policies for remuneration code staff, to comply with SYSC 19A.3 in a way and to the extent that is appropriate to its size, internal organisation and the nature, the scope and the complexity of its activities.</w:t>
                        </w:r>
                        <w:r w:rsidRPr="00F060B6">
                          <w:rPr>
                            <w:rFonts w:ascii="Arial" w:hAnsi="Arial" w:cs="Arial"/>
                            <w:color w:val="000000"/>
                            <w:sz w:val="18"/>
                            <w:szCs w:val="18"/>
                            <w:lang w:val="en-AU"/>
                          </w:rPr>
                          <w:br/>
                          <w:t> </w:t>
                        </w:r>
                        <w:r w:rsidRPr="00F060B6">
                          <w:rPr>
                            <w:rFonts w:ascii="Arial" w:hAnsi="Arial" w:cs="Arial"/>
                            <w:color w:val="000000"/>
                            <w:sz w:val="18"/>
                            <w:szCs w:val="18"/>
                            <w:lang w:val="en-AU"/>
                          </w:rPr>
                          <w:br/>
                          <w:t xml:space="preserve">The FSA's general guidance is available on the </w:t>
                        </w:r>
                        <w:r w:rsidRPr="00F060B6">
                          <w:rPr>
                            <w:rFonts w:ascii="Arial" w:hAnsi="Arial" w:cs="Arial"/>
                            <w:color w:val="000000"/>
                            <w:sz w:val="18"/>
                            <w:szCs w:val="18"/>
                            <w:lang w:val="en-AU"/>
                          </w:rPr>
                          <w:fldChar w:fldCharType="begin"/>
                        </w:r>
                        <w:r w:rsidRPr="00F060B6">
                          <w:rPr>
                            <w:rFonts w:ascii="Arial" w:hAnsi="Arial" w:cs="Arial"/>
                            <w:color w:val="000000"/>
                            <w:sz w:val="18"/>
                            <w:szCs w:val="18"/>
                            <w:lang w:val="en-AU"/>
                          </w:rPr>
                          <w:instrText xml:space="preserve"> HYPERLINK "http://www.fsa.gov.uk/pubs/guidance/fg11_22.pdf" \t "_new" </w:instrText>
                        </w:r>
                        <w:r w:rsidRPr="00F060B6">
                          <w:rPr>
                            <w:rFonts w:ascii="Arial" w:hAnsi="Arial" w:cs="Arial"/>
                            <w:color w:val="000000"/>
                            <w:sz w:val="18"/>
                            <w:szCs w:val="18"/>
                            <w:lang w:val="en-AU"/>
                          </w:rPr>
                        </w:r>
                        <w:r w:rsidRPr="00F060B6">
                          <w:rPr>
                            <w:rFonts w:ascii="Arial" w:hAnsi="Arial" w:cs="Arial"/>
                            <w:color w:val="000000"/>
                            <w:sz w:val="18"/>
                            <w:szCs w:val="18"/>
                            <w:lang w:val="en-AU"/>
                          </w:rPr>
                          <w:fldChar w:fldCharType="separate"/>
                        </w:r>
                        <w:r w:rsidRPr="00F060B6">
                          <w:rPr>
                            <w:rFonts w:ascii="Arial" w:hAnsi="Arial" w:cs="Arial"/>
                            <w:color w:val="0000FF"/>
                            <w:sz w:val="18"/>
                            <w:szCs w:val="18"/>
                            <w:u w:val="single"/>
                            <w:lang w:val="en-AU"/>
                          </w:rPr>
                          <w:t>FSA website</w:t>
                        </w:r>
                        <w:r w:rsidRPr="00F060B6">
                          <w:rPr>
                            <w:rFonts w:ascii="Arial" w:hAnsi="Arial" w:cs="Arial"/>
                            <w:color w:val="000000"/>
                            <w:sz w:val="18"/>
                            <w:szCs w:val="18"/>
                            <w:lang w:val="en-AU"/>
                          </w:rPr>
                          <w:fldChar w:fldCharType="end"/>
                        </w:r>
                        <w:r w:rsidRPr="00F060B6">
                          <w:rPr>
                            <w:rFonts w:ascii="Arial" w:hAnsi="Arial" w:cs="Arial"/>
                            <w:color w:val="000000"/>
                            <w:sz w:val="18"/>
                            <w:szCs w:val="18"/>
                            <w:lang w:val="en-AU"/>
                          </w:rPr>
                          <w:t>.</w:t>
                        </w:r>
                      </w:p>
                      <w:p w:rsidR="00F060B6" w:rsidRPr="00F060B6" w:rsidRDefault="00F060B6" w:rsidP="00F060B6">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1506" name="Picture 21506" descr="etailed Contents">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06" descr="etailed Contents"/>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060B6" w:rsidRPr="00F060B6" w:rsidRDefault="00F060B6" w:rsidP="00F060B6">
                        <w:pPr>
                          <w:jc w:val="center"/>
                          <w:rPr>
                            <w:rFonts w:ascii="Arial" w:eastAsia="Times New Roman" w:hAnsi="Arial" w:cs="Arial"/>
                            <w:color w:val="000000"/>
                            <w:sz w:val="18"/>
                            <w:szCs w:val="18"/>
                            <w:lang w:val="en-AU"/>
                          </w:rPr>
                        </w:pPr>
                        <w:r w:rsidRPr="00F060B6">
                          <w:rPr>
                            <w:rFonts w:ascii="Arial" w:eastAsia="Times New Roman" w:hAnsi="Arial" w:cs="Arial"/>
                            <w:color w:val="000000"/>
                            <w:sz w:val="18"/>
                            <w:szCs w:val="18"/>
                            <w:lang w:val="en-AU"/>
                          </w:rPr>
                          <w:pict>
                            <v:rect id="_x0000_i22531" style="width:415pt;height:2pt" o:hralign="center" o:hrstd="t" o:hr="t" fillcolor="#aaa" stroked="f"/>
                          </w:pict>
                        </w:r>
                      </w:p>
                      <w:p w:rsidR="00F060B6" w:rsidRPr="00F060B6" w:rsidRDefault="00F060B6" w:rsidP="00F060B6">
                        <w:pPr>
                          <w:spacing w:before="100" w:beforeAutospacing="1" w:after="100" w:afterAutospacing="1"/>
                          <w:rPr>
                            <w:rFonts w:ascii="Times" w:hAnsi="Times" w:cs="Times New Roman"/>
                            <w:sz w:val="20"/>
                            <w:szCs w:val="20"/>
                            <w:lang w:val="en-AU"/>
                          </w:rPr>
                        </w:pPr>
                        <w:bookmarkStart w:id="22" w:name="0117"/>
                        <w:bookmarkEnd w:id="22"/>
                        <w:r w:rsidRPr="00F060B6">
                          <w:rPr>
                            <w:rFonts w:ascii="Arial" w:hAnsi="Arial" w:cs="Arial"/>
                            <w:b/>
                            <w:bCs/>
                            <w:color w:val="000000"/>
                            <w:sz w:val="18"/>
                            <w:szCs w:val="18"/>
                            <w:lang w:val="en-AU"/>
                          </w:rPr>
                          <w:t>1.17 Draft laws to deal with phoenix company activity</w:t>
                        </w:r>
                        <w:r w:rsidRPr="00F060B6">
                          <w:rPr>
                            <w:rFonts w:ascii="Arial" w:hAnsi="Arial" w:cs="Arial"/>
                            <w:color w:val="000000"/>
                            <w:sz w:val="18"/>
                            <w:szCs w:val="18"/>
                            <w:lang w:val="en-AU"/>
                          </w:rPr>
                          <w:br/>
                          <w:t> </w:t>
                        </w:r>
                        <w:r w:rsidRPr="00F060B6">
                          <w:rPr>
                            <w:rFonts w:ascii="Arial" w:hAnsi="Arial" w:cs="Arial"/>
                            <w:color w:val="000000"/>
                            <w:sz w:val="18"/>
                            <w:szCs w:val="18"/>
                            <w:lang w:val="en-AU"/>
                          </w:rPr>
                          <w:br/>
                          <w:t>On 20 December 2011, the Australian Government announced new measures to deal with 'phoenix' company activity.</w:t>
                        </w:r>
                      </w:p>
                      <w:p w:rsidR="00F060B6" w:rsidRPr="00F060B6" w:rsidRDefault="00F060B6" w:rsidP="00F060B6">
                        <w:pPr>
                          <w:spacing w:before="100" w:beforeAutospacing="1" w:after="100" w:afterAutospacing="1"/>
                          <w:rPr>
                            <w:rFonts w:ascii="Times" w:hAnsi="Times" w:cs="Times New Roman"/>
                            <w:sz w:val="20"/>
                            <w:szCs w:val="20"/>
                            <w:lang w:val="en-AU"/>
                          </w:rPr>
                        </w:pPr>
                        <w:r w:rsidRPr="00F060B6">
                          <w:rPr>
                            <w:rFonts w:ascii="Arial" w:hAnsi="Arial" w:cs="Arial"/>
                            <w:color w:val="000000"/>
                            <w:sz w:val="18"/>
                            <w:szCs w:val="18"/>
                            <w:lang w:val="en-AU"/>
                          </w:rPr>
                          <w:t xml:space="preserve">The draft Corporations Amendment (Similar Names Bill) 2012 (the Similar Names Bill) and the draft Corporations Amendment (Phoenixing and Other Measures) Bill 2012 (the Phoenixing Bill),which will implement key components of the Government's Protecting Workers' Entitlements 2010 election commitment, have been released for public consultation. </w:t>
                        </w:r>
                      </w:p>
                      <w:p w:rsidR="00F060B6" w:rsidRPr="00F060B6" w:rsidRDefault="00F060B6" w:rsidP="00F060B6">
                        <w:pPr>
                          <w:spacing w:before="100" w:beforeAutospacing="1" w:after="100" w:afterAutospacing="1"/>
                          <w:rPr>
                            <w:rFonts w:ascii="Times" w:hAnsi="Times" w:cs="Times New Roman"/>
                            <w:sz w:val="20"/>
                            <w:szCs w:val="20"/>
                            <w:lang w:val="en-AU"/>
                          </w:rPr>
                        </w:pPr>
                        <w:r w:rsidRPr="00F060B6">
                          <w:rPr>
                            <w:rFonts w:ascii="Arial" w:hAnsi="Arial" w:cs="Arial"/>
                            <w:color w:val="000000"/>
                            <w:sz w:val="18"/>
                            <w:szCs w:val="18"/>
                            <w:lang w:val="en-AU"/>
                          </w:rPr>
                          <w:t>The Similar Names Bill imposes personal liability upon directors for the debts of 'phoenix' companies that are set up using a similar name to a failed company that has left unpaid creditors behind.  It includes amendments designed to crack down on 'phoenixing', where directors try and avoid having to pay workers' entitlements and other unsecured creditors by restarting their failed business using a similar company name, sometimes located in the same premises with the same staff and clients.  Under the proposals, directors of a failed company can be held liable for the debts of a company that has a similar name to a pre-liquidation name of the failed company - otherwise known as a phoenix company.</w:t>
                        </w:r>
                      </w:p>
                      <w:p w:rsidR="00F060B6" w:rsidRPr="00F060B6" w:rsidRDefault="00F060B6" w:rsidP="00F060B6">
                        <w:pPr>
                          <w:spacing w:before="100" w:beforeAutospacing="1" w:after="100" w:afterAutospacing="1"/>
                          <w:rPr>
                            <w:rFonts w:ascii="Times" w:hAnsi="Times" w:cs="Times New Roman"/>
                            <w:sz w:val="20"/>
                            <w:szCs w:val="20"/>
                            <w:lang w:val="en-AU"/>
                          </w:rPr>
                        </w:pPr>
                        <w:r w:rsidRPr="00F060B6">
                          <w:rPr>
                            <w:rFonts w:ascii="Arial" w:hAnsi="Arial" w:cs="Arial"/>
                            <w:color w:val="000000"/>
                            <w:sz w:val="18"/>
                            <w:szCs w:val="18"/>
                            <w:lang w:val="en-AU"/>
                          </w:rPr>
                          <w:t xml:space="preserve">The amendments propose to stop directors from exploiting the limited liability protections in the </w:t>
                        </w:r>
                        <w:r w:rsidRPr="00F060B6">
                          <w:rPr>
                            <w:rFonts w:ascii="Arial" w:hAnsi="Arial" w:cs="Arial"/>
                            <w:color w:val="000000"/>
                            <w:sz w:val="18"/>
                            <w:szCs w:val="18"/>
                            <w:lang w:val="en-AU"/>
                          </w:rPr>
                          <w:fldChar w:fldCharType="begin"/>
                        </w:r>
                        <w:r w:rsidRPr="00F060B6">
                          <w:rPr>
                            <w:rFonts w:ascii="Arial" w:hAnsi="Arial" w:cs="Arial"/>
                            <w:color w:val="000000"/>
                            <w:sz w:val="18"/>
                            <w:szCs w:val="18"/>
                            <w:lang w:val="en-AU"/>
                          </w:rPr>
                          <w:instrText xml:space="preserve"> HYPERLINK "http://my.lawlex.com.au/index.asp?pact=coredoc&amp;nav=col&amp;cid=56482" \t "Default" </w:instrText>
                        </w:r>
                        <w:r w:rsidRPr="00F060B6">
                          <w:rPr>
                            <w:rFonts w:ascii="Arial" w:hAnsi="Arial" w:cs="Arial"/>
                            <w:color w:val="000000"/>
                            <w:sz w:val="18"/>
                            <w:szCs w:val="18"/>
                            <w:lang w:val="en-AU"/>
                          </w:rPr>
                        </w:r>
                        <w:r w:rsidRPr="00F060B6">
                          <w:rPr>
                            <w:rFonts w:ascii="Arial" w:hAnsi="Arial" w:cs="Arial"/>
                            <w:color w:val="000000"/>
                            <w:sz w:val="18"/>
                            <w:szCs w:val="18"/>
                            <w:lang w:val="en-AU"/>
                          </w:rPr>
                          <w:fldChar w:fldCharType="separate"/>
                        </w:r>
                        <w:r w:rsidRPr="00F060B6">
                          <w:rPr>
                            <w:rFonts w:ascii="Arial" w:hAnsi="Arial" w:cs="Arial"/>
                            <w:color w:val="0000FF"/>
                            <w:sz w:val="18"/>
                            <w:szCs w:val="18"/>
                            <w:u w:val="single"/>
                            <w:lang w:val="en-AU"/>
                          </w:rPr>
                          <w:t>Corporations Act</w:t>
                        </w:r>
                        <w:r w:rsidRPr="00F060B6">
                          <w:rPr>
                            <w:rFonts w:ascii="Arial" w:hAnsi="Arial" w:cs="Arial"/>
                            <w:color w:val="000000"/>
                            <w:sz w:val="18"/>
                            <w:szCs w:val="18"/>
                            <w:lang w:val="en-AU"/>
                          </w:rPr>
                          <w:fldChar w:fldCharType="end"/>
                        </w:r>
                        <w:r w:rsidRPr="00F060B6">
                          <w:rPr>
                            <w:rFonts w:ascii="Arial" w:hAnsi="Arial" w:cs="Arial"/>
                            <w:color w:val="000000"/>
                            <w:sz w:val="18"/>
                            <w:szCs w:val="18"/>
                            <w:lang w:val="en-AU"/>
                          </w:rPr>
                          <w:t xml:space="preserve"> to avoid having to pay any debts, including workers' entitlements, that they incur in a 'phoenix' company. </w:t>
                        </w:r>
                      </w:p>
                      <w:p w:rsidR="00F060B6" w:rsidRPr="00F060B6" w:rsidRDefault="00F060B6" w:rsidP="00F060B6">
                        <w:pPr>
                          <w:spacing w:before="100" w:beforeAutospacing="1" w:after="100" w:afterAutospacing="1"/>
                          <w:rPr>
                            <w:rFonts w:ascii="Times" w:hAnsi="Times" w:cs="Times New Roman"/>
                            <w:sz w:val="20"/>
                            <w:szCs w:val="20"/>
                            <w:lang w:val="en-AU"/>
                          </w:rPr>
                        </w:pPr>
                        <w:r w:rsidRPr="00F060B6">
                          <w:rPr>
                            <w:rFonts w:ascii="Arial" w:hAnsi="Arial" w:cs="Arial"/>
                            <w:color w:val="000000"/>
                            <w:sz w:val="18"/>
                            <w:szCs w:val="18"/>
                            <w:lang w:val="en-AU"/>
                          </w:rPr>
                          <w:t>The draft Phoenixing Bill includes amendments to the Corporations Act to provide the Australian Securities and Investments Commission (ASIC) with an administrative power to wind up abandoned companies and to facilitate the online publication of notices and gazettals relating to external administrations.  The reform is designed to ensure employees will be able to promptly access the Government's General Employee Entitlements and Redundancy Scheme (GEERS), which is only triggered once a company is wound up.</w:t>
                        </w:r>
                      </w:p>
                      <w:p w:rsidR="00F060B6" w:rsidRPr="00F060B6" w:rsidRDefault="00F060B6" w:rsidP="00F060B6">
                        <w:pPr>
                          <w:spacing w:before="100" w:beforeAutospacing="1" w:after="100" w:afterAutospacing="1"/>
                          <w:rPr>
                            <w:rFonts w:ascii="Times" w:hAnsi="Times" w:cs="Times New Roman"/>
                            <w:sz w:val="20"/>
                            <w:szCs w:val="20"/>
                            <w:lang w:val="en-AU"/>
                          </w:rPr>
                        </w:pPr>
                        <w:r w:rsidRPr="00F060B6">
                          <w:rPr>
                            <w:rFonts w:ascii="Arial" w:hAnsi="Arial" w:cs="Arial"/>
                            <w:color w:val="000000"/>
                            <w:sz w:val="18"/>
                            <w:szCs w:val="18"/>
                            <w:lang w:val="en-AU"/>
                          </w:rPr>
                          <w:t>Other measures contained in the draft Phoenixing Bill include a new requirement that liquidators notify the Department of Families, Housing, Community Services and Indigenous Affairs (FAHCSIA), which funds employers to pay the Government's paid parental leave payments for their employees, of the winding up of a company. This amendment will ensure that FAHCSIA can determine whether to continue making paid parental leave payments to the company or pay them directly to the employee.</w:t>
                        </w:r>
                      </w:p>
                      <w:p w:rsidR="00F060B6" w:rsidRPr="00F060B6" w:rsidRDefault="00F060B6" w:rsidP="00F060B6">
                        <w:pPr>
                          <w:spacing w:before="100" w:beforeAutospacing="1" w:after="100" w:afterAutospacing="1"/>
                          <w:rPr>
                            <w:rFonts w:ascii="Times" w:hAnsi="Times" w:cs="Times New Roman"/>
                            <w:sz w:val="20"/>
                            <w:szCs w:val="20"/>
                            <w:lang w:val="en-AU"/>
                          </w:rPr>
                        </w:pPr>
                        <w:r w:rsidRPr="00F060B6">
                          <w:rPr>
                            <w:rFonts w:ascii="Arial" w:hAnsi="Arial" w:cs="Arial"/>
                            <w:color w:val="000000"/>
                            <w:sz w:val="18"/>
                            <w:szCs w:val="18"/>
                            <w:lang w:val="en-AU"/>
                          </w:rPr>
                          <w:t xml:space="preserve">The draft </w:t>
                        </w:r>
                        <w:r w:rsidRPr="00F060B6">
                          <w:rPr>
                            <w:rFonts w:ascii="Arial" w:hAnsi="Arial" w:cs="Arial"/>
                            <w:color w:val="000000"/>
                            <w:sz w:val="18"/>
                            <w:szCs w:val="18"/>
                            <w:lang w:val="en-AU"/>
                          </w:rPr>
                          <w:fldChar w:fldCharType="begin"/>
                        </w:r>
                        <w:r w:rsidRPr="00F060B6">
                          <w:rPr>
                            <w:rFonts w:ascii="Arial" w:hAnsi="Arial" w:cs="Arial"/>
                            <w:color w:val="000000"/>
                            <w:sz w:val="18"/>
                            <w:szCs w:val="18"/>
                            <w:lang w:val="en-AU"/>
                          </w:rPr>
                          <w:instrText xml:space="preserve"> HYPERLINK "http://www.treasury.gov.au/contentitem.asp?NavId=037&amp;ContentID=2272" \t "_new" </w:instrText>
                        </w:r>
                        <w:r w:rsidRPr="00F060B6">
                          <w:rPr>
                            <w:rFonts w:ascii="Arial" w:hAnsi="Arial" w:cs="Arial"/>
                            <w:color w:val="000000"/>
                            <w:sz w:val="18"/>
                            <w:szCs w:val="18"/>
                            <w:lang w:val="en-AU"/>
                          </w:rPr>
                        </w:r>
                        <w:r w:rsidRPr="00F060B6">
                          <w:rPr>
                            <w:rFonts w:ascii="Arial" w:hAnsi="Arial" w:cs="Arial"/>
                            <w:color w:val="000000"/>
                            <w:sz w:val="18"/>
                            <w:szCs w:val="18"/>
                            <w:lang w:val="en-AU"/>
                          </w:rPr>
                          <w:fldChar w:fldCharType="separate"/>
                        </w:r>
                        <w:r w:rsidRPr="00F060B6">
                          <w:rPr>
                            <w:rFonts w:ascii="Arial" w:hAnsi="Arial" w:cs="Arial"/>
                            <w:color w:val="0000FF"/>
                            <w:sz w:val="18"/>
                            <w:szCs w:val="18"/>
                            <w:u w:val="single"/>
                            <w:lang w:val="en-AU"/>
                          </w:rPr>
                          <w:t>Similar Names Bill</w:t>
                        </w:r>
                        <w:r w:rsidRPr="00F060B6">
                          <w:rPr>
                            <w:rFonts w:ascii="Arial" w:hAnsi="Arial" w:cs="Arial"/>
                            <w:color w:val="000000"/>
                            <w:sz w:val="18"/>
                            <w:szCs w:val="18"/>
                            <w:lang w:val="en-AU"/>
                          </w:rPr>
                          <w:fldChar w:fldCharType="end"/>
                        </w:r>
                        <w:r w:rsidRPr="00F060B6">
                          <w:rPr>
                            <w:rFonts w:ascii="Arial" w:hAnsi="Arial" w:cs="Arial"/>
                            <w:color w:val="000000"/>
                            <w:sz w:val="18"/>
                            <w:szCs w:val="18"/>
                            <w:lang w:val="en-AU"/>
                          </w:rPr>
                          <w:t xml:space="preserve"> and the draft </w:t>
                        </w:r>
                        <w:r w:rsidRPr="00F060B6">
                          <w:rPr>
                            <w:rFonts w:ascii="Arial" w:hAnsi="Arial" w:cs="Arial"/>
                            <w:color w:val="000000"/>
                            <w:sz w:val="18"/>
                            <w:szCs w:val="18"/>
                            <w:lang w:val="en-AU"/>
                          </w:rPr>
                          <w:fldChar w:fldCharType="begin"/>
                        </w:r>
                        <w:r w:rsidRPr="00F060B6">
                          <w:rPr>
                            <w:rFonts w:ascii="Arial" w:hAnsi="Arial" w:cs="Arial"/>
                            <w:color w:val="000000"/>
                            <w:sz w:val="18"/>
                            <w:szCs w:val="18"/>
                            <w:lang w:val="en-AU"/>
                          </w:rPr>
                          <w:instrText xml:space="preserve"> HYPERLINK "http://www.treasury.gov.au/contentitem.asp?NavId=037&amp;ContentID=2279" \t "_new" </w:instrText>
                        </w:r>
                        <w:r w:rsidRPr="00F060B6">
                          <w:rPr>
                            <w:rFonts w:ascii="Arial" w:hAnsi="Arial" w:cs="Arial"/>
                            <w:color w:val="000000"/>
                            <w:sz w:val="18"/>
                            <w:szCs w:val="18"/>
                            <w:lang w:val="en-AU"/>
                          </w:rPr>
                        </w:r>
                        <w:r w:rsidRPr="00F060B6">
                          <w:rPr>
                            <w:rFonts w:ascii="Arial" w:hAnsi="Arial" w:cs="Arial"/>
                            <w:color w:val="000000"/>
                            <w:sz w:val="18"/>
                            <w:szCs w:val="18"/>
                            <w:lang w:val="en-AU"/>
                          </w:rPr>
                          <w:fldChar w:fldCharType="separate"/>
                        </w:r>
                        <w:r w:rsidRPr="00F060B6">
                          <w:rPr>
                            <w:rFonts w:ascii="Arial" w:hAnsi="Arial" w:cs="Arial"/>
                            <w:color w:val="0000FF"/>
                            <w:sz w:val="18"/>
                            <w:szCs w:val="18"/>
                            <w:u w:val="single"/>
                            <w:lang w:val="en-AU"/>
                          </w:rPr>
                          <w:t>Phoenixing Bill</w:t>
                        </w:r>
                        <w:r w:rsidRPr="00F060B6">
                          <w:rPr>
                            <w:rFonts w:ascii="Arial" w:hAnsi="Arial" w:cs="Arial"/>
                            <w:color w:val="000000"/>
                            <w:sz w:val="18"/>
                            <w:szCs w:val="18"/>
                            <w:lang w:val="en-AU"/>
                          </w:rPr>
                          <w:fldChar w:fldCharType="end"/>
                        </w:r>
                        <w:r w:rsidRPr="00F060B6">
                          <w:rPr>
                            <w:rFonts w:ascii="Arial" w:hAnsi="Arial" w:cs="Arial"/>
                            <w:color w:val="000000"/>
                            <w:sz w:val="18"/>
                            <w:szCs w:val="18"/>
                            <w:lang w:val="en-AU"/>
                          </w:rPr>
                          <w:t xml:space="preserve"> can be found on the Treasury website. </w:t>
                        </w:r>
                      </w:p>
                      <w:p w:rsidR="00F060B6" w:rsidRPr="00F060B6" w:rsidRDefault="00F060B6" w:rsidP="00F060B6">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1508" name="Picture 21508" descr="etailed Contents">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08" descr="etailed Contents"/>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060B6" w:rsidRPr="00F060B6" w:rsidRDefault="00F060B6" w:rsidP="00F060B6">
                        <w:pPr>
                          <w:jc w:val="center"/>
                          <w:rPr>
                            <w:rFonts w:ascii="Arial" w:eastAsia="Times New Roman" w:hAnsi="Arial" w:cs="Arial"/>
                            <w:color w:val="000000"/>
                            <w:sz w:val="18"/>
                            <w:szCs w:val="18"/>
                            <w:lang w:val="en-AU"/>
                          </w:rPr>
                        </w:pPr>
                        <w:r w:rsidRPr="00F060B6">
                          <w:rPr>
                            <w:rFonts w:ascii="Arial" w:eastAsia="Times New Roman" w:hAnsi="Arial" w:cs="Arial"/>
                            <w:color w:val="000000"/>
                            <w:sz w:val="18"/>
                            <w:szCs w:val="18"/>
                            <w:lang w:val="en-AU"/>
                          </w:rPr>
                          <w:pict>
                            <v:rect id="_x0000_i22533" style="width:415pt;height:2pt" o:hralign="center" o:hrstd="t" o:hr="t" fillcolor="#aaa" stroked="f"/>
                          </w:pict>
                        </w:r>
                      </w:p>
                      <w:p w:rsidR="00F060B6" w:rsidRPr="00F060B6" w:rsidRDefault="00F060B6" w:rsidP="00F060B6">
                        <w:pPr>
                          <w:spacing w:before="100" w:beforeAutospacing="1" w:after="100" w:afterAutospacing="1"/>
                          <w:rPr>
                            <w:rFonts w:ascii="Times" w:hAnsi="Times" w:cs="Times New Roman"/>
                            <w:sz w:val="20"/>
                            <w:szCs w:val="20"/>
                            <w:lang w:val="en-AU"/>
                          </w:rPr>
                        </w:pPr>
                        <w:bookmarkStart w:id="23" w:name="0118"/>
                        <w:bookmarkEnd w:id="23"/>
                        <w:r w:rsidRPr="00F060B6">
                          <w:rPr>
                            <w:rFonts w:ascii="Arial" w:hAnsi="Arial" w:cs="Arial"/>
                            <w:b/>
                            <w:bCs/>
                            <w:color w:val="000000"/>
                            <w:sz w:val="18"/>
                            <w:szCs w:val="18"/>
                            <w:lang w:val="en-AU"/>
                          </w:rPr>
                          <w:t>1.18 Basel Committee consultative paper on revised 'Core Principles for Effective Banking Supervision'</w:t>
                        </w:r>
                        <w:r w:rsidRPr="00F060B6">
                          <w:rPr>
                            <w:rFonts w:ascii="Arial" w:hAnsi="Arial" w:cs="Arial"/>
                            <w:color w:val="000000"/>
                            <w:sz w:val="18"/>
                            <w:szCs w:val="18"/>
                            <w:lang w:val="en-AU"/>
                          </w:rPr>
                          <w:br/>
                          <w:t> </w:t>
                        </w:r>
                        <w:r w:rsidRPr="00F060B6">
                          <w:rPr>
                            <w:rFonts w:ascii="Arial" w:hAnsi="Arial" w:cs="Arial"/>
                            <w:color w:val="000000"/>
                            <w:sz w:val="18"/>
                            <w:szCs w:val="18"/>
                            <w:lang w:val="en-AU"/>
                          </w:rPr>
                          <w:br/>
                          <w:t xml:space="preserve">On 20 December 2011, the Basel Committee on Banking Supervision issued for public comment its revised 'Core Principles for Effective Banking Supervision'.  The consultative paper updates the Committee's 2006 'Core principles for effective banking supervision' and the associated 'Core principles methodology', and merges the two documents into one.  </w:t>
                        </w:r>
                        <w:r w:rsidRPr="00F060B6">
                          <w:rPr>
                            <w:rFonts w:ascii="Arial" w:hAnsi="Arial" w:cs="Arial"/>
                            <w:color w:val="000000"/>
                            <w:sz w:val="18"/>
                            <w:szCs w:val="18"/>
                            <w:lang w:val="en-AU"/>
                          </w:rPr>
                          <w:br/>
                          <w:t> </w:t>
                        </w:r>
                        <w:r w:rsidRPr="00F060B6">
                          <w:rPr>
                            <w:rFonts w:ascii="Arial" w:hAnsi="Arial" w:cs="Arial"/>
                            <w:color w:val="000000"/>
                            <w:sz w:val="18"/>
                            <w:szCs w:val="18"/>
                            <w:lang w:val="en-AU"/>
                          </w:rPr>
                          <w:br/>
                          <w:t>The Core Principles have also been re-ordered, highlighting the difference between what supervisors do themselves and what they expect banks to do:  </w:t>
                        </w:r>
                      </w:p>
                      <w:p w:rsidR="00F060B6" w:rsidRPr="00F060B6" w:rsidRDefault="00F060B6" w:rsidP="00F060B6">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060B6">
                          <w:rPr>
                            <w:rFonts w:ascii="Arial" w:eastAsia="Times New Roman" w:hAnsi="Arial" w:cs="Arial"/>
                            <w:color w:val="000000"/>
                            <w:sz w:val="18"/>
                            <w:szCs w:val="18"/>
                            <w:lang w:val="en-AU"/>
                          </w:rPr>
                          <w:t>Principles 1 to 13 address supervisory powers, responsibilities and functions, focusing on effective risk-based supervision, and the need for early intervention and timely supervisory actions.  </w:t>
                        </w:r>
                      </w:p>
                      <w:p w:rsidR="00F060B6" w:rsidRPr="00F060B6" w:rsidRDefault="00F060B6" w:rsidP="00F060B6">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060B6">
                          <w:rPr>
                            <w:rFonts w:ascii="Arial" w:eastAsia="Times New Roman" w:hAnsi="Arial" w:cs="Arial"/>
                            <w:color w:val="000000"/>
                            <w:sz w:val="18"/>
                            <w:szCs w:val="18"/>
                            <w:lang w:val="en-AU"/>
                          </w:rPr>
                          <w:t xml:space="preserve">Principles 14 to 29 cover supervisory expectations of banks, emphasizing the importance of good corporate governance and risk management, as well as compliance with supervisory standards. </w:t>
                        </w:r>
                      </w:p>
                      <w:p w:rsidR="00F060B6" w:rsidRPr="00F060B6" w:rsidRDefault="00F060B6" w:rsidP="00F060B6">
                        <w:pPr>
                          <w:spacing w:before="100" w:beforeAutospacing="1" w:after="100" w:afterAutospacing="1"/>
                          <w:rPr>
                            <w:rFonts w:ascii="Times" w:hAnsi="Times" w:cs="Times New Roman"/>
                            <w:sz w:val="20"/>
                            <w:szCs w:val="20"/>
                            <w:lang w:val="en-AU"/>
                          </w:rPr>
                        </w:pPr>
                        <w:r w:rsidRPr="00F060B6">
                          <w:rPr>
                            <w:rFonts w:ascii="Arial" w:hAnsi="Arial" w:cs="Arial"/>
                            <w:color w:val="000000"/>
                            <w:sz w:val="18"/>
                            <w:szCs w:val="18"/>
                            <w:lang w:val="en-AU"/>
                          </w:rPr>
                          <w:t xml:space="preserve">The Core Principles have been enhanced to strengthen supervisory practices and risk management.  In addition, the revised Core Principles respond to several key trends and developments that emerged during the last few years of market turmoil: </w:t>
                        </w:r>
                      </w:p>
                      <w:p w:rsidR="00F060B6" w:rsidRPr="00F060B6" w:rsidRDefault="00F060B6" w:rsidP="00F060B6">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060B6">
                          <w:rPr>
                            <w:rFonts w:ascii="Arial" w:eastAsia="Times New Roman" w:hAnsi="Arial" w:cs="Arial"/>
                            <w:color w:val="000000"/>
                            <w:sz w:val="18"/>
                            <w:szCs w:val="18"/>
                            <w:lang w:val="en-AU"/>
                          </w:rPr>
                          <w:t>the need for greater intensity and resources to deal effectively with systemically important banks;  </w:t>
                        </w:r>
                      </w:p>
                      <w:p w:rsidR="00F060B6" w:rsidRPr="00F060B6" w:rsidRDefault="00F060B6" w:rsidP="00F060B6">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060B6">
                          <w:rPr>
                            <w:rFonts w:ascii="Arial" w:eastAsia="Times New Roman" w:hAnsi="Arial" w:cs="Arial"/>
                            <w:color w:val="000000"/>
                            <w:sz w:val="18"/>
                            <w:szCs w:val="18"/>
                            <w:lang w:val="en-AU"/>
                          </w:rPr>
                          <w:t xml:space="preserve">the importance of applying a system-wide, macro perspective to the micro-prudential supervision of banks to assist in identifying, analyzing and taking pre-emptive action to address systemic risk; and </w:t>
                        </w:r>
                      </w:p>
                      <w:p w:rsidR="00F060B6" w:rsidRPr="00F060B6" w:rsidRDefault="00F060B6" w:rsidP="00F060B6">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060B6">
                          <w:rPr>
                            <w:rFonts w:ascii="Arial" w:eastAsia="Times New Roman" w:hAnsi="Arial" w:cs="Arial"/>
                            <w:color w:val="000000"/>
                            <w:sz w:val="18"/>
                            <w:szCs w:val="18"/>
                            <w:lang w:val="en-AU"/>
                          </w:rPr>
                          <w:t xml:space="preserve">the increasing focus on effective crisis management, recovery and resolution measures in reducing both the probability and impact of a bank failure. </w:t>
                        </w:r>
                      </w:p>
                      <w:p w:rsidR="00F060B6" w:rsidRPr="00F060B6" w:rsidRDefault="00F060B6" w:rsidP="00F060B6">
                        <w:pPr>
                          <w:spacing w:before="100" w:beforeAutospacing="1" w:after="100" w:afterAutospacing="1"/>
                          <w:rPr>
                            <w:rFonts w:ascii="Times" w:hAnsi="Times" w:cs="Times New Roman"/>
                            <w:sz w:val="20"/>
                            <w:szCs w:val="20"/>
                            <w:lang w:val="en-AU"/>
                          </w:rPr>
                        </w:pPr>
                        <w:r w:rsidRPr="00F060B6">
                          <w:rPr>
                            <w:rFonts w:ascii="Arial" w:hAnsi="Arial" w:cs="Arial"/>
                            <w:color w:val="000000"/>
                            <w:sz w:val="18"/>
                            <w:szCs w:val="18"/>
                            <w:lang w:val="en-AU"/>
                          </w:rPr>
                          <w:t xml:space="preserve">The total number of Core Principles has increased from 25 to 29; 36 new essential and additional criteria have been introduced and another 33 additional criteria have been upgraded to essential criteria that represent minimum baseline requirements for all countries. </w:t>
                        </w:r>
                      </w:p>
                      <w:p w:rsidR="00F060B6" w:rsidRPr="00F060B6" w:rsidRDefault="00F060B6" w:rsidP="00F060B6">
                        <w:pPr>
                          <w:spacing w:before="100" w:beforeAutospacing="1" w:after="100" w:afterAutospacing="1"/>
                          <w:rPr>
                            <w:rFonts w:ascii="Times" w:hAnsi="Times" w:cs="Times New Roman"/>
                            <w:sz w:val="20"/>
                            <w:szCs w:val="20"/>
                            <w:lang w:val="en-AU"/>
                          </w:rPr>
                        </w:pPr>
                        <w:r w:rsidRPr="00F060B6">
                          <w:rPr>
                            <w:rFonts w:ascii="Arial" w:hAnsi="Arial" w:cs="Arial"/>
                            <w:color w:val="000000"/>
                            <w:sz w:val="18"/>
                            <w:szCs w:val="18"/>
                            <w:lang w:val="en-AU"/>
                          </w:rPr>
                          <w:t xml:space="preserve">The revised Core Principles represent the collective efforts between the Basel Committee and other banking supervisors from around the world, as well as the International Monetary Fund and the World Bank. </w:t>
                        </w:r>
                      </w:p>
                      <w:p w:rsidR="00F060B6" w:rsidRPr="00F060B6" w:rsidRDefault="00F060B6" w:rsidP="00F060B6">
                        <w:pPr>
                          <w:spacing w:before="100" w:beforeAutospacing="1" w:after="100" w:afterAutospacing="1"/>
                          <w:rPr>
                            <w:rFonts w:ascii="Times" w:hAnsi="Times" w:cs="Times New Roman"/>
                            <w:sz w:val="20"/>
                            <w:szCs w:val="20"/>
                            <w:lang w:val="en-AU"/>
                          </w:rPr>
                        </w:pPr>
                        <w:r w:rsidRPr="00F060B6">
                          <w:rPr>
                            <w:rFonts w:ascii="Arial" w:hAnsi="Arial" w:cs="Arial"/>
                            <w:color w:val="000000"/>
                            <w:sz w:val="18"/>
                            <w:szCs w:val="18"/>
                            <w:lang w:val="en-AU"/>
                          </w:rPr>
                          <w:t xml:space="preserve">The full text of the revised Core Principles is available on the </w:t>
                        </w:r>
                        <w:r w:rsidRPr="00F060B6">
                          <w:rPr>
                            <w:rFonts w:ascii="Arial" w:hAnsi="Arial" w:cs="Arial"/>
                            <w:color w:val="000000"/>
                            <w:sz w:val="18"/>
                            <w:szCs w:val="18"/>
                            <w:lang w:val="en-AU"/>
                          </w:rPr>
                          <w:fldChar w:fldCharType="begin"/>
                        </w:r>
                        <w:r w:rsidRPr="00F060B6">
                          <w:rPr>
                            <w:rFonts w:ascii="Arial" w:hAnsi="Arial" w:cs="Arial"/>
                            <w:color w:val="000000"/>
                            <w:sz w:val="18"/>
                            <w:szCs w:val="18"/>
                            <w:lang w:val="en-AU"/>
                          </w:rPr>
                          <w:instrText xml:space="preserve"> HYPERLINK "http://www.bis.org/publ/bcbs213.pdf" \t "_new" </w:instrText>
                        </w:r>
                        <w:r w:rsidRPr="00F060B6">
                          <w:rPr>
                            <w:rFonts w:ascii="Arial" w:hAnsi="Arial" w:cs="Arial"/>
                            <w:color w:val="000000"/>
                            <w:sz w:val="18"/>
                            <w:szCs w:val="18"/>
                            <w:lang w:val="en-AU"/>
                          </w:rPr>
                        </w:r>
                        <w:r w:rsidRPr="00F060B6">
                          <w:rPr>
                            <w:rFonts w:ascii="Arial" w:hAnsi="Arial" w:cs="Arial"/>
                            <w:color w:val="000000"/>
                            <w:sz w:val="18"/>
                            <w:szCs w:val="18"/>
                            <w:lang w:val="en-AU"/>
                          </w:rPr>
                          <w:fldChar w:fldCharType="separate"/>
                        </w:r>
                        <w:r w:rsidRPr="00F060B6">
                          <w:rPr>
                            <w:rFonts w:ascii="Arial" w:hAnsi="Arial" w:cs="Arial"/>
                            <w:color w:val="0000FF"/>
                            <w:sz w:val="18"/>
                            <w:szCs w:val="18"/>
                            <w:u w:val="single"/>
                            <w:lang w:val="en-AU"/>
                          </w:rPr>
                          <w:t>BIS website</w:t>
                        </w:r>
                        <w:r w:rsidRPr="00F060B6">
                          <w:rPr>
                            <w:rFonts w:ascii="Arial" w:hAnsi="Arial" w:cs="Arial"/>
                            <w:color w:val="000000"/>
                            <w:sz w:val="18"/>
                            <w:szCs w:val="18"/>
                            <w:lang w:val="en-AU"/>
                          </w:rPr>
                          <w:fldChar w:fldCharType="end"/>
                        </w:r>
                        <w:r w:rsidRPr="00F060B6">
                          <w:rPr>
                            <w:rFonts w:ascii="Arial" w:hAnsi="Arial" w:cs="Arial"/>
                            <w:color w:val="000000"/>
                            <w:sz w:val="18"/>
                            <w:szCs w:val="18"/>
                            <w:lang w:val="en-AU"/>
                          </w:rPr>
                          <w:t>.</w:t>
                        </w:r>
                      </w:p>
                      <w:p w:rsidR="00F060B6" w:rsidRPr="00F060B6" w:rsidRDefault="00F060B6" w:rsidP="00F060B6">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1510" name="Picture 21510" descr="etailed Contents">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10" descr="etailed Contents"/>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060B6" w:rsidRPr="00F060B6" w:rsidRDefault="00F060B6" w:rsidP="00F060B6">
                        <w:pPr>
                          <w:jc w:val="center"/>
                          <w:rPr>
                            <w:rFonts w:ascii="Arial" w:eastAsia="Times New Roman" w:hAnsi="Arial" w:cs="Arial"/>
                            <w:color w:val="000000"/>
                            <w:sz w:val="18"/>
                            <w:szCs w:val="18"/>
                            <w:lang w:val="en-AU"/>
                          </w:rPr>
                        </w:pPr>
                        <w:r w:rsidRPr="00F060B6">
                          <w:rPr>
                            <w:rFonts w:ascii="Arial" w:eastAsia="Times New Roman" w:hAnsi="Arial" w:cs="Arial"/>
                            <w:color w:val="000000"/>
                            <w:sz w:val="18"/>
                            <w:szCs w:val="18"/>
                            <w:lang w:val="en-AU"/>
                          </w:rPr>
                          <w:pict>
                            <v:rect id="_x0000_i22535" style="width:415pt;height:2pt" o:hralign="center" o:hrstd="t" o:hr="t" fillcolor="#aaa" stroked="f"/>
                          </w:pict>
                        </w:r>
                      </w:p>
                      <w:p w:rsidR="00F060B6" w:rsidRPr="00F060B6" w:rsidRDefault="00F060B6" w:rsidP="00F060B6">
                        <w:pPr>
                          <w:spacing w:before="100" w:beforeAutospacing="1" w:after="100" w:afterAutospacing="1"/>
                          <w:rPr>
                            <w:rFonts w:ascii="Times" w:hAnsi="Times" w:cs="Times New Roman"/>
                            <w:sz w:val="20"/>
                            <w:szCs w:val="20"/>
                            <w:lang w:val="en-AU"/>
                          </w:rPr>
                        </w:pPr>
                        <w:bookmarkStart w:id="24" w:name="0119"/>
                        <w:bookmarkEnd w:id="24"/>
                        <w:r w:rsidRPr="00F060B6">
                          <w:rPr>
                            <w:rFonts w:ascii="Arial" w:hAnsi="Arial" w:cs="Arial"/>
                            <w:b/>
                            <w:bCs/>
                            <w:color w:val="000000"/>
                            <w:sz w:val="18"/>
                            <w:szCs w:val="18"/>
                            <w:lang w:val="en-AU"/>
                          </w:rPr>
                          <w:t>1.19 Basel Committee consultative paper on 'Principles for the Supervision of Financial Conglomerates'</w:t>
                        </w:r>
                        <w:r w:rsidRPr="00F060B6">
                          <w:rPr>
                            <w:rFonts w:ascii="Arial" w:hAnsi="Arial" w:cs="Arial"/>
                            <w:color w:val="000000"/>
                            <w:sz w:val="18"/>
                            <w:szCs w:val="18"/>
                            <w:lang w:val="en-AU"/>
                          </w:rPr>
                          <w:br/>
                          <w:t> </w:t>
                        </w:r>
                        <w:r w:rsidRPr="00F060B6">
                          <w:rPr>
                            <w:rFonts w:ascii="Arial" w:hAnsi="Arial" w:cs="Arial"/>
                            <w:color w:val="000000"/>
                            <w:sz w:val="18"/>
                            <w:szCs w:val="18"/>
                            <w:lang w:val="en-AU"/>
                          </w:rPr>
                          <w:br/>
                          <w:t>On 19 December 2011, the Basel Committee's Joint Forum released a consultative paper on 'Principles for the Supervision of Financial Conglomerates'.  The proposed principles, which revise the Joint Forum's 1999 principles, provide national authorities, standard setters and supervisors with a set of internationally agreed principles that support consistent and effective supervision of financial conglomerates and in particular those financial conglomerates that are active across borders.</w:t>
                        </w:r>
                      </w:p>
                      <w:p w:rsidR="00F060B6" w:rsidRPr="00F060B6" w:rsidRDefault="00F060B6" w:rsidP="00F060B6">
                        <w:pPr>
                          <w:spacing w:before="100" w:beforeAutospacing="1" w:after="100" w:afterAutospacing="1"/>
                          <w:rPr>
                            <w:rFonts w:ascii="Times" w:hAnsi="Times" w:cs="Times New Roman"/>
                            <w:sz w:val="20"/>
                            <w:szCs w:val="20"/>
                            <w:lang w:val="en-AU"/>
                          </w:rPr>
                        </w:pPr>
                        <w:r w:rsidRPr="00F060B6">
                          <w:rPr>
                            <w:rFonts w:ascii="Arial" w:hAnsi="Arial" w:cs="Arial"/>
                            <w:color w:val="000000"/>
                            <w:sz w:val="18"/>
                            <w:szCs w:val="18"/>
                            <w:lang w:val="en-AU"/>
                          </w:rPr>
                          <w:t>The principles are designed to strengthen the global financial system through more effective and consistent oversight and supervision of financial conglomerates, notably including risks arising from unregulated financial activities and entities.</w:t>
                        </w:r>
                      </w:p>
                      <w:p w:rsidR="00F060B6" w:rsidRPr="00F060B6" w:rsidRDefault="00F060B6" w:rsidP="00F060B6">
                        <w:pPr>
                          <w:spacing w:before="100" w:beforeAutospacing="1" w:after="100" w:afterAutospacing="1"/>
                          <w:rPr>
                            <w:rFonts w:ascii="Times" w:hAnsi="Times" w:cs="Times New Roman"/>
                            <w:sz w:val="20"/>
                            <w:szCs w:val="20"/>
                            <w:lang w:val="en-AU"/>
                          </w:rPr>
                        </w:pPr>
                        <w:r w:rsidRPr="00F060B6">
                          <w:rPr>
                            <w:rFonts w:ascii="Arial" w:hAnsi="Arial" w:cs="Arial"/>
                            <w:color w:val="000000"/>
                            <w:sz w:val="18"/>
                            <w:szCs w:val="18"/>
                            <w:lang w:val="en-AU"/>
                          </w:rPr>
                          <w:t xml:space="preserve">The proposed principles are organized into five sections and expand on and supplement the 1999 Principles in a number of ways, including: </w:t>
                        </w:r>
                      </w:p>
                      <w:p w:rsidR="00F060B6" w:rsidRPr="00F060B6" w:rsidRDefault="00F060B6" w:rsidP="00F060B6">
                        <w:pPr>
                          <w:spacing w:before="100" w:beforeAutospacing="1" w:after="100" w:afterAutospacing="1"/>
                          <w:rPr>
                            <w:rFonts w:ascii="Times" w:hAnsi="Times" w:cs="Times New Roman"/>
                            <w:sz w:val="20"/>
                            <w:szCs w:val="20"/>
                            <w:lang w:val="en-AU"/>
                          </w:rPr>
                        </w:pPr>
                        <w:r w:rsidRPr="00F060B6">
                          <w:rPr>
                            <w:rFonts w:ascii="Arial" w:hAnsi="Arial" w:cs="Arial"/>
                            <w:b/>
                            <w:bCs/>
                            <w:color w:val="000000"/>
                            <w:sz w:val="18"/>
                            <w:szCs w:val="18"/>
                            <w:lang w:val="en-AU"/>
                          </w:rPr>
                          <w:t xml:space="preserve">Supervisory powers and authority </w:t>
                        </w:r>
                        <w:r w:rsidRPr="00F060B6">
                          <w:rPr>
                            <w:rFonts w:ascii="Arial" w:hAnsi="Arial" w:cs="Arial"/>
                            <w:color w:val="000000"/>
                            <w:sz w:val="18"/>
                            <w:szCs w:val="18"/>
                            <w:lang w:val="en-AU"/>
                          </w:rPr>
                          <w:br/>
                          <w:t xml:space="preserve">The principles are directed to both policy makers and supervisors highlighting the need for a clear legal framework that provides supervisors with the necessary powers, authority and resources to perform, with independence and in coordination with other supervisors, comprehensive group-wide supervision. </w:t>
                        </w:r>
                      </w:p>
                      <w:p w:rsidR="00F060B6" w:rsidRPr="00F060B6" w:rsidRDefault="00F060B6" w:rsidP="00F060B6">
                        <w:pPr>
                          <w:spacing w:before="100" w:beforeAutospacing="1" w:after="100" w:afterAutospacing="1"/>
                          <w:rPr>
                            <w:rFonts w:ascii="Times" w:hAnsi="Times" w:cs="Times New Roman"/>
                            <w:sz w:val="20"/>
                            <w:szCs w:val="20"/>
                            <w:lang w:val="en-AU"/>
                          </w:rPr>
                        </w:pPr>
                        <w:r w:rsidRPr="00F060B6">
                          <w:rPr>
                            <w:rFonts w:ascii="Arial" w:hAnsi="Arial" w:cs="Arial"/>
                            <w:b/>
                            <w:bCs/>
                            <w:color w:val="000000"/>
                            <w:sz w:val="18"/>
                            <w:szCs w:val="18"/>
                            <w:lang w:val="en-AU"/>
                          </w:rPr>
                          <w:t xml:space="preserve">Supervisory responsibility </w:t>
                        </w:r>
                        <w:r w:rsidRPr="00F060B6">
                          <w:rPr>
                            <w:rFonts w:ascii="Arial" w:hAnsi="Arial" w:cs="Arial"/>
                            <w:color w:val="000000"/>
                            <w:sz w:val="18"/>
                            <w:szCs w:val="18"/>
                            <w:lang w:val="en-AU"/>
                          </w:rPr>
                          <w:br/>
                          <w:t xml:space="preserve">The principles reaffirm the importance of supervisory cooperation, coordination and information exchange. They clarify the importance of identifying a group-level supervisor whose responsibility is to focus on group-level supervision and the facilitation of coordination between relevant supervisors. New principles have been included which relate to the role and responsibilities of supervisors in implementing minimum prudential standards, monitoring and supervising activities of financial conglomerates and taking corrective action as appropriate. </w:t>
                        </w:r>
                      </w:p>
                      <w:p w:rsidR="00F060B6" w:rsidRPr="00F060B6" w:rsidRDefault="00F060B6" w:rsidP="00F060B6">
                        <w:pPr>
                          <w:spacing w:before="100" w:beforeAutospacing="1" w:after="100" w:afterAutospacing="1"/>
                          <w:rPr>
                            <w:rFonts w:ascii="Times" w:hAnsi="Times" w:cs="Times New Roman"/>
                            <w:sz w:val="20"/>
                            <w:szCs w:val="20"/>
                            <w:lang w:val="en-AU"/>
                          </w:rPr>
                        </w:pPr>
                        <w:r w:rsidRPr="00F060B6">
                          <w:rPr>
                            <w:rFonts w:ascii="Arial" w:hAnsi="Arial" w:cs="Arial"/>
                            <w:b/>
                            <w:bCs/>
                            <w:color w:val="000000"/>
                            <w:sz w:val="18"/>
                            <w:szCs w:val="18"/>
                            <w:lang w:val="en-AU"/>
                          </w:rPr>
                          <w:t xml:space="preserve">Corporate governance </w:t>
                        </w:r>
                        <w:r w:rsidRPr="00F060B6">
                          <w:rPr>
                            <w:rFonts w:ascii="Arial" w:hAnsi="Arial" w:cs="Arial"/>
                            <w:color w:val="000000"/>
                            <w:sz w:val="18"/>
                            <w:szCs w:val="18"/>
                            <w:lang w:val="en-AU"/>
                          </w:rPr>
                          <w:br/>
                          <w:t xml:space="preserve">The principles reaffirm the importance of fit and proper principles and also provide, through a series of new principles, guidance for supervisors intended to ensure the existence of a robust corporate governance framework for financial conglomerates. These new principles relate to the structure of the financial conglomerate, the responsibilities of the board and senior management, the treatment of conflicts of interest and remuneration policy. </w:t>
                        </w:r>
                      </w:p>
                      <w:p w:rsidR="00F060B6" w:rsidRPr="00F060B6" w:rsidRDefault="00F060B6" w:rsidP="00F060B6">
                        <w:pPr>
                          <w:spacing w:before="100" w:beforeAutospacing="1" w:after="100" w:afterAutospacing="1"/>
                          <w:rPr>
                            <w:rFonts w:ascii="Times" w:hAnsi="Times" w:cs="Times New Roman"/>
                            <w:sz w:val="20"/>
                            <w:szCs w:val="20"/>
                            <w:lang w:val="en-AU"/>
                          </w:rPr>
                        </w:pPr>
                        <w:r w:rsidRPr="00F060B6">
                          <w:rPr>
                            <w:rFonts w:ascii="Arial" w:hAnsi="Arial" w:cs="Arial"/>
                            <w:b/>
                            <w:bCs/>
                            <w:color w:val="000000"/>
                            <w:sz w:val="18"/>
                            <w:szCs w:val="18"/>
                            <w:lang w:val="en-AU"/>
                          </w:rPr>
                          <w:t xml:space="preserve">Capital adequacy and liquidity </w:t>
                        </w:r>
                        <w:r w:rsidRPr="00F060B6">
                          <w:rPr>
                            <w:rFonts w:ascii="Arial" w:hAnsi="Arial" w:cs="Arial"/>
                            <w:color w:val="000000"/>
                            <w:sz w:val="18"/>
                            <w:szCs w:val="18"/>
                            <w:lang w:val="en-AU"/>
                          </w:rPr>
                          <w:br/>
                          <w:t xml:space="preserve">The principles highlight the role of supervisors in assessing capital adequacy on a group basis, taking into account unregulated entities and activities and the risks they pose to regulated entities. They include new principles on group-wide capital management. The principles also provide guidance on internal capital planning processes that rely on sound board and management decisions, incorporate stressed scenario outcomes, and are subject to adequate internal controls. A new principle on liquidity assessment and management is also introduced - providing guidance for supervisors intended to ensure that financial conglomerates properly measure and manage liquidity risk. </w:t>
                        </w:r>
                      </w:p>
                      <w:p w:rsidR="00F060B6" w:rsidRPr="00F060B6" w:rsidRDefault="00F060B6" w:rsidP="00F060B6">
                        <w:pPr>
                          <w:spacing w:before="100" w:beforeAutospacing="1" w:after="100" w:afterAutospacing="1"/>
                          <w:rPr>
                            <w:rFonts w:ascii="Times" w:hAnsi="Times" w:cs="Times New Roman"/>
                            <w:sz w:val="20"/>
                            <w:szCs w:val="20"/>
                            <w:lang w:val="en-AU"/>
                          </w:rPr>
                        </w:pPr>
                        <w:r w:rsidRPr="00F060B6">
                          <w:rPr>
                            <w:rFonts w:ascii="Arial" w:hAnsi="Arial" w:cs="Arial"/>
                            <w:b/>
                            <w:bCs/>
                            <w:color w:val="000000"/>
                            <w:sz w:val="18"/>
                            <w:szCs w:val="18"/>
                            <w:lang w:val="en-AU"/>
                          </w:rPr>
                          <w:t xml:space="preserve">Risk management </w:t>
                        </w:r>
                        <w:r w:rsidRPr="00F060B6">
                          <w:rPr>
                            <w:rFonts w:ascii="Arial" w:hAnsi="Arial" w:cs="Arial"/>
                            <w:color w:val="000000"/>
                            <w:sz w:val="18"/>
                            <w:szCs w:val="18"/>
                            <w:lang w:val="en-AU"/>
                          </w:rPr>
                          <w:br/>
                          <w:t xml:space="preserve">The principles set out the need for a financial conglomerate to have a comprehensive risk management framework to manage and report group-wide risk concentrations and intra-group transactions and exposures. Greater emphasis is placed on the financial conglomerate's ability to measure, manage and report all material risks to which it is exposed, including those stemming from unregulated entities and activities. The principles focus on group-wide risk management culture and appropriate tolerance levels; addressing risks associated with new business areas and outsourcing; group-wide stress-tests and scenario analyses for the prudent aggregation of risks; bringing off-balance sheet activities within the scope of group-wide supervision. </w:t>
                        </w:r>
                      </w:p>
                      <w:p w:rsidR="00F060B6" w:rsidRPr="00F060B6" w:rsidRDefault="00F060B6" w:rsidP="00F060B6">
                        <w:pPr>
                          <w:spacing w:before="100" w:beforeAutospacing="1" w:after="100" w:afterAutospacing="1"/>
                          <w:rPr>
                            <w:rFonts w:ascii="Times" w:hAnsi="Times" w:cs="Times New Roman"/>
                            <w:sz w:val="20"/>
                            <w:szCs w:val="20"/>
                            <w:lang w:val="en-AU"/>
                          </w:rPr>
                        </w:pPr>
                        <w:r w:rsidRPr="00F060B6">
                          <w:rPr>
                            <w:rFonts w:ascii="Arial" w:hAnsi="Arial" w:cs="Arial"/>
                            <w:color w:val="000000"/>
                            <w:sz w:val="18"/>
                            <w:szCs w:val="18"/>
                            <w:lang w:val="en-AU"/>
                          </w:rPr>
                          <w:t xml:space="preserve">The full text of the consultative paper is available on the </w:t>
                        </w:r>
                        <w:r w:rsidRPr="00F060B6">
                          <w:rPr>
                            <w:rFonts w:ascii="Arial" w:hAnsi="Arial" w:cs="Arial"/>
                            <w:color w:val="000000"/>
                            <w:sz w:val="18"/>
                            <w:szCs w:val="18"/>
                            <w:lang w:val="en-AU"/>
                          </w:rPr>
                          <w:fldChar w:fldCharType="begin"/>
                        </w:r>
                        <w:r w:rsidRPr="00F060B6">
                          <w:rPr>
                            <w:rFonts w:ascii="Arial" w:hAnsi="Arial" w:cs="Arial"/>
                            <w:color w:val="000000"/>
                            <w:sz w:val="18"/>
                            <w:szCs w:val="18"/>
                            <w:lang w:val="en-AU"/>
                          </w:rPr>
                          <w:instrText xml:space="preserve"> HYPERLINK "http://www.bis.org/publ/joint27.pdf" \t "_new" </w:instrText>
                        </w:r>
                        <w:r w:rsidRPr="00F060B6">
                          <w:rPr>
                            <w:rFonts w:ascii="Arial" w:hAnsi="Arial" w:cs="Arial"/>
                            <w:color w:val="000000"/>
                            <w:sz w:val="18"/>
                            <w:szCs w:val="18"/>
                            <w:lang w:val="en-AU"/>
                          </w:rPr>
                        </w:r>
                        <w:r w:rsidRPr="00F060B6">
                          <w:rPr>
                            <w:rFonts w:ascii="Arial" w:hAnsi="Arial" w:cs="Arial"/>
                            <w:color w:val="000000"/>
                            <w:sz w:val="18"/>
                            <w:szCs w:val="18"/>
                            <w:lang w:val="en-AU"/>
                          </w:rPr>
                          <w:fldChar w:fldCharType="separate"/>
                        </w:r>
                        <w:r w:rsidRPr="00F060B6">
                          <w:rPr>
                            <w:rFonts w:ascii="Arial" w:hAnsi="Arial" w:cs="Arial"/>
                            <w:color w:val="0000FF"/>
                            <w:sz w:val="18"/>
                            <w:szCs w:val="18"/>
                            <w:u w:val="single"/>
                            <w:lang w:val="en-AU"/>
                          </w:rPr>
                          <w:t>BIS website</w:t>
                        </w:r>
                        <w:r w:rsidRPr="00F060B6">
                          <w:rPr>
                            <w:rFonts w:ascii="Arial" w:hAnsi="Arial" w:cs="Arial"/>
                            <w:color w:val="000000"/>
                            <w:sz w:val="18"/>
                            <w:szCs w:val="18"/>
                            <w:lang w:val="en-AU"/>
                          </w:rPr>
                          <w:fldChar w:fldCharType="end"/>
                        </w:r>
                        <w:r w:rsidRPr="00F060B6">
                          <w:rPr>
                            <w:rFonts w:ascii="Arial" w:hAnsi="Arial" w:cs="Arial"/>
                            <w:color w:val="000000"/>
                            <w:sz w:val="18"/>
                            <w:szCs w:val="18"/>
                            <w:lang w:val="en-AU"/>
                          </w:rPr>
                          <w:t>.</w:t>
                        </w:r>
                      </w:p>
                      <w:p w:rsidR="00F060B6" w:rsidRPr="00F060B6" w:rsidRDefault="00F060B6" w:rsidP="00F060B6">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1512" name="Picture 21512" descr="etailed Contents">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12" descr="etailed Contents"/>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060B6" w:rsidRPr="00F060B6" w:rsidRDefault="00F060B6" w:rsidP="00F060B6">
                        <w:pPr>
                          <w:jc w:val="center"/>
                          <w:rPr>
                            <w:rFonts w:ascii="Arial" w:eastAsia="Times New Roman" w:hAnsi="Arial" w:cs="Arial"/>
                            <w:color w:val="000000"/>
                            <w:sz w:val="18"/>
                            <w:szCs w:val="18"/>
                            <w:lang w:val="en-AU"/>
                          </w:rPr>
                        </w:pPr>
                        <w:r w:rsidRPr="00F060B6">
                          <w:rPr>
                            <w:rFonts w:ascii="Arial" w:eastAsia="Times New Roman" w:hAnsi="Arial" w:cs="Arial"/>
                            <w:color w:val="000000"/>
                            <w:sz w:val="18"/>
                            <w:szCs w:val="18"/>
                            <w:lang w:val="en-AU"/>
                          </w:rPr>
                          <w:pict>
                            <v:rect id="_x0000_i22537" style="width:415pt;height:2pt" o:hralign="center" o:hrstd="t" o:hr="t" fillcolor="#aaa" stroked="f"/>
                          </w:pict>
                        </w:r>
                      </w:p>
                      <w:p w:rsidR="00F060B6" w:rsidRPr="00F060B6" w:rsidRDefault="00F060B6" w:rsidP="00F060B6">
                        <w:pPr>
                          <w:spacing w:before="100" w:beforeAutospacing="1" w:after="100" w:afterAutospacing="1"/>
                          <w:rPr>
                            <w:rFonts w:ascii="Times" w:hAnsi="Times" w:cs="Times New Roman"/>
                            <w:sz w:val="20"/>
                            <w:szCs w:val="20"/>
                            <w:lang w:val="en-AU"/>
                          </w:rPr>
                        </w:pPr>
                        <w:bookmarkStart w:id="25" w:name="0120"/>
                        <w:bookmarkEnd w:id="25"/>
                        <w:r w:rsidRPr="00F060B6">
                          <w:rPr>
                            <w:rFonts w:ascii="Arial" w:hAnsi="Arial" w:cs="Arial"/>
                            <w:b/>
                            <w:bCs/>
                            <w:color w:val="000000"/>
                            <w:sz w:val="18"/>
                            <w:szCs w:val="18"/>
                            <w:lang w:val="en-AU"/>
                          </w:rPr>
                          <w:t>1.20 EBA compliance table on internal governance guidelines</w:t>
                        </w:r>
                        <w:r w:rsidRPr="00F060B6">
                          <w:rPr>
                            <w:rFonts w:ascii="Arial" w:hAnsi="Arial" w:cs="Arial"/>
                            <w:color w:val="000000"/>
                            <w:sz w:val="18"/>
                            <w:szCs w:val="18"/>
                            <w:lang w:val="en-AU"/>
                          </w:rPr>
                          <w:br/>
                          <w:t> </w:t>
                        </w:r>
                        <w:r w:rsidRPr="00F060B6">
                          <w:rPr>
                            <w:rFonts w:ascii="Arial" w:hAnsi="Arial" w:cs="Arial"/>
                            <w:color w:val="000000"/>
                            <w:sz w:val="18"/>
                            <w:szCs w:val="18"/>
                            <w:lang w:val="en-AU"/>
                          </w:rPr>
                          <w:br/>
                          <w:t xml:space="preserve">On 19 December 2011, the European Banking Authority (EBA) published a compliance table setting out whether Member States' competent authorities comply (or intend to comply) with its Guidelines on Internal Governance (GL44), published in September 2011.  These guidelines aim at enhancing and consolidating supervisory expectations and improving the implementation of internal governance arrangements. </w:t>
                        </w:r>
                      </w:p>
                      <w:p w:rsidR="00F060B6" w:rsidRPr="00F060B6" w:rsidRDefault="00F060B6" w:rsidP="00F060B6">
                        <w:pPr>
                          <w:spacing w:before="100" w:beforeAutospacing="1" w:after="100" w:afterAutospacing="1"/>
                          <w:rPr>
                            <w:rFonts w:ascii="Times" w:hAnsi="Times" w:cs="Times New Roman"/>
                            <w:sz w:val="20"/>
                            <w:szCs w:val="20"/>
                            <w:lang w:val="en-AU"/>
                          </w:rPr>
                        </w:pPr>
                        <w:r w:rsidRPr="00F060B6">
                          <w:rPr>
                            <w:rFonts w:ascii="Arial" w:hAnsi="Arial" w:cs="Arial"/>
                            <w:color w:val="000000"/>
                            <w:sz w:val="18"/>
                            <w:szCs w:val="18"/>
                            <w:lang w:val="en-AU"/>
                          </w:rPr>
                          <w:t>The EBA Internal Governance Guidelines repeal the 2010 High Level Principles for Risk Management, the 2009 High Level Principles for Remuneration Policies and Section 2.1 of the 2006 Guidelines on the Application of the Supervisory Review Process under Pillar 2.</w:t>
                        </w:r>
                      </w:p>
                      <w:p w:rsidR="00F060B6" w:rsidRPr="00F060B6" w:rsidRDefault="00F060B6" w:rsidP="00F060B6">
                        <w:pPr>
                          <w:spacing w:before="100" w:beforeAutospacing="1" w:after="100" w:afterAutospacing="1"/>
                          <w:rPr>
                            <w:rFonts w:ascii="Times" w:hAnsi="Times" w:cs="Times New Roman"/>
                            <w:sz w:val="20"/>
                            <w:szCs w:val="20"/>
                            <w:lang w:val="en-AU"/>
                          </w:rPr>
                        </w:pPr>
                        <w:r w:rsidRPr="00F060B6">
                          <w:rPr>
                            <w:rFonts w:ascii="Arial" w:hAnsi="Arial" w:cs="Arial"/>
                            <w:color w:val="000000"/>
                            <w:sz w:val="18"/>
                            <w:szCs w:val="18"/>
                            <w:lang w:val="en-AU"/>
                          </w:rPr>
                          <w:t>Article 16(3) of the EBA Regulation requires national competent authorities to inform the EBA within two months after the publication of the EBA guidelines or recommendations whether they comply or intend to comply with each set of these guidelines or recommendations.  If a competent authority does not comply or does not intend to comply it must inform the EBA of the reasons. The EBA decides on a case by case basis whether to publish reasons.</w:t>
                        </w:r>
                      </w:p>
                      <w:p w:rsidR="00F060B6" w:rsidRPr="00F060B6" w:rsidRDefault="00F060B6" w:rsidP="00F060B6">
                        <w:pPr>
                          <w:spacing w:before="100" w:beforeAutospacing="1" w:after="100" w:afterAutospacing="1"/>
                          <w:rPr>
                            <w:rFonts w:ascii="Times" w:hAnsi="Times" w:cs="Times New Roman"/>
                            <w:sz w:val="20"/>
                            <w:szCs w:val="20"/>
                            <w:lang w:val="en-AU"/>
                          </w:rPr>
                        </w:pPr>
                        <w:r w:rsidRPr="00F060B6">
                          <w:rPr>
                            <w:rFonts w:ascii="Arial" w:hAnsi="Arial" w:cs="Arial"/>
                            <w:color w:val="000000"/>
                            <w:sz w:val="18"/>
                            <w:szCs w:val="18"/>
                            <w:lang w:val="en-AU"/>
                          </w:rPr>
                          <w:t xml:space="preserve">The </w:t>
                        </w:r>
                        <w:r w:rsidRPr="00F060B6">
                          <w:rPr>
                            <w:rFonts w:ascii="Arial" w:hAnsi="Arial" w:cs="Arial"/>
                            <w:color w:val="000000"/>
                            <w:sz w:val="18"/>
                            <w:szCs w:val="18"/>
                            <w:lang w:val="en-AU"/>
                          </w:rPr>
                          <w:fldChar w:fldCharType="begin"/>
                        </w:r>
                        <w:r w:rsidRPr="00F060B6">
                          <w:rPr>
                            <w:rFonts w:ascii="Arial" w:hAnsi="Arial" w:cs="Arial"/>
                            <w:color w:val="000000"/>
                            <w:sz w:val="18"/>
                            <w:szCs w:val="18"/>
                            <w:lang w:val="en-AU"/>
                          </w:rPr>
                          <w:instrText xml:space="preserve"> HYPERLINK "http://eba.europa.eu/cebs/media/Publications/Consultation%20Papers/2010/CP44/EBA-2011-12-16-%28Confirmation-of-Compliance-table---GL44-Internal-Governance%29.pdf" \t "_new" </w:instrText>
                        </w:r>
                        <w:r w:rsidRPr="00F060B6">
                          <w:rPr>
                            <w:rFonts w:ascii="Arial" w:hAnsi="Arial" w:cs="Arial"/>
                            <w:color w:val="000000"/>
                            <w:sz w:val="18"/>
                            <w:szCs w:val="18"/>
                            <w:lang w:val="en-AU"/>
                          </w:rPr>
                        </w:r>
                        <w:r w:rsidRPr="00F060B6">
                          <w:rPr>
                            <w:rFonts w:ascii="Arial" w:hAnsi="Arial" w:cs="Arial"/>
                            <w:color w:val="000000"/>
                            <w:sz w:val="18"/>
                            <w:szCs w:val="18"/>
                            <w:lang w:val="en-AU"/>
                          </w:rPr>
                          <w:fldChar w:fldCharType="separate"/>
                        </w:r>
                        <w:r w:rsidRPr="00F060B6">
                          <w:rPr>
                            <w:rFonts w:ascii="Arial" w:hAnsi="Arial" w:cs="Arial"/>
                            <w:color w:val="0000FF"/>
                            <w:sz w:val="18"/>
                            <w:szCs w:val="18"/>
                            <w:u w:val="single"/>
                            <w:lang w:val="en-AU"/>
                          </w:rPr>
                          <w:t>compliance table</w:t>
                        </w:r>
                        <w:r w:rsidRPr="00F060B6">
                          <w:rPr>
                            <w:rFonts w:ascii="Arial" w:hAnsi="Arial" w:cs="Arial"/>
                            <w:color w:val="000000"/>
                            <w:sz w:val="18"/>
                            <w:szCs w:val="18"/>
                            <w:lang w:val="en-AU"/>
                          </w:rPr>
                          <w:fldChar w:fldCharType="end"/>
                        </w:r>
                        <w:r w:rsidRPr="00F060B6">
                          <w:rPr>
                            <w:rFonts w:ascii="Arial" w:hAnsi="Arial" w:cs="Arial"/>
                            <w:color w:val="000000"/>
                            <w:sz w:val="18"/>
                            <w:szCs w:val="18"/>
                            <w:lang w:val="en-AU"/>
                          </w:rPr>
                          <w:t xml:space="preserve"> and </w:t>
                        </w:r>
                        <w:r w:rsidRPr="00F060B6">
                          <w:rPr>
                            <w:rFonts w:ascii="Arial" w:hAnsi="Arial" w:cs="Arial"/>
                            <w:color w:val="000000"/>
                            <w:sz w:val="18"/>
                            <w:szCs w:val="18"/>
                            <w:lang w:val="en-AU"/>
                          </w:rPr>
                          <w:fldChar w:fldCharType="begin"/>
                        </w:r>
                        <w:r w:rsidRPr="00F060B6">
                          <w:rPr>
                            <w:rFonts w:ascii="Arial" w:hAnsi="Arial" w:cs="Arial"/>
                            <w:color w:val="000000"/>
                            <w:sz w:val="18"/>
                            <w:szCs w:val="18"/>
                            <w:lang w:val="en-AU"/>
                          </w:rPr>
                          <w:instrText xml:space="preserve"> HYPERLINK "http://eba.europa.eu/cebs/media/Publications/Standards%20and%20Guidelines/2011/EBA-BS-2011-116-final-%28EBA-Guidelines-on-Internal-Governance%29-%282%29_1.pdf" \t "_new" </w:instrText>
                        </w:r>
                        <w:r w:rsidRPr="00F060B6">
                          <w:rPr>
                            <w:rFonts w:ascii="Arial" w:hAnsi="Arial" w:cs="Arial"/>
                            <w:color w:val="000000"/>
                            <w:sz w:val="18"/>
                            <w:szCs w:val="18"/>
                            <w:lang w:val="en-AU"/>
                          </w:rPr>
                        </w:r>
                        <w:r w:rsidRPr="00F060B6">
                          <w:rPr>
                            <w:rFonts w:ascii="Arial" w:hAnsi="Arial" w:cs="Arial"/>
                            <w:color w:val="000000"/>
                            <w:sz w:val="18"/>
                            <w:szCs w:val="18"/>
                            <w:lang w:val="en-AU"/>
                          </w:rPr>
                          <w:fldChar w:fldCharType="separate"/>
                        </w:r>
                        <w:r w:rsidRPr="00F060B6">
                          <w:rPr>
                            <w:rFonts w:ascii="Arial" w:hAnsi="Arial" w:cs="Arial"/>
                            <w:color w:val="0000FF"/>
                            <w:sz w:val="18"/>
                            <w:szCs w:val="18"/>
                            <w:u w:val="single"/>
                            <w:lang w:val="en-AU"/>
                          </w:rPr>
                          <w:t>EBA's Guidelines on Internal Governance</w:t>
                        </w:r>
                        <w:r w:rsidRPr="00F060B6">
                          <w:rPr>
                            <w:rFonts w:ascii="Arial" w:hAnsi="Arial" w:cs="Arial"/>
                            <w:color w:val="000000"/>
                            <w:sz w:val="18"/>
                            <w:szCs w:val="18"/>
                            <w:lang w:val="en-AU"/>
                          </w:rPr>
                          <w:fldChar w:fldCharType="end"/>
                        </w:r>
                        <w:r w:rsidRPr="00F060B6">
                          <w:rPr>
                            <w:rFonts w:ascii="Arial" w:hAnsi="Arial" w:cs="Arial"/>
                            <w:color w:val="000000"/>
                            <w:sz w:val="18"/>
                            <w:szCs w:val="18"/>
                            <w:lang w:val="en-AU"/>
                          </w:rPr>
                          <w:t xml:space="preserve"> are available on the EBA website.</w:t>
                        </w:r>
                      </w:p>
                      <w:p w:rsidR="00F060B6" w:rsidRPr="00F060B6" w:rsidRDefault="00F060B6" w:rsidP="00F060B6">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1514" name="Picture 21514" descr="etailed Contents">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14" descr="etailed Contents"/>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060B6" w:rsidRPr="00F060B6" w:rsidRDefault="00F060B6" w:rsidP="00F060B6">
                        <w:pPr>
                          <w:jc w:val="center"/>
                          <w:rPr>
                            <w:rFonts w:ascii="Arial" w:eastAsia="Times New Roman" w:hAnsi="Arial" w:cs="Arial"/>
                            <w:color w:val="000000"/>
                            <w:sz w:val="18"/>
                            <w:szCs w:val="18"/>
                            <w:lang w:val="en-AU"/>
                          </w:rPr>
                        </w:pPr>
                        <w:r w:rsidRPr="00F060B6">
                          <w:rPr>
                            <w:rFonts w:ascii="Arial" w:eastAsia="Times New Roman" w:hAnsi="Arial" w:cs="Arial"/>
                            <w:color w:val="000000"/>
                            <w:sz w:val="18"/>
                            <w:szCs w:val="18"/>
                            <w:lang w:val="en-AU"/>
                          </w:rPr>
                          <w:pict>
                            <v:rect id="_x0000_i22539" style="width:415pt;height:2pt" o:hralign="center" o:hrstd="t" o:hr="t" fillcolor="#aaa" stroked="f"/>
                          </w:pict>
                        </w:r>
                      </w:p>
                      <w:p w:rsidR="00F060B6" w:rsidRPr="00F060B6" w:rsidRDefault="00F060B6" w:rsidP="00F060B6">
                        <w:pPr>
                          <w:spacing w:before="100" w:beforeAutospacing="1" w:after="100" w:afterAutospacing="1"/>
                          <w:rPr>
                            <w:rFonts w:ascii="Times" w:hAnsi="Times" w:cs="Times New Roman"/>
                            <w:sz w:val="20"/>
                            <w:szCs w:val="20"/>
                            <w:lang w:val="en-AU"/>
                          </w:rPr>
                        </w:pPr>
                        <w:bookmarkStart w:id="26" w:name="0121"/>
                        <w:bookmarkEnd w:id="26"/>
                        <w:r w:rsidRPr="00F060B6">
                          <w:rPr>
                            <w:rFonts w:ascii="Arial" w:hAnsi="Arial" w:cs="Arial"/>
                            <w:b/>
                            <w:bCs/>
                            <w:color w:val="000000"/>
                            <w:sz w:val="18"/>
                            <w:szCs w:val="18"/>
                            <w:lang w:val="en-AU"/>
                          </w:rPr>
                          <w:t>1.21 UK Government response to Independent Commission on Banking's final report</w:t>
                        </w:r>
                        <w:r w:rsidRPr="00F060B6">
                          <w:rPr>
                            <w:rFonts w:ascii="Arial" w:hAnsi="Arial" w:cs="Arial"/>
                            <w:color w:val="000000"/>
                            <w:sz w:val="18"/>
                            <w:szCs w:val="18"/>
                            <w:lang w:val="en-AU"/>
                          </w:rPr>
                          <w:br/>
                          <w:t> </w:t>
                        </w:r>
                        <w:r w:rsidRPr="00F060B6">
                          <w:rPr>
                            <w:rFonts w:ascii="Arial" w:hAnsi="Arial" w:cs="Arial"/>
                            <w:color w:val="000000"/>
                            <w:sz w:val="18"/>
                            <w:szCs w:val="18"/>
                            <w:lang w:val="en-AU"/>
                          </w:rPr>
                          <w:br/>
                          <w:t xml:space="preserve">On 19 December 2011, the UK Government released its response to the final report published in September 2011 by the Independent Commission on Banking (ICB) on banking reform.  </w:t>
                        </w:r>
                        <w:r w:rsidRPr="00F060B6">
                          <w:rPr>
                            <w:rFonts w:ascii="Arial" w:hAnsi="Arial" w:cs="Arial"/>
                            <w:color w:val="000000"/>
                            <w:sz w:val="18"/>
                            <w:szCs w:val="18"/>
                            <w:lang w:val="en-AU"/>
                          </w:rPr>
                          <w:br/>
                          <w:t> </w:t>
                        </w:r>
                        <w:r w:rsidRPr="00F060B6">
                          <w:rPr>
                            <w:rFonts w:ascii="Arial" w:hAnsi="Arial" w:cs="Arial"/>
                            <w:color w:val="000000"/>
                            <w:sz w:val="18"/>
                            <w:szCs w:val="18"/>
                            <w:lang w:val="en-AU"/>
                          </w:rPr>
                          <w:br/>
                          <w:t>In its final report, the ICB made a number of recommendations to promote financial stability and competition in UK banking.  It recommended that its reforms be implemented no later than the start of 2019.</w:t>
                        </w:r>
                        <w:r w:rsidRPr="00F060B6">
                          <w:rPr>
                            <w:rFonts w:ascii="Arial" w:hAnsi="Arial" w:cs="Arial"/>
                            <w:color w:val="000000"/>
                            <w:sz w:val="18"/>
                            <w:szCs w:val="18"/>
                            <w:lang w:val="en-AU"/>
                          </w:rPr>
                          <w:br/>
                          <w:t> </w:t>
                        </w:r>
                        <w:r w:rsidRPr="00F060B6">
                          <w:rPr>
                            <w:rFonts w:ascii="Arial" w:hAnsi="Arial" w:cs="Arial"/>
                            <w:color w:val="000000"/>
                            <w:sz w:val="18"/>
                            <w:szCs w:val="18"/>
                            <w:lang w:val="en-AU"/>
                          </w:rPr>
                          <w:br/>
                          <w:t xml:space="preserve">The UK Government's response provides a strong endorsement of the ICB's report and recommendations.  Amongst other measures, it intends to pass legislation requiring the ring-fencing of retail banking activities, whereby the ring-fenced bank is legally and operationally independent from the rest of its corporate group.  Large ring-fenced banks will be subject to higher equity requirements.  </w:t>
                        </w:r>
                        <w:r w:rsidRPr="00F060B6">
                          <w:rPr>
                            <w:rFonts w:ascii="Arial" w:hAnsi="Arial" w:cs="Arial"/>
                            <w:color w:val="000000"/>
                            <w:sz w:val="18"/>
                            <w:szCs w:val="18"/>
                            <w:lang w:val="en-AU"/>
                          </w:rPr>
                          <w:br/>
                          <w:t> </w:t>
                        </w:r>
                        <w:r w:rsidRPr="00F060B6">
                          <w:rPr>
                            <w:rFonts w:ascii="Arial" w:hAnsi="Arial" w:cs="Arial"/>
                            <w:color w:val="000000"/>
                            <w:sz w:val="18"/>
                            <w:szCs w:val="18"/>
                            <w:lang w:val="en-AU"/>
                          </w:rPr>
                          <w:br/>
                          <w:t>A White Paper will be published in 2012 explaining how the Government's plans will be implemented.  It is envisaged that full implementation will be achieved by 2019.</w:t>
                        </w:r>
                        <w:r w:rsidRPr="00F060B6">
                          <w:rPr>
                            <w:rFonts w:ascii="Arial" w:hAnsi="Arial" w:cs="Arial"/>
                            <w:color w:val="000000"/>
                            <w:sz w:val="18"/>
                            <w:szCs w:val="18"/>
                            <w:lang w:val="en-AU"/>
                          </w:rPr>
                          <w:br/>
                          <w:t> </w:t>
                        </w:r>
                        <w:r w:rsidRPr="00F060B6">
                          <w:rPr>
                            <w:rFonts w:ascii="Arial" w:hAnsi="Arial" w:cs="Arial"/>
                            <w:color w:val="000000"/>
                            <w:sz w:val="18"/>
                            <w:szCs w:val="18"/>
                            <w:lang w:val="en-AU"/>
                          </w:rPr>
                          <w:br/>
                          <w:t xml:space="preserve">The UK Government's response to the ICB's report is available on the </w:t>
                        </w:r>
                        <w:r w:rsidRPr="00F060B6">
                          <w:rPr>
                            <w:rFonts w:ascii="Arial" w:hAnsi="Arial" w:cs="Arial"/>
                            <w:color w:val="000000"/>
                            <w:sz w:val="18"/>
                            <w:szCs w:val="18"/>
                            <w:lang w:val="en-AU"/>
                          </w:rPr>
                          <w:fldChar w:fldCharType="begin"/>
                        </w:r>
                        <w:r w:rsidRPr="00F060B6">
                          <w:rPr>
                            <w:rFonts w:ascii="Arial" w:hAnsi="Arial" w:cs="Arial"/>
                            <w:color w:val="000000"/>
                            <w:sz w:val="18"/>
                            <w:szCs w:val="18"/>
                            <w:lang w:val="en-AU"/>
                          </w:rPr>
                          <w:instrText xml:space="preserve"> HYPERLINK "http://cdn.hm-treasury.gov.uk/govt_response_to_icb_191211.pdf" \t "_new" </w:instrText>
                        </w:r>
                        <w:r w:rsidRPr="00F060B6">
                          <w:rPr>
                            <w:rFonts w:ascii="Arial" w:hAnsi="Arial" w:cs="Arial"/>
                            <w:color w:val="000000"/>
                            <w:sz w:val="18"/>
                            <w:szCs w:val="18"/>
                            <w:lang w:val="en-AU"/>
                          </w:rPr>
                        </w:r>
                        <w:r w:rsidRPr="00F060B6">
                          <w:rPr>
                            <w:rFonts w:ascii="Arial" w:hAnsi="Arial" w:cs="Arial"/>
                            <w:color w:val="000000"/>
                            <w:sz w:val="18"/>
                            <w:szCs w:val="18"/>
                            <w:lang w:val="en-AU"/>
                          </w:rPr>
                          <w:fldChar w:fldCharType="separate"/>
                        </w:r>
                        <w:r w:rsidRPr="00F060B6">
                          <w:rPr>
                            <w:rFonts w:ascii="Arial" w:hAnsi="Arial" w:cs="Arial"/>
                            <w:color w:val="0000FF"/>
                            <w:sz w:val="18"/>
                            <w:szCs w:val="18"/>
                            <w:u w:val="single"/>
                            <w:lang w:val="en-AU"/>
                          </w:rPr>
                          <w:t>UK Government's Treasury website</w:t>
                        </w:r>
                        <w:r w:rsidRPr="00F060B6">
                          <w:rPr>
                            <w:rFonts w:ascii="Arial" w:hAnsi="Arial" w:cs="Arial"/>
                            <w:color w:val="000000"/>
                            <w:sz w:val="18"/>
                            <w:szCs w:val="18"/>
                            <w:lang w:val="en-AU"/>
                          </w:rPr>
                          <w:fldChar w:fldCharType="end"/>
                        </w:r>
                        <w:r w:rsidRPr="00F060B6">
                          <w:rPr>
                            <w:rFonts w:ascii="Arial" w:hAnsi="Arial" w:cs="Arial"/>
                            <w:color w:val="000000"/>
                            <w:sz w:val="18"/>
                            <w:szCs w:val="18"/>
                            <w:lang w:val="en-AU"/>
                          </w:rPr>
                          <w:t>.</w:t>
                        </w:r>
                        <w:r w:rsidRPr="00F060B6">
                          <w:rPr>
                            <w:rFonts w:ascii="Arial" w:hAnsi="Arial" w:cs="Arial"/>
                            <w:color w:val="000000"/>
                            <w:sz w:val="18"/>
                            <w:szCs w:val="18"/>
                            <w:lang w:val="en-AU"/>
                          </w:rPr>
                          <w:br/>
                          <w:t> </w:t>
                        </w:r>
                        <w:r w:rsidRPr="00F060B6">
                          <w:rPr>
                            <w:rFonts w:ascii="Arial" w:hAnsi="Arial" w:cs="Arial"/>
                            <w:color w:val="000000"/>
                            <w:sz w:val="18"/>
                            <w:szCs w:val="18"/>
                            <w:lang w:val="en-AU"/>
                          </w:rPr>
                          <w:br/>
                          <w:t xml:space="preserve">The ICB's September 2011 Final Report is available on the </w:t>
                        </w:r>
                        <w:r w:rsidRPr="00F060B6">
                          <w:rPr>
                            <w:rFonts w:ascii="Arial" w:hAnsi="Arial" w:cs="Arial"/>
                            <w:color w:val="000000"/>
                            <w:sz w:val="18"/>
                            <w:szCs w:val="18"/>
                            <w:lang w:val="en-AU"/>
                          </w:rPr>
                          <w:fldChar w:fldCharType="begin"/>
                        </w:r>
                        <w:r w:rsidRPr="00F060B6">
                          <w:rPr>
                            <w:rFonts w:ascii="Arial" w:hAnsi="Arial" w:cs="Arial"/>
                            <w:color w:val="000000"/>
                            <w:sz w:val="18"/>
                            <w:szCs w:val="18"/>
                            <w:lang w:val="en-AU"/>
                          </w:rPr>
                          <w:instrText xml:space="preserve"> HYPERLINK "http://bankingcommission.independent.gov.uk/" \t "_new" </w:instrText>
                        </w:r>
                        <w:r w:rsidRPr="00F060B6">
                          <w:rPr>
                            <w:rFonts w:ascii="Arial" w:hAnsi="Arial" w:cs="Arial"/>
                            <w:color w:val="000000"/>
                            <w:sz w:val="18"/>
                            <w:szCs w:val="18"/>
                            <w:lang w:val="en-AU"/>
                          </w:rPr>
                        </w:r>
                        <w:r w:rsidRPr="00F060B6">
                          <w:rPr>
                            <w:rFonts w:ascii="Arial" w:hAnsi="Arial" w:cs="Arial"/>
                            <w:color w:val="000000"/>
                            <w:sz w:val="18"/>
                            <w:szCs w:val="18"/>
                            <w:lang w:val="en-AU"/>
                          </w:rPr>
                          <w:fldChar w:fldCharType="separate"/>
                        </w:r>
                        <w:r w:rsidRPr="00F060B6">
                          <w:rPr>
                            <w:rFonts w:ascii="Arial" w:hAnsi="Arial" w:cs="Arial"/>
                            <w:color w:val="0000FF"/>
                            <w:sz w:val="18"/>
                            <w:szCs w:val="18"/>
                            <w:u w:val="single"/>
                            <w:lang w:val="en-AU"/>
                          </w:rPr>
                          <w:t>ICB's website</w:t>
                        </w:r>
                        <w:r w:rsidRPr="00F060B6">
                          <w:rPr>
                            <w:rFonts w:ascii="Arial" w:hAnsi="Arial" w:cs="Arial"/>
                            <w:color w:val="000000"/>
                            <w:sz w:val="18"/>
                            <w:szCs w:val="18"/>
                            <w:lang w:val="en-AU"/>
                          </w:rPr>
                          <w:fldChar w:fldCharType="end"/>
                        </w:r>
                        <w:r w:rsidRPr="00F060B6">
                          <w:rPr>
                            <w:rFonts w:ascii="Arial" w:hAnsi="Arial" w:cs="Arial"/>
                            <w:color w:val="000000"/>
                            <w:sz w:val="18"/>
                            <w:szCs w:val="18"/>
                            <w:lang w:val="en-AU"/>
                          </w:rPr>
                          <w:t>.</w:t>
                        </w:r>
                      </w:p>
                      <w:p w:rsidR="00F060B6" w:rsidRPr="00F060B6" w:rsidRDefault="00F060B6" w:rsidP="00F060B6">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1516" name="Picture 21516" descr="etailed Contents">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16" descr="etailed Contents"/>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060B6" w:rsidRPr="00F060B6" w:rsidRDefault="00F060B6" w:rsidP="00F060B6">
                        <w:pPr>
                          <w:jc w:val="center"/>
                          <w:rPr>
                            <w:rFonts w:ascii="Arial" w:eastAsia="Times New Roman" w:hAnsi="Arial" w:cs="Arial"/>
                            <w:color w:val="000000"/>
                            <w:sz w:val="18"/>
                            <w:szCs w:val="18"/>
                            <w:lang w:val="en-AU"/>
                          </w:rPr>
                        </w:pPr>
                        <w:r w:rsidRPr="00F060B6">
                          <w:rPr>
                            <w:rFonts w:ascii="Arial" w:eastAsia="Times New Roman" w:hAnsi="Arial" w:cs="Arial"/>
                            <w:color w:val="000000"/>
                            <w:sz w:val="18"/>
                            <w:szCs w:val="18"/>
                            <w:lang w:val="en-AU"/>
                          </w:rPr>
                          <w:pict>
                            <v:rect id="_x0000_i22541" style="width:415pt;height:2pt" o:hralign="center" o:hrstd="t" o:hr="t" fillcolor="#aaa" stroked="f"/>
                          </w:pict>
                        </w:r>
                      </w:p>
                      <w:p w:rsidR="00F060B6" w:rsidRPr="00F060B6" w:rsidRDefault="00F060B6" w:rsidP="00F060B6">
                        <w:pPr>
                          <w:spacing w:before="100" w:beforeAutospacing="1" w:after="100" w:afterAutospacing="1"/>
                          <w:rPr>
                            <w:rFonts w:ascii="Times" w:hAnsi="Times" w:cs="Times New Roman"/>
                            <w:sz w:val="20"/>
                            <w:szCs w:val="20"/>
                            <w:lang w:val="en-AU"/>
                          </w:rPr>
                        </w:pPr>
                        <w:bookmarkStart w:id="27" w:name="0122"/>
                        <w:bookmarkEnd w:id="27"/>
                        <w:r w:rsidRPr="00F060B6">
                          <w:rPr>
                            <w:rFonts w:ascii="Arial" w:hAnsi="Arial" w:cs="Arial"/>
                            <w:b/>
                            <w:bCs/>
                            <w:color w:val="000000"/>
                            <w:sz w:val="18"/>
                            <w:szCs w:val="18"/>
                            <w:lang w:val="en-AU"/>
                          </w:rPr>
                          <w:t>1.22 GMI's 2011 CEO pay survey</w:t>
                        </w:r>
                        <w:r w:rsidRPr="00F060B6">
                          <w:rPr>
                            <w:rFonts w:ascii="Arial" w:hAnsi="Arial" w:cs="Arial"/>
                            <w:color w:val="000000"/>
                            <w:sz w:val="18"/>
                            <w:szCs w:val="18"/>
                            <w:lang w:val="en-AU"/>
                          </w:rPr>
                          <w:br/>
                          <w:t> </w:t>
                        </w:r>
                        <w:r w:rsidRPr="00F060B6">
                          <w:rPr>
                            <w:rFonts w:ascii="Arial" w:hAnsi="Arial" w:cs="Arial"/>
                            <w:color w:val="000000"/>
                            <w:sz w:val="18"/>
                            <w:szCs w:val="18"/>
                            <w:lang w:val="en-AU"/>
                          </w:rPr>
                          <w:br/>
                          <w:t xml:space="preserve">On 15 December 2011, GMI released its annual CEO Pay Survey 2011, identifying changes in total annual and total realized compensation paid to CEOs in North America for fiscal year 2010. </w:t>
                        </w:r>
                        <w:r w:rsidRPr="00F060B6">
                          <w:rPr>
                            <w:rFonts w:ascii="Arial" w:hAnsi="Arial" w:cs="Arial"/>
                            <w:color w:val="000000"/>
                            <w:sz w:val="18"/>
                            <w:szCs w:val="18"/>
                            <w:lang w:val="en-AU"/>
                          </w:rPr>
                          <w:br/>
                          <w:t> </w:t>
                        </w:r>
                        <w:r w:rsidRPr="00F060B6">
                          <w:rPr>
                            <w:rFonts w:ascii="Arial" w:hAnsi="Arial" w:cs="Arial"/>
                            <w:color w:val="000000"/>
                            <w:sz w:val="18"/>
                            <w:szCs w:val="18"/>
                            <w:lang w:val="en-AU"/>
                          </w:rPr>
                          <w:br/>
                          <w:t>Key findings from this year's survey include:</w:t>
                        </w:r>
                      </w:p>
                      <w:p w:rsidR="00F060B6" w:rsidRPr="00F060B6" w:rsidRDefault="00F060B6" w:rsidP="00F060B6">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060B6">
                          <w:rPr>
                            <w:rFonts w:ascii="Arial" w:eastAsia="Times New Roman" w:hAnsi="Arial" w:cs="Arial"/>
                            <w:color w:val="000000"/>
                            <w:sz w:val="18"/>
                            <w:szCs w:val="18"/>
                            <w:lang w:val="en-AU"/>
                          </w:rPr>
                          <w:t xml:space="preserve">Total realized compensation for CEOs in the S&amp;P 500 rose by a median 36.5%; </w:t>
                        </w:r>
                      </w:p>
                      <w:p w:rsidR="00F060B6" w:rsidRPr="00F060B6" w:rsidRDefault="00F060B6" w:rsidP="00F060B6">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060B6">
                          <w:rPr>
                            <w:rFonts w:ascii="Arial" w:eastAsia="Times New Roman" w:hAnsi="Arial" w:cs="Arial"/>
                            <w:color w:val="000000"/>
                            <w:sz w:val="18"/>
                            <w:szCs w:val="18"/>
                            <w:lang w:val="en-AU"/>
                          </w:rPr>
                          <w:t>Total realized compensation for all CEOs in the survey rose 27% compared to a 13% increase in total annual compensation;</w:t>
                        </w:r>
                      </w:p>
                      <w:p w:rsidR="00F060B6" w:rsidRPr="00F060B6" w:rsidRDefault="00F060B6" w:rsidP="00F060B6">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060B6">
                          <w:rPr>
                            <w:rFonts w:ascii="Arial" w:eastAsia="Times New Roman" w:hAnsi="Arial" w:cs="Arial"/>
                            <w:color w:val="000000"/>
                            <w:sz w:val="18"/>
                            <w:szCs w:val="18"/>
                            <w:lang w:val="en-AU"/>
                          </w:rPr>
                          <w:t>Three of the 10 highest paid CEOs of 2010 are from the health care providers and services industry, including the top two;</w:t>
                        </w:r>
                      </w:p>
                      <w:p w:rsidR="00F060B6" w:rsidRPr="00F060B6" w:rsidRDefault="00F060B6" w:rsidP="00F060B6">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060B6">
                          <w:rPr>
                            <w:rFonts w:ascii="Arial" w:eastAsia="Times New Roman" w:hAnsi="Arial" w:cs="Arial"/>
                            <w:color w:val="000000"/>
                            <w:sz w:val="18"/>
                            <w:szCs w:val="18"/>
                            <w:lang w:val="en-AU"/>
                          </w:rPr>
                          <w:t>Four of the 10 highest paid CEOs of 2010 were retired or terminated executives receiving exit packages;</w:t>
                        </w:r>
                      </w:p>
                      <w:p w:rsidR="00F060B6" w:rsidRPr="00F060B6" w:rsidRDefault="00F060B6" w:rsidP="00F060B6">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060B6">
                          <w:rPr>
                            <w:rFonts w:ascii="Arial" w:eastAsia="Times New Roman" w:hAnsi="Arial" w:cs="Arial"/>
                            <w:color w:val="000000"/>
                            <w:sz w:val="18"/>
                            <w:szCs w:val="18"/>
                            <w:lang w:val="en-AU"/>
                          </w:rPr>
                          <w:t>Perks in the S&amp;P 500 rose 11% from 2009 to 2010;</w:t>
                        </w:r>
                      </w:p>
                      <w:p w:rsidR="00F060B6" w:rsidRPr="00F060B6" w:rsidRDefault="00F060B6" w:rsidP="00F060B6">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060B6">
                          <w:rPr>
                            <w:rFonts w:ascii="Arial" w:eastAsia="Times New Roman" w:hAnsi="Arial" w:cs="Arial"/>
                            <w:color w:val="000000"/>
                            <w:sz w:val="18"/>
                            <w:szCs w:val="18"/>
                            <w:lang w:val="en-AU"/>
                          </w:rPr>
                          <w:t>Three of the five highest paid CEOs of 2010 received single year pension and deferred compensation increases of US$14 million; and</w:t>
                        </w:r>
                      </w:p>
                      <w:p w:rsidR="00F060B6" w:rsidRPr="00F060B6" w:rsidRDefault="00F060B6" w:rsidP="00F060B6">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060B6">
                          <w:rPr>
                            <w:rFonts w:ascii="Arial" w:eastAsia="Times New Roman" w:hAnsi="Arial" w:cs="Arial"/>
                            <w:color w:val="000000"/>
                            <w:sz w:val="18"/>
                            <w:szCs w:val="18"/>
                            <w:lang w:val="en-AU"/>
                          </w:rPr>
                          <w:t>More than 70 percent of CEOs received a restricted stock award in 2010 while only 53 percent received stock options.</w:t>
                        </w:r>
                      </w:p>
                      <w:p w:rsidR="00F060B6" w:rsidRPr="00F060B6" w:rsidRDefault="00F060B6" w:rsidP="00F060B6">
                        <w:pPr>
                          <w:spacing w:before="100" w:beforeAutospacing="1" w:after="100" w:afterAutospacing="1"/>
                          <w:rPr>
                            <w:rFonts w:ascii="Times" w:hAnsi="Times" w:cs="Times New Roman"/>
                            <w:sz w:val="20"/>
                            <w:szCs w:val="20"/>
                            <w:lang w:val="en-AU"/>
                          </w:rPr>
                        </w:pPr>
                        <w:r w:rsidRPr="00F060B6">
                          <w:rPr>
                            <w:rFonts w:ascii="Arial" w:hAnsi="Arial" w:cs="Arial"/>
                            <w:color w:val="000000"/>
                            <w:sz w:val="18"/>
                            <w:szCs w:val="18"/>
                            <w:lang w:val="en-AU"/>
                          </w:rPr>
                          <w:t>Realized compensation includes total annual compensation, change in pension and non</w:t>
                        </w:r>
                        <w:r w:rsidRPr="00F060B6">
                          <w:rPr>
                            <w:rFonts w:ascii="Cambria Math" w:hAnsi="Cambria Math" w:cs="Cambria Math"/>
                            <w:color w:val="000000"/>
                            <w:sz w:val="18"/>
                            <w:szCs w:val="18"/>
                            <w:lang w:val="en-AU"/>
                          </w:rPr>
                          <w:t>‐</w:t>
                        </w:r>
                        <w:r w:rsidRPr="00F060B6">
                          <w:rPr>
                            <w:rFonts w:ascii="Arial" w:hAnsi="Arial" w:cs="Arial"/>
                            <w:color w:val="000000"/>
                            <w:sz w:val="18"/>
                            <w:szCs w:val="18"/>
                            <w:lang w:val="en-AU"/>
                          </w:rPr>
                          <w:t>qualified deferred compensation, value realized in exercising options and vesting of other equity and any payments from a vested retirement plan.</w:t>
                        </w:r>
                        <w:r w:rsidRPr="00F060B6">
                          <w:rPr>
                            <w:rFonts w:ascii="Arial" w:hAnsi="Arial" w:cs="Arial"/>
                            <w:color w:val="000000"/>
                            <w:sz w:val="18"/>
                            <w:szCs w:val="18"/>
                            <w:lang w:val="en-AU"/>
                          </w:rPr>
                          <w:br/>
                          <w:t> </w:t>
                        </w:r>
                        <w:r w:rsidRPr="00F060B6">
                          <w:rPr>
                            <w:rFonts w:ascii="Arial" w:hAnsi="Arial" w:cs="Arial"/>
                            <w:color w:val="000000"/>
                            <w:sz w:val="18"/>
                            <w:szCs w:val="18"/>
                            <w:lang w:val="en-AU"/>
                          </w:rPr>
                          <w:br/>
                          <w:t>The rise in realized compensation represents a considerable increase following consecutive years of pay declines in 2008 and 2009.  Pay elements were up across the board in 2010.  In addition to annual pay elements contributing to this rise, CEOs saw greater profits in stock option exercises and vested stock during 2010.</w:t>
                        </w:r>
                        <w:r w:rsidRPr="00F060B6">
                          <w:rPr>
                            <w:rFonts w:ascii="Arial" w:hAnsi="Arial" w:cs="Arial"/>
                            <w:color w:val="000000"/>
                            <w:sz w:val="18"/>
                            <w:szCs w:val="18"/>
                            <w:lang w:val="en-AU"/>
                          </w:rPr>
                          <w:br/>
                          <w:t> </w:t>
                        </w:r>
                        <w:r w:rsidRPr="00F060B6">
                          <w:rPr>
                            <w:rFonts w:ascii="Arial" w:hAnsi="Arial" w:cs="Arial"/>
                            <w:color w:val="000000"/>
                            <w:sz w:val="18"/>
                            <w:szCs w:val="18"/>
                            <w:lang w:val="en-AU"/>
                          </w:rPr>
                          <w:br/>
                          <w:t>Annual compensation rose by more than 13%, resulting largely from an increase in annual cash bonus payments. In several notable cases, performance objectives that were not met in 2008 and 2009 were satisfied in 2010, though often only because the targets had been reduced.  For that reason, during 2010, a modest economic recovery led to a rebound for many CEOs resulting in the annual cash bonuses.</w:t>
                        </w:r>
                        <w:r w:rsidRPr="00F060B6">
                          <w:rPr>
                            <w:rFonts w:ascii="Arial" w:hAnsi="Arial" w:cs="Arial"/>
                            <w:color w:val="000000"/>
                            <w:sz w:val="18"/>
                            <w:szCs w:val="18"/>
                            <w:lang w:val="en-AU"/>
                          </w:rPr>
                          <w:br/>
                          <w:t> </w:t>
                        </w:r>
                        <w:r w:rsidRPr="00F060B6">
                          <w:rPr>
                            <w:rFonts w:ascii="Arial" w:hAnsi="Arial" w:cs="Arial"/>
                            <w:color w:val="000000"/>
                            <w:sz w:val="18"/>
                            <w:szCs w:val="18"/>
                            <w:lang w:val="en-AU"/>
                          </w:rPr>
                          <w:br/>
                          <w:t>Bonuses, equity profits, pension payments, and perquisites, also known as "all other compensation", were considerable among the highest paid CEOs.  Time-based equity grants and discretionary bonus payments helped fuel some of the most sizeable compensation packages.   Substantial increases resulting from pension payments and other deferred compensation also accounted for significant portions of realized compensation.</w:t>
                        </w:r>
                        <w:r w:rsidRPr="00F060B6">
                          <w:rPr>
                            <w:rFonts w:ascii="Arial" w:hAnsi="Arial" w:cs="Arial"/>
                            <w:color w:val="000000"/>
                            <w:sz w:val="18"/>
                            <w:szCs w:val="18"/>
                            <w:lang w:val="en-AU"/>
                          </w:rPr>
                          <w:br/>
                          <w:t> </w:t>
                        </w:r>
                        <w:r w:rsidRPr="00F060B6">
                          <w:rPr>
                            <w:rFonts w:ascii="Arial" w:hAnsi="Arial" w:cs="Arial"/>
                            <w:color w:val="000000"/>
                            <w:sz w:val="18"/>
                            <w:szCs w:val="18"/>
                            <w:lang w:val="en-AU"/>
                          </w:rPr>
                          <w:br/>
                          <w:t>The survey is based on the analysis of more than 3,200 proxy statements. Of those, changes were calculated and based on the data in 2,132 proxy statements where CEOs had been in their positions for the last two fiscal years.</w:t>
                        </w:r>
                        <w:r w:rsidRPr="00F060B6">
                          <w:rPr>
                            <w:rFonts w:ascii="Arial" w:hAnsi="Arial" w:cs="Arial"/>
                            <w:color w:val="000000"/>
                            <w:sz w:val="18"/>
                            <w:szCs w:val="18"/>
                            <w:lang w:val="en-AU"/>
                          </w:rPr>
                          <w:br/>
                          <w:t> </w:t>
                        </w:r>
                        <w:r w:rsidRPr="00F060B6">
                          <w:rPr>
                            <w:rFonts w:ascii="Arial" w:hAnsi="Arial" w:cs="Arial"/>
                            <w:color w:val="000000"/>
                            <w:sz w:val="18"/>
                            <w:szCs w:val="18"/>
                            <w:lang w:val="en-AU"/>
                          </w:rPr>
                          <w:br/>
                          <w:t xml:space="preserve">Further details of GMI's pay survey are available on the </w:t>
                        </w:r>
                        <w:r w:rsidRPr="00F060B6">
                          <w:rPr>
                            <w:rFonts w:ascii="Arial" w:hAnsi="Arial" w:cs="Arial"/>
                            <w:color w:val="000000"/>
                            <w:sz w:val="18"/>
                            <w:szCs w:val="18"/>
                            <w:lang w:val="en-AU"/>
                          </w:rPr>
                          <w:fldChar w:fldCharType="begin"/>
                        </w:r>
                        <w:r w:rsidRPr="00F060B6">
                          <w:rPr>
                            <w:rFonts w:ascii="Arial" w:hAnsi="Arial" w:cs="Arial"/>
                            <w:color w:val="000000"/>
                            <w:sz w:val="18"/>
                            <w:szCs w:val="18"/>
                            <w:lang w:val="en-AU"/>
                          </w:rPr>
                          <w:instrText xml:space="preserve"> HYPERLINK "http://www2.gmiratings.com/news_docs/1775gmi_pressrelease_ceopay_final.pdf" \t "_new" </w:instrText>
                        </w:r>
                        <w:r w:rsidRPr="00F060B6">
                          <w:rPr>
                            <w:rFonts w:ascii="Arial" w:hAnsi="Arial" w:cs="Arial"/>
                            <w:color w:val="000000"/>
                            <w:sz w:val="18"/>
                            <w:szCs w:val="18"/>
                            <w:lang w:val="en-AU"/>
                          </w:rPr>
                        </w:r>
                        <w:r w:rsidRPr="00F060B6">
                          <w:rPr>
                            <w:rFonts w:ascii="Arial" w:hAnsi="Arial" w:cs="Arial"/>
                            <w:color w:val="000000"/>
                            <w:sz w:val="18"/>
                            <w:szCs w:val="18"/>
                            <w:lang w:val="en-AU"/>
                          </w:rPr>
                          <w:fldChar w:fldCharType="separate"/>
                        </w:r>
                        <w:r w:rsidRPr="00F060B6">
                          <w:rPr>
                            <w:rFonts w:ascii="Arial" w:hAnsi="Arial" w:cs="Arial"/>
                            <w:color w:val="0000FF"/>
                            <w:sz w:val="18"/>
                            <w:szCs w:val="18"/>
                            <w:u w:val="single"/>
                            <w:lang w:val="en-AU"/>
                          </w:rPr>
                          <w:t>GMI website</w:t>
                        </w:r>
                        <w:r w:rsidRPr="00F060B6">
                          <w:rPr>
                            <w:rFonts w:ascii="Arial" w:hAnsi="Arial" w:cs="Arial"/>
                            <w:color w:val="000000"/>
                            <w:sz w:val="18"/>
                            <w:szCs w:val="18"/>
                            <w:lang w:val="en-AU"/>
                          </w:rPr>
                          <w:fldChar w:fldCharType="end"/>
                        </w:r>
                        <w:r w:rsidRPr="00F060B6">
                          <w:rPr>
                            <w:rFonts w:ascii="Arial" w:hAnsi="Arial" w:cs="Arial"/>
                            <w:color w:val="000000"/>
                            <w:sz w:val="18"/>
                            <w:szCs w:val="18"/>
                            <w:lang w:val="en-AU"/>
                          </w:rPr>
                          <w:t>.</w:t>
                        </w:r>
                      </w:p>
                      <w:p w:rsidR="00F060B6" w:rsidRPr="00F060B6" w:rsidRDefault="00F060B6" w:rsidP="00F060B6">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1518" name="Picture 21518" descr="etailed Contents">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18" descr="etailed Contents"/>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F060B6" w:rsidRPr="00F060B6" w:rsidRDefault="00F060B6" w:rsidP="00F060B6">
                  <w:pPr>
                    <w:rPr>
                      <w:rFonts w:ascii="Times" w:eastAsia="Times New Roman" w:hAnsi="Times" w:cs="Times New Roman"/>
                      <w:sz w:val="20"/>
                      <w:szCs w:val="20"/>
                      <w:lang w:val="en-AU"/>
                    </w:rPr>
                  </w:pPr>
                </w:p>
              </w:tc>
            </w:tr>
          </w:tbl>
          <w:p w:rsidR="00F060B6" w:rsidRPr="00F060B6" w:rsidRDefault="00F060B6" w:rsidP="00F060B6">
            <w:pPr>
              <w:spacing w:before="100" w:beforeAutospacing="1" w:after="100" w:afterAutospacing="1"/>
              <w:rPr>
                <w:rFonts w:ascii="Times" w:hAnsi="Times" w:cs="Times New Roman"/>
                <w:sz w:val="20"/>
                <w:szCs w:val="20"/>
                <w:lang w:val="en-AU"/>
              </w:rPr>
            </w:pPr>
            <w:r w:rsidRPr="00F060B6">
              <w:rPr>
                <w:rFonts w:ascii="Arial" w:eastAsia="Times New Roman" w:hAnsi="Arial" w:cs="Arial"/>
                <w:color w:val="000000"/>
                <w:sz w:val="18"/>
                <w:szCs w:val="18"/>
                <w:lang w:val="en-AU"/>
              </w:rPr>
              <w:t> </w:t>
            </w:r>
          </w:p>
          <w:tbl>
            <w:tblPr>
              <w:tblW w:w="5000" w:type="pct"/>
              <w:tblCellSpacing w:w="0" w:type="dxa"/>
              <w:tblCellMar>
                <w:left w:w="0" w:type="dxa"/>
                <w:right w:w="0" w:type="dxa"/>
              </w:tblCellMar>
              <w:tblLook w:val="04A0" w:firstRow="1" w:lastRow="0" w:firstColumn="1" w:lastColumn="0" w:noHBand="0" w:noVBand="1"/>
            </w:tblPr>
            <w:tblGrid>
              <w:gridCol w:w="7208"/>
            </w:tblGrid>
            <w:tr w:rsidR="00F060B6" w:rsidRPr="00F060B6">
              <w:trPr>
                <w:trHeight w:val="420"/>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E4E5E5"/>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6258"/>
                    <w:gridCol w:w="450"/>
                    <w:gridCol w:w="470"/>
                  </w:tblGrid>
                  <w:tr w:rsidR="00F060B6" w:rsidRPr="00F060B6">
                    <w:trPr>
                      <w:tblCellSpacing w:w="0" w:type="dxa"/>
                    </w:trPr>
                    <w:tc>
                      <w:tcPr>
                        <w:tcW w:w="0" w:type="auto"/>
                        <w:vAlign w:val="center"/>
                        <w:hideMark/>
                      </w:tcPr>
                      <w:p w:rsidR="00F060B6" w:rsidRPr="00F060B6" w:rsidRDefault="00F060B6" w:rsidP="00F060B6">
                        <w:pPr>
                          <w:spacing w:before="100" w:beforeAutospacing="1" w:after="100" w:afterAutospacing="1"/>
                          <w:rPr>
                            <w:rFonts w:ascii="Times" w:hAnsi="Times" w:cs="Times New Roman"/>
                            <w:sz w:val="20"/>
                            <w:szCs w:val="20"/>
                            <w:lang w:val="en-AU"/>
                          </w:rPr>
                        </w:pPr>
                        <w:bookmarkStart w:id="28" w:name="2"/>
                        <w:bookmarkEnd w:id="28"/>
                        <w:r w:rsidRPr="00F060B6">
                          <w:rPr>
                            <w:rFonts w:ascii="Arial" w:eastAsia="Times New Roman" w:hAnsi="Arial" w:cs="Arial"/>
                            <w:b/>
                            <w:bCs/>
                            <w:color w:val="000000"/>
                            <w:sz w:val="18"/>
                            <w:szCs w:val="18"/>
                            <w:lang w:val="en-AU"/>
                          </w:rPr>
                          <w:t>2. Recent ASIC Developments</w:t>
                        </w:r>
                      </w:p>
                    </w:tc>
                    <w:tc>
                      <w:tcPr>
                        <w:tcW w:w="450" w:type="dxa"/>
                        <w:vAlign w:val="center"/>
                        <w:hideMark/>
                      </w:tcPr>
                      <w:p w:rsidR="00F060B6" w:rsidRPr="00F060B6" w:rsidRDefault="00F060B6" w:rsidP="00F060B6">
                        <w:pPr>
                          <w:rPr>
                            <w:rFonts w:ascii="Times" w:eastAsia="Times New Roman" w:hAnsi="Times" w:cs="Times New Roman"/>
                            <w:sz w:val="20"/>
                            <w:szCs w:val="20"/>
                            <w:lang w:val="en-AU"/>
                          </w:rPr>
                        </w:pPr>
                      </w:p>
                    </w:tc>
                    <w:tc>
                      <w:tcPr>
                        <w:tcW w:w="180" w:type="dxa"/>
                        <w:tcBorders>
                          <w:top w:val="nil"/>
                          <w:left w:val="single" w:sz="6" w:space="0" w:color="4D4F63"/>
                          <w:bottom w:val="nil"/>
                          <w:right w:val="nil"/>
                        </w:tcBorders>
                        <w:vAlign w:val="center"/>
                        <w:hideMark/>
                      </w:tcPr>
                      <w:p w:rsidR="00F060B6" w:rsidRPr="00F060B6" w:rsidRDefault="00F060B6" w:rsidP="00F060B6">
                        <w:pPr>
                          <w:spacing w:before="100" w:beforeAutospacing="1" w:after="100" w:afterAutospacing="1"/>
                          <w:rPr>
                            <w:rFonts w:ascii="Times" w:hAnsi="Times" w:cs="Times New Roman"/>
                            <w:sz w:val="20"/>
                            <w:szCs w:val="20"/>
                            <w:lang w:val="en-AU"/>
                          </w:rPr>
                        </w:pPr>
                        <w:r>
                          <w:rPr>
                            <w:rFonts w:ascii="Arial" w:eastAsia="Times New Roman" w:hAnsi="Arial" w:cs="Arial"/>
                            <w:noProof/>
                            <w:color w:val="0000FF"/>
                            <w:sz w:val="18"/>
                            <w:szCs w:val="18"/>
                          </w:rPr>
                          <w:drawing>
                            <wp:inline distT="0" distB="0" distL="0" distR="0">
                              <wp:extent cx="136525" cy="153670"/>
                              <wp:effectExtent l="0" t="0" r="0" b="0"/>
                              <wp:docPr id="21519" name="Picture 21519" descr="ext Section">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19" descr="ext Section"/>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F060B6" w:rsidRPr="00F060B6" w:rsidRDefault="00F060B6" w:rsidP="00F060B6">
                  <w:pPr>
                    <w:rPr>
                      <w:rFonts w:ascii="Times" w:eastAsia="Times New Roman" w:hAnsi="Times" w:cs="Times New Roman"/>
                      <w:sz w:val="20"/>
                      <w:szCs w:val="20"/>
                      <w:lang w:val="en-AU"/>
                    </w:rPr>
                  </w:pPr>
                </w:p>
              </w:tc>
            </w:tr>
            <w:tr w:rsidR="00F060B6" w:rsidRPr="00F060B6">
              <w:trPr>
                <w:tblCellSpacing w:w="0" w:type="dxa"/>
              </w:trPr>
              <w:tc>
                <w:tcPr>
                  <w:tcW w:w="0" w:type="auto"/>
                  <w:vAlign w:val="center"/>
                  <w:hideMark/>
                </w:tcPr>
                <w:p w:rsidR="00F060B6" w:rsidRPr="00F060B6" w:rsidRDefault="00F060B6" w:rsidP="00F060B6">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17145"/>
                        <wp:effectExtent l="0" t="0" r="0" b="0"/>
                        <wp:docPr id="21520" name="Picture 21520"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20"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17145"/>
                                </a:xfrm>
                                <a:prstGeom prst="rect">
                                  <a:avLst/>
                                </a:prstGeom>
                                <a:noFill/>
                                <a:ln>
                                  <a:noFill/>
                                </a:ln>
                              </pic:spPr>
                            </pic:pic>
                          </a:graphicData>
                        </a:graphic>
                      </wp:inline>
                    </w:drawing>
                  </w:r>
                </w:p>
              </w:tc>
            </w:tr>
            <w:tr w:rsidR="00F060B6" w:rsidRPr="00F060B6">
              <w:trPr>
                <w:tblCellSpacing w:w="0" w:type="dxa"/>
              </w:trPr>
              <w:tc>
                <w:tcPr>
                  <w:tcW w:w="0" w:type="auto"/>
                  <w:tcBorders>
                    <w:top w:val="single" w:sz="6" w:space="0" w:color="4D4F63"/>
                    <w:left w:val="single" w:sz="6" w:space="0" w:color="4D4F63"/>
                    <w:bottom w:val="single" w:sz="6" w:space="0" w:color="4D4F63"/>
                    <w:right w:val="single" w:sz="6" w:space="0" w:color="4D4F63"/>
                  </w:tcBorders>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7178"/>
                  </w:tblGrid>
                  <w:tr w:rsidR="00F060B6" w:rsidRPr="00F060B6">
                    <w:trPr>
                      <w:tblCellSpacing w:w="0" w:type="dxa"/>
                    </w:trPr>
                    <w:tc>
                      <w:tcPr>
                        <w:tcW w:w="0" w:type="auto"/>
                        <w:hideMark/>
                      </w:tcPr>
                      <w:p w:rsidR="00F060B6" w:rsidRPr="00F060B6" w:rsidRDefault="00F060B6" w:rsidP="00F060B6">
                        <w:pPr>
                          <w:spacing w:before="100" w:beforeAutospacing="1" w:after="100" w:afterAutospacing="1"/>
                          <w:rPr>
                            <w:rFonts w:ascii="Times" w:hAnsi="Times" w:cs="Times New Roman"/>
                            <w:sz w:val="20"/>
                            <w:szCs w:val="20"/>
                            <w:lang w:val="en-AU"/>
                          </w:rPr>
                        </w:pPr>
                        <w:bookmarkStart w:id="29" w:name="021"/>
                        <w:bookmarkEnd w:id="29"/>
                        <w:r w:rsidRPr="00F060B6">
                          <w:rPr>
                            <w:rFonts w:ascii="Arial" w:hAnsi="Arial" w:cs="Arial"/>
                            <w:b/>
                            <w:bCs/>
                            <w:color w:val="000000"/>
                            <w:sz w:val="18"/>
                            <w:szCs w:val="18"/>
                            <w:lang w:val="en-AU"/>
                          </w:rPr>
                          <w:t>2.1 Consultation on transfer determinations by ASIC for trustee companies providing traditional trustee company services</w:t>
                        </w:r>
                        <w:r w:rsidRPr="00F060B6">
                          <w:rPr>
                            <w:rFonts w:ascii="Arial" w:hAnsi="Arial" w:cs="Arial"/>
                            <w:color w:val="000000"/>
                            <w:sz w:val="18"/>
                            <w:szCs w:val="18"/>
                            <w:lang w:val="en-AU"/>
                          </w:rPr>
                          <w:br/>
                          <w:t> </w:t>
                        </w:r>
                        <w:r w:rsidRPr="00F060B6">
                          <w:rPr>
                            <w:rFonts w:ascii="Arial" w:hAnsi="Arial" w:cs="Arial"/>
                            <w:color w:val="000000"/>
                            <w:sz w:val="18"/>
                            <w:szCs w:val="18"/>
                            <w:lang w:val="en-AU"/>
                          </w:rPr>
                          <w:br/>
                          <w:t xml:space="preserve">On 24 January 2012, ASIC released a consultation paper seeking public comment about its proposals on administering the transfer determination provisions of Chapter 5D of the </w:t>
                        </w:r>
                        <w:r w:rsidRPr="00F060B6">
                          <w:rPr>
                            <w:rFonts w:ascii="Arial" w:hAnsi="Arial" w:cs="Arial"/>
                            <w:color w:val="000000"/>
                            <w:sz w:val="18"/>
                            <w:szCs w:val="18"/>
                            <w:lang w:val="en-AU"/>
                          </w:rPr>
                          <w:fldChar w:fldCharType="begin"/>
                        </w:r>
                        <w:r w:rsidRPr="00F060B6">
                          <w:rPr>
                            <w:rFonts w:ascii="Arial" w:hAnsi="Arial" w:cs="Arial"/>
                            <w:color w:val="000000"/>
                            <w:sz w:val="18"/>
                            <w:szCs w:val="18"/>
                            <w:lang w:val="en-AU"/>
                          </w:rPr>
                          <w:instrText xml:space="preserve"> HYPERLINK "http://my.lawlex.com.au/index.asp?pact=coredoc&amp;nav=col&amp;cid=56482" \t "Default" </w:instrText>
                        </w:r>
                        <w:r w:rsidRPr="00F060B6">
                          <w:rPr>
                            <w:rFonts w:ascii="Arial" w:hAnsi="Arial" w:cs="Arial"/>
                            <w:color w:val="000000"/>
                            <w:sz w:val="18"/>
                            <w:szCs w:val="18"/>
                            <w:lang w:val="en-AU"/>
                          </w:rPr>
                        </w:r>
                        <w:r w:rsidRPr="00F060B6">
                          <w:rPr>
                            <w:rFonts w:ascii="Arial" w:hAnsi="Arial" w:cs="Arial"/>
                            <w:color w:val="000000"/>
                            <w:sz w:val="18"/>
                            <w:szCs w:val="18"/>
                            <w:lang w:val="en-AU"/>
                          </w:rPr>
                          <w:fldChar w:fldCharType="separate"/>
                        </w:r>
                        <w:r w:rsidRPr="00F060B6">
                          <w:rPr>
                            <w:rFonts w:ascii="Arial" w:hAnsi="Arial" w:cs="Arial"/>
                            <w:color w:val="0000FF"/>
                            <w:sz w:val="18"/>
                            <w:szCs w:val="18"/>
                            <w:u w:val="single"/>
                            <w:lang w:val="en-AU"/>
                          </w:rPr>
                          <w:t>Corporations Act 2001</w:t>
                        </w:r>
                        <w:r w:rsidRPr="00F060B6">
                          <w:rPr>
                            <w:rFonts w:ascii="Arial" w:hAnsi="Arial" w:cs="Arial"/>
                            <w:color w:val="000000"/>
                            <w:sz w:val="18"/>
                            <w:szCs w:val="18"/>
                            <w:lang w:val="en-AU"/>
                          </w:rPr>
                          <w:fldChar w:fldCharType="end"/>
                        </w:r>
                        <w:r w:rsidRPr="00F060B6">
                          <w:rPr>
                            <w:rFonts w:ascii="Arial" w:hAnsi="Arial" w:cs="Arial"/>
                            <w:color w:val="000000"/>
                            <w:sz w:val="18"/>
                            <w:szCs w:val="18"/>
                            <w:lang w:val="en-AU"/>
                          </w:rPr>
                          <w:t xml:space="preserve"> for trustee companies providing traditional trustee company services.</w:t>
                        </w:r>
                        <w:r w:rsidRPr="00F060B6">
                          <w:rPr>
                            <w:rFonts w:ascii="Arial" w:hAnsi="Arial" w:cs="Arial"/>
                            <w:color w:val="000000"/>
                            <w:sz w:val="18"/>
                            <w:szCs w:val="18"/>
                            <w:lang w:val="en-AU"/>
                          </w:rPr>
                          <w:br/>
                        </w:r>
                        <w:r w:rsidRPr="00F060B6">
                          <w:rPr>
                            <w:rFonts w:ascii="Arial" w:hAnsi="Arial" w:cs="Arial"/>
                            <w:color w:val="000000"/>
                            <w:sz w:val="18"/>
                            <w:szCs w:val="18"/>
                            <w:lang w:val="en-AU"/>
                          </w:rPr>
                          <w:br/>
                          <w:t xml:space="preserve">The power to make a transfer determination is a new power for ASIC and is part of the amendments to the Corporations Act enacted in November 2009 to regulate traditional services provided by trustee companies previously authorised under state and territory legislation. </w:t>
                        </w:r>
                        <w:r w:rsidRPr="00F060B6">
                          <w:rPr>
                            <w:rFonts w:ascii="Arial" w:hAnsi="Arial" w:cs="Arial"/>
                            <w:color w:val="000000"/>
                            <w:sz w:val="18"/>
                            <w:szCs w:val="18"/>
                            <w:lang w:val="en-AU"/>
                          </w:rPr>
                          <w:br/>
                        </w:r>
                        <w:r w:rsidRPr="00F060B6">
                          <w:rPr>
                            <w:rFonts w:ascii="Arial" w:hAnsi="Arial" w:cs="Arial"/>
                            <w:color w:val="000000"/>
                            <w:sz w:val="18"/>
                            <w:szCs w:val="18"/>
                            <w:lang w:val="en-AU"/>
                          </w:rPr>
                          <w:br/>
                          <w:t>ASIC's Consultation Paper 173 'Trustee companies: Transfer determinations by ASIC' sets out proposals on what information it will require to properly consider a transfer determination.  ASIC plans guidance in this area in order to assist trustee companies to efficiently prepare and supply relevant material to ASIC with their applications for a transfer determination.</w:t>
                        </w:r>
                        <w:r w:rsidRPr="00F060B6">
                          <w:rPr>
                            <w:rFonts w:ascii="Arial" w:hAnsi="Arial" w:cs="Arial"/>
                            <w:color w:val="000000"/>
                            <w:sz w:val="18"/>
                            <w:szCs w:val="18"/>
                            <w:lang w:val="en-AU"/>
                          </w:rPr>
                          <w:br/>
                        </w:r>
                        <w:r w:rsidRPr="00F060B6">
                          <w:rPr>
                            <w:rFonts w:ascii="Arial" w:hAnsi="Arial" w:cs="Arial"/>
                            <w:color w:val="000000"/>
                            <w:sz w:val="18"/>
                            <w:szCs w:val="18"/>
                            <w:lang w:val="en-AU"/>
                          </w:rPr>
                          <w:br/>
                          <w:t>CP 173 deals with the three types of transfer determination applications it anticipates receiving from trustee companies performing traditional services such as an estate management function. These are:</w:t>
                        </w:r>
                      </w:p>
                      <w:p w:rsidR="00F060B6" w:rsidRPr="00F060B6" w:rsidRDefault="00F060B6" w:rsidP="00F060B6">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060B6">
                          <w:rPr>
                            <w:rFonts w:ascii="Arial" w:eastAsia="Times New Roman" w:hAnsi="Arial" w:cs="Arial"/>
                            <w:color w:val="000000"/>
                            <w:sz w:val="18"/>
                            <w:szCs w:val="18"/>
                            <w:lang w:val="en-AU"/>
                          </w:rPr>
                          <w:t xml:space="preserve">voluntary transfers between trustee companies belonging to the same corporate group; </w:t>
                        </w:r>
                      </w:p>
                      <w:p w:rsidR="00F060B6" w:rsidRPr="00F060B6" w:rsidRDefault="00F060B6" w:rsidP="00F060B6">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060B6">
                          <w:rPr>
                            <w:rFonts w:ascii="Arial" w:eastAsia="Times New Roman" w:hAnsi="Arial" w:cs="Arial"/>
                            <w:color w:val="000000"/>
                            <w:sz w:val="18"/>
                            <w:szCs w:val="18"/>
                            <w:lang w:val="en-AU"/>
                          </w:rPr>
                          <w:t xml:space="preserve">voluntary transfers between unrelated trustee companies; and </w:t>
                        </w:r>
                      </w:p>
                      <w:p w:rsidR="00F060B6" w:rsidRPr="00F060B6" w:rsidRDefault="00F060B6" w:rsidP="00F060B6">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060B6">
                          <w:rPr>
                            <w:rFonts w:ascii="Arial" w:eastAsia="Times New Roman" w:hAnsi="Arial" w:cs="Arial"/>
                            <w:color w:val="000000"/>
                            <w:sz w:val="18"/>
                            <w:szCs w:val="18"/>
                            <w:lang w:val="en-AU"/>
                          </w:rPr>
                          <w:t xml:space="preserve">compulsory transfers from one unrelated trustee company to another. </w:t>
                        </w:r>
                      </w:p>
                      <w:p w:rsidR="00F060B6" w:rsidRPr="00F060B6" w:rsidRDefault="00F060B6" w:rsidP="00F060B6">
                        <w:pPr>
                          <w:spacing w:before="100" w:beforeAutospacing="1" w:after="100" w:afterAutospacing="1"/>
                          <w:rPr>
                            <w:rFonts w:ascii="Times" w:hAnsi="Times" w:cs="Times New Roman"/>
                            <w:sz w:val="20"/>
                            <w:szCs w:val="20"/>
                            <w:lang w:val="en-AU"/>
                          </w:rPr>
                        </w:pPr>
                        <w:r w:rsidRPr="00F060B6">
                          <w:rPr>
                            <w:rFonts w:ascii="Arial" w:hAnsi="Arial" w:cs="Arial"/>
                            <w:color w:val="000000"/>
                            <w:sz w:val="18"/>
                            <w:szCs w:val="18"/>
                            <w:lang w:val="en-AU"/>
                          </w:rPr>
                          <w:t>CP 173 sets out proposals on the information a trustee company will be required to supply to ASIC in connection with an application for a transfer determination in each of the three situations.  The information is required in order for ASIC to properly consider and assess the applications in accordance with the provisions of Part 5D.6 of the Corporations Act and to satisfy ASIC that any transfer is in the best interests of both the clients of the transferring company and those of the receiving company (when viewed as a group).</w:t>
                        </w:r>
                        <w:r w:rsidRPr="00F060B6">
                          <w:rPr>
                            <w:rFonts w:ascii="Arial" w:hAnsi="Arial" w:cs="Arial"/>
                            <w:color w:val="000000"/>
                            <w:sz w:val="18"/>
                            <w:szCs w:val="18"/>
                            <w:lang w:val="en-AU"/>
                          </w:rPr>
                          <w:br/>
                        </w:r>
                        <w:r w:rsidRPr="00F060B6">
                          <w:rPr>
                            <w:rFonts w:ascii="Arial" w:hAnsi="Arial" w:cs="Arial"/>
                            <w:color w:val="000000"/>
                            <w:sz w:val="18"/>
                            <w:szCs w:val="18"/>
                            <w:lang w:val="en-AU"/>
                          </w:rPr>
                          <w:br/>
                          <w:t xml:space="preserve">Consultation Paper 173 is available on the </w:t>
                        </w:r>
                        <w:r w:rsidRPr="00F060B6">
                          <w:rPr>
                            <w:rFonts w:ascii="Arial" w:hAnsi="Arial" w:cs="Arial"/>
                            <w:color w:val="000000"/>
                            <w:sz w:val="18"/>
                            <w:szCs w:val="18"/>
                            <w:lang w:val="en-AU"/>
                          </w:rPr>
                          <w:fldChar w:fldCharType="begin"/>
                        </w:r>
                        <w:r w:rsidRPr="00F060B6">
                          <w:rPr>
                            <w:rFonts w:ascii="Arial" w:hAnsi="Arial" w:cs="Arial"/>
                            <w:color w:val="000000"/>
                            <w:sz w:val="18"/>
                            <w:szCs w:val="18"/>
                            <w:lang w:val="en-AU"/>
                          </w:rPr>
                          <w:instrText xml:space="preserve"> HYPERLINK "http://www.asic.gov.au/asic/asic.nsf/byheadline/Consultation+papers?openDocument" \l "cp173" \t "_new" </w:instrText>
                        </w:r>
                        <w:r w:rsidRPr="00F060B6">
                          <w:rPr>
                            <w:rFonts w:ascii="Arial" w:hAnsi="Arial" w:cs="Arial"/>
                            <w:color w:val="000000"/>
                            <w:sz w:val="18"/>
                            <w:szCs w:val="18"/>
                            <w:lang w:val="en-AU"/>
                          </w:rPr>
                        </w:r>
                        <w:r w:rsidRPr="00F060B6">
                          <w:rPr>
                            <w:rFonts w:ascii="Arial" w:hAnsi="Arial" w:cs="Arial"/>
                            <w:color w:val="000000"/>
                            <w:sz w:val="18"/>
                            <w:szCs w:val="18"/>
                            <w:lang w:val="en-AU"/>
                          </w:rPr>
                          <w:fldChar w:fldCharType="separate"/>
                        </w:r>
                        <w:r w:rsidRPr="00F060B6">
                          <w:rPr>
                            <w:rFonts w:ascii="Arial" w:hAnsi="Arial" w:cs="Arial"/>
                            <w:color w:val="0000FF"/>
                            <w:sz w:val="18"/>
                            <w:szCs w:val="18"/>
                            <w:u w:val="single"/>
                            <w:lang w:val="en-AU"/>
                          </w:rPr>
                          <w:t>ASIC website</w:t>
                        </w:r>
                        <w:r w:rsidRPr="00F060B6">
                          <w:rPr>
                            <w:rFonts w:ascii="Arial" w:hAnsi="Arial" w:cs="Arial"/>
                            <w:color w:val="000000"/>
                            <w:sz w:val="18"/>
                            <w:szCs w:val="18"/>
                            <w:lang w:val="en-AU"/>
                          </w:rPr>
                          <w:fldChar w:fldCharType="end"/>
                        </w:r>
                        <w:r w:rsidRPr="00F060B6">
                          <w:rPr>
                            <w:rFonts w:ascii="Arial" w:hAnsi="Arial" w:cs="Arial"/>
                            <w:color w:val="000000"/>
                            <w:sz w:val="18"/>
                            <w:szCs w:val="18"/>
                            <w:lang w:val="en-AU"/>
                          </w:rPr>
                          <w:t>.</w:t>
                        </w:r>
                      </w:p>
                      <w:p w:rsidR="00F060B6" w:rsidRPr="00F060B6" w:rsidRDefault="00F060B6" w:rsidP="00F060B6">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1521" name="Picture 21521" descr="etailed Contents">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21" descr="etailed Contents"/>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060B6" w:rsidRPr="00F060B6" w:rsidRDefault="00F060B6" w:rsidP="00F060B6">
                        <w:pPr>
                          <w:jc w:val="center"/>
                          <w:rPr>
                            <w:rFonts w:ascii="Arial" w:eastAsia="Times New Roman" w:hAnsi="Arial" w:cs="Arial"/>
                            <w:color w:val="000000"/>
                            <w:sz w:val="18"/>
                            <w:szCs w:val="18"/>
                            <w:lang w:val="en-AU"/>
                          </w:rPr>
                        </w:pPr>
                        <w:r w:rsidRPr="00F060B6">
                          <w:rPr>
                            <w:rFonts w:ascii="Arial" w:eastAsia="Times New Roman" w:hAnsi="Arial" w:cs="Arial"/>
                            <w:color w:val="000000"/>
                            <w:sz w:val="18"/>
                            <w:szCs w:val="18"/>
                            <w:lang w:val="en-AU"/>
                          </w:rPr>
                          <w:pict>
                            <v:rect id="_x0000_i22546" style="width:415pt;height:2pt" o:hralign="center" o:hrstd="t" o:hr="t" fillcolor="#aaa" stroked="f"/>
                          </w:pict>
                        </w:r>
                      </w:p>
                      <w:p w:rsidR="00F060B6" w:rsidRPr="00F060B6" w:rsidRDefault="00F060B6" w:rsidP="00F060B6">
                        <w:pPr>
                          <w:spacing w:before="100" w:beforeAutospacing="1" w:after="100" w:afterAutospacing="1"/>
                          <w:rPr>
                            <w:rFonts w:ascii="Times" w:hAnsi="Times" w:cs="Times New Roman"/>
                            <w:sz w:val="20"/>
                            <w:szCs w:val="20"/>
                            <w:lang w:val="en-AU"/>
                          </w:rPr>
                        </w:pPr>
                        <w:bookmarkStart w:id="30" w:name="022"/>
                        <w:bookmarkEnd w:id="30"/>
                        <w:r w:rsidRPr="00F060B6">
                          <w:rPr>
                            <w:rFonts w:ascii="Arial" w:hAnsi="Arial" w:cs="Arial"/>
                            <w:b/>
                            <w:bCs/>
                            <w:color w:val="000000"/>
                            <w:sz w:val="18"/>
                            <w:szCs w:val="18"/>
                            <w:lang w:val="en-AU"/>
                          </w:rPr>
                          <w:t>2.2 Improved disclosure by infrastructure entities</w:t>
                        </w:r>
                        <w:r w:rsidRPr="00F060B6">
                          <w:rPr>
                            <w:rFonts w:ascii="Arial" w:hAnsi="Arial" w:cs="Arial"/>
                            <w:color w:val="000000"/>
                            <w:sz w:val="18"/>
                            <w:szCs w:val="18"/>
                            <w:lang w:val="en-AU"/>
                          </w:rPr>
                          <w:br/>
                          <w:t> </w:t>
                        </w:r>
                        <w:r w:rsidRPr="00F060B6">
                          <w:rPr>
                            <w:rFonts w:ascii="Arial" w:hAnsi="Arial" w:cs="Arial"/>
                            <w:color w:val="000000"/>
                            <w:sz w:val="18"/>
                            <w:szCs w:val="18"/>
                            <w:lang w:val="en-AU"/>
                          </w:rPr>
                          <w:br/>
                          <w:t>On 24 January 2012, ASIC released new disclosure benchmarks and principles for infrastructure entities to improve investor awareness of the risks associated with investing in these products.</w:t>
                        </w:r>
                        <w:r w:rsidRPr="00F060B6">
                          <w:rPr>
                            <w:rFonts w:ascii="Arial" w:hAnsi="Arial" w:cs="Arial"/>
                            <w:color w:val="000000"/>
                            <w:sz w:val="18"/>
                            <w:szCs w:val="18"/>
                            <w:lang w:val="en-AU"/>
                          </w:rPr>
                          <w:br/>
                        </w:r>
                        <w:r w:rsidRPr="00F060B6">
                          <w:rPr>
                            <w:rFonts w:ascii="Arial" w:hAnsi="Arial" w:cs="Arial"/>
                            <w:color w:val="000000"/>
                            <w:sz w:val="18"/>
                            <w:szCs w:val="18"/>
                            <w:lang w:val="en-AU"/>
                          </w:rPr>
                          <w:br/>
                          <w:t>The risks of investing in infrastructure entities were highlighted during the global financial crisis. The response of retail investors to loss of capital experienced during the crisis indicated that existing disclosure did not effectively communicate an understanding of the characteristics and risks of infrastructure entities to investors.</w:t>
                        </w:r>
                        <w:r w:rsidRPr="00F060B6">
                          <w:rPr>
                            <w:rFonts w:ascii="Arial" w:hAnsi="Arial" w:cs="Arial"/>
                            <w:color w:val="000000"/>
                            <w:sz w:val="18"/>
                            <w:szCs w:val="18"/>
                            <w:lang w:val="en-AU"/>
                          </w:rPr>
                          <w:br/>
                        </w:r>
                        <w:r w:rsidRPr="00F060B6">
                          <w:rPr>
                            <w:rFonts w:ascii="Arial" w:hAnsi="Arial" w:cs="Arial"/>
                            <w:color w:val="000000"/>
                            <w:sz w:val="18"/>
                            <w:szCs w:val="18"/>
                            <w:lang w:val="en-AU"/>
                          </w:rPr>
                          <w:br/>
                          <w:t>ASIC's Regulatory Guide 231 'Infrastructure entities: Improving disclosure for retail investors' outlines nine benchmarks and 11 disclosure principles that apply to infrastructure entities, aimed at addressing the risks peculiar to infrastructure entities.</w:t>
                        </w:r>
                        <w:r w:rsidRPr="00F060B6">
                          <w:rPr>
                            <w:rFonts w:ascii="Arial" w:hAnsi="Arial" w:cs="Arial"/>
                            <w:color w:val="000000"/>
                            <w:sz w:val="18"/>
                            <w:szCs w:val="18"/>
                            <w:lang w:val="en-AU"/>
                          </w:rPr>
                          <w:br/>
                        </w:r>
                        <w:r w:rsidRPr="00F060B6">
                          <w:rPr>
                            <w:rFonts w:ascii="Arial" w:hAnsi="Arial" w:cs="Arial"/>
                            <w:color w:val="000000"/>
                            <w:sz w:val="18"/>
                            <w:szCs w:val="18"/>
                            <w:lang w:val="en-AU"/>
                          </w:rPr>
                          <w:br/>
                          <w:t>RG 231 is the next in a series of 'if not, why not' disclosure benchmarks for sectors that pose particular risks to consumers to ensure they are informed and can be confident when making investment decisions.  It follows Regulatory Guide 227 'Over-the-counter contracts for difference: Improving disclosure for retail investors' which provided benchmarks for the over-the-counter contracts for difference sector.</w:t>
                        </w:r>
                        <w:r w:rsidRPr="00F060B6">
                          <w:rPr>
                            <w:rFonts w:ascii="Arial" w:hAnsi="Arial" w:cs="Arial"/>
                            <w:color w:val="000000"/>
                            <w:sz w:val="18"/>
                            <w:szCs w:val="18"/>
                            <w:lang w:val="en-AU"/>
                          </w:rPr>
                          <w:br/>
                        </w:r>
                        <w:r w:rsidRPr="00F060B6">
                          <w:rPr>
                            <w:rFonts w:ascii="Arial" w:hAnsi="Arial" w:cs="Arial"/>
                            <w:color w:val="000000"/>
                            <w:sz w:val="18"/>
                            <w:szCs w:val="18"/>
                            <w:lang w:val="en-AU"/>
                          </w:rPr>
                          <w:br/>
                          <w:t>Infrastructure entities must disclose whether they meet the benchmarks and if not, why not.  'Why not' means explaining how a responsible entity deals with the business factor or the issue underlying the benchmark.  The benchmarks relate to topics such as corporate structure and management, remuneration of management, classes of units and shares, substantial related party transactions, cash flow forecast, base-case financial model, performance and forecast, distributions and updating the unit price.</w:t>
                        </w:r>
                        <w:r w:rsidRPr="00F060B6">
                          <w:rPr>
                            <w:rFonts w:ascii="Arial" w:hAnsi="Arial" w:cs="Arial"/>
                            <w:color w:val="000000"/>
                            <w:sz w:val="18"/>
                            <w:szCs w:val="18"/>
                            <w:lang w:val="en-AU"/>
                          </w:rPr>
                          <w:br/>
                        </w:r>
                        <w:r w:rsidRPr="00F060B6">
                          <w:rPr>
                            <w:rFonts w:ascii="Arial" w:hAnsi="Arial" w:cs="Arial"/>
                            <w:color w:val="000000"/>
                            <w:sz w:val="18"/>
                            <w:szCs w:val="18"/>
                            <w:lang w:val="en-AU"/>
                          </w:rPr>
                          <w:br/>
                          <w:t>Infrastructure entities are also required to disclose against 11 disclosure principles addressing key relationships, management and performance fees, related party transactions, financial ratios, capital expenditure and debt maturities, foreign exchange and interest rate hedging, base-case financial model, valuations, distribution policy, withdrawal policy, and portfolio diversification.</w:t>
                        </w:r>
                        <w:r w:rsidRPr="00F060B6">
                          <w:rPr>
                            <w:rFonts w:ascii="Arial" w:hAnsi="Arial" w:cs="Arial"/>
                            <w:color w:val="000000"/>
                            <w:sz w:val="18"/>
                            <w:szCs w:val="18"/>
                            <w:lang w:val="en-AU"/>
                          </w:rPr>
                          <w:br/>
                        </w:r>
                        <w:r w:rsidRPr="00F060B6">
                          <w:rPr>
                            <w:rFonts w:ascii="Arial" w:hAnsi="Arial" w:cs="Arial"/>
                            <w:color w:val="000000"/>
                            <w:sz w:val="18"/>
                            <w:szCs w:val="18"/>
                            <w:lang w:val="en-AU"/>
                          </w:rPr>
                          <w:br/>
                          <w:t>In addition to the benchmarks and disclosure principles, RG 231 also outlines the standards ASIC expects responsible entities to meet when advertising infrastructure entities to retail investors. These standards are consistent with draft guidelines for the advertising of financial products and financial advice, released in November 2011.</w:t>
                        </w:r>
                        <w:r w:rsidRPr="00F060B6">
                          <w:rPr>
                            <w:rFonts w:ascii="Arial" w:hAnsi="Arial" w:cs="Arial"/>
                            <w:color w:val="000000"/>
                            <w:sz w:val="18"/>
                            <w:szCs w:val="18"/>
                            <w:lang w:val="en-AU"/>
                          </w:rPr>
                          <w:br/>
                        </w:r>
                        <w:r w:rsidRPr="00F060B6">
                          <w:rPr>
                            <w:rFonts w:ascii="Arial" w:hAnsi="Arial" w:cs="Arial"/>
                            <w:color w:val="000000"/>
                            <w:sz w:val="18"/>
                            <w:szCs w:val="18"/>
                            <w:lang w:val="en-AU"/>
                          </w:rPr>
                          <w:br/>
                          <w:t>Responsible entities of infrastructure entities must disclose the benchmark and disclosure principle information in any existing and new disclosure dated on or after 1 July 2012.</w:t>
                        </w:r>
                        <w:r w:rsidRPr="00F060B6">
                          <w:rPr>
                            <w:rFonts w:ascii="Arial" w:hAnsi="Arial" w:cs="Arial"/>
                            <w:color w:val="000000"/>
                            <w:sz w:val="18"/>
                            <w:szCs w:val="18"/>
                            <w:lang w:val="en-AU"/>
                          </w:rPr>
                          <w:br/>
                        </w:r>
                        <w:r w:rsidRPr="00F060B6">
                          <w:rPr>
                            <w:rFonts w:ascii="Arial" w:hAnsi="Arial" w:cs="Arial"/>
                            <w:color w:val="000000"/>
                            <w:sz w:val="18"/>
                            <w:szCs w:val="18"/>
                            <w:lang w:val="en-AU"/>
                          </w:rPr>
                          <w:br/>
                          <w:t xml:space="preserve">ASIC has also published an investor guide for retail investors and financial consumers on its </w:t>
                        </w:r>
                        <w:r w:rsidRPr="00F060B6">
                          <w:rPr>
                            <w:rFonts w:ascii="Arial" w:hAnsi="Arial" w:cs="Arial"/>
                            <w:color w:val="000000"/>
                            <w:sz w:val="18"/>
                            <w:szCs w:val="18"/>
                            <w:lang w:val="en-AU"/>
                          </w:rPr>
                          <w:fldChar w:fldCharType="begin"/>
                        </w:r>
                        <w:r w:rsidRPr="00F060B6">
                          <w:rPr>
                            <w:rFonts w:ascii="Arial" w:hAnsi="Arial" w:cs="Arial"/>
                            <w:color w:val="000000"/>
                            <w:sz w:val="18"/>
                            <w:szCs w:val="18"/>
                            <w:lang w:val="en-AU"/>
                          </w:rPr>
                          <w:instrText xml:space="preserve"> HYPERLINK "http://www.moneysmart.gov.au" \t "_new" </w:instrText>
                        </w:r>
                        <w:r w:rsidRPr="00F060B6">
                          <w:rPr>
                            <w:rFonts w:ascii="Arial" w:hAnsi="Arial" w:cs="Arial"/>
                            <w:color w:val="000000"/>
                            <w:sz w:val="18"/>
                            <w:szCs w:val="18"/>
                            <w:lang w:val="en-AU"/>
                          </w:rPr>
                        </w:r>
                        <w:r w:rsidRPr="00F060B6">
                          <w:rPr>
                            <w:rFonts w:ascii="Arial" w:hAnsi="Arial" w:cs="Arial"/>
                            <w:color w:val="000000"/>
                            <w:sz w:val="18"/>
                            <w:szCs w:val="18"/>
                            <w:lang w:val="en-AU"/>
                          </w:rPr>
                          <w:fldChar w:fldCharType="separate"/>
                        </w:r>
                        <w:r w:rsidRPr="00F060B6">
                          <w:rPr>
                            <w:rFonts w:ascii="Arial" w:hAnsi="Arial" w:cs="Arial"/>
                            <w:color w:val="0000FF"/>
                            <w:sz w:val="18"/>
                            <w:szCs w:val="18"/>
                            <w:u w:val="single"/>
                            <w:lang w:val="en-AU"/>
                          </w:rPr>
                          <w:t>MoneySmart website</w:t>
                        </w:r>
                        <w:r w:rsidRPr="00F060B6">
                          <w:rPr>
                            <w:rFonts w:ascii="Arial" w:hAnsi="Arial" w:cs="Arial"/>
                            <w:color w:val="000000"/>
                            <w:sz w:val="18"/>
                            <w:szCs w:val="18"/>
                            <w:lang w:val="en-AU"/>
                          </w:rPr>
                          <w:fldChar w:fldCharType="end"/>
                        </w:r>
                        <w:r w:rsidRPr="00F060B6">
                          <w:rPr>
                            <w:rFonts w:ascii="Arial" w:hAnsi="Arial" w:cs="Arial"/>
                            <w:color w:val="000000"/>
                            <w:sz w:val="18"/>
                            <w:szCs w:val="18"/>
                            <w:lang w:val="en-AU"/>
                          </w:rPr>
                          <w:t xml:space="preserve"> to provide more information about this product class.</w:t>
                        </w:r>
                        <w:r w:rsidRPr="00F060B6">
                          <w:rPr>
                            <w:rFonts w:ascii="Arial" w:hAnsi="Arial" w:cs="Arial"/>
                            <w:color w:val="000000"/>
                            <w:sz w:val="18"/>
                            <w:szCs w:val="18"/>
                            <w:lang w:val="en-AU"/>
                          </w:rPr>
                          <w:br/>
                          <w:t> </w:t>
                        </w:r>
                        <w:r w:rsidRPr="00F060B6">
                          <w:rPr>
                            <w:rFonts w:ascii="Arial" w:hAnsi="Arial" w:cs="Arial"/>
                            <w:color w:val="000000"/>
                            <w:sz w:val="18"/>
                            <w:szCs w:val="18"/>
                            <w:lang w:val="en-AU"/>
                          </w:rPr>
                          <w:br/>
                          <w:t xml:space="preserve">Regulatory Guides 231 and 227 are available on the </w:t>
                        </w:r>
                        <w:r w:rsidRPr="00F060B6">
                          <w:rPr>
                            <w:rFonts w:ascii="Arial" w:hAnsi="Arial" w:cs="Arial"/>
                            <w:color w:val="000000"/>
                            <w:sz w:val="18"/>
                            <w:szCs w:val="18"/>
                            <w:lang w:val="en-AU"/>
                          </w:rPr>
                          <w:fldChar w:fldCharType="begin"/>
                        </w:r>
                        <w:r w:rsidRPr="00F060B6">
                          <w:rPr>
                            <w:rFonts w:ascii="Arial" w:hAnsi="Arial" w:cs="Arial"/>
                            <w:color w:val="000000"/>
                            <w:sz w:val="18"/>
                            <w:szCs w:val="18"/>
                            <w:lang w:val="en-AU"/>
                          </w:rPr>
                          <w:instrText xml:space="preserve"> HYPERLINK "http://www.asic.gov.au/asic/asic.nsf/byheadline/Regulatory+guides?openDocument" \l "rg231" \t "_new" </w:instrText>
                        </w:r>
                        <w:r w:rsidRPr="00F060B6">
                          <w:rPr>
                            <w:rFonts w:ascii="Arial" w:hAnsi="Arial" w:cs="Arial"/>
                            <w:color w:val="000000"/>
                            <w:sz w:val="18"/>
                            <w:szCs w:val="18"/>
                            <w:lang w:val="en-AU"/>
                          </w:rPr>
                        </w:r>
                        <w:r w:rsidRPr="00F060B6">
                          <w:rPr>
                            <w:rFonts w:ascii="Arial" w:hAnsi="Arial" w:cs="Arial"/>
                            <w:color w:val="000000"/>
                            <w:sz w:val="18"/>
                            <w:szCs w:val="18"/>
                            <w:lang w:val="en-AU"/>
                          </w:rPr>
                          <w:fldChar w:fldCharType="separate"/>
                        </w:r>
                        <w:r w:rsidRPr="00F060B6">
                          <w:rPr>
                            <w:rFonts w:ascii="Arial" w:hAnsi="Arial" w:cs="Arial"/>
                            <w:color w:val="0000FF"/>
                            <w:sz w:val="18"/>
                            <w:szCs w:val="18"/>
                            <w:u w:val="single"/>
                            <w:lang w:val="en-AU"/>
                          </w:rPr>
                          <w:t>ASIC website</w:t>
                        </w:r>
                        <w:r w:rsidRPr="00F060B6">
                          <w:rPr>
                            <w:rFonts w:ascii="Arial" w:hAnsi="Arial" w:cs="Arial"/>
                            <w:color w:val="000000"/>
                            <w:sz w:val="18"/>
                            <w:szCs w:val="18"/>
                            <w:lang w:val="en-AU"/>
                          </w:rPr>
                          <w:fldChar w:fldCharType="end"/>
                        </w:r>
                        <w:r w:rsidRPr="00F060B6">
                          <w:rPr>
                            <w:rFonts w:ascii="Arial" w:hAnsi="Arial" w:cs="Arial"/>
                            <w:color w:val="000000"/>
                            <w:sz w:val="18"/>
                            <w:szCs w:val="18"/>
                            <w:lang w:val="en-AU"/>
                          </w:rPr>
                          <w:t>.</w:t>
                        </w:r>
                      </w:p>
                      <w:p w:rsidR="00F060B6" w:rsidRPr="00F060B6" w:rsidRDefault="00F060B6" w:rsidP="00F060B6">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1523" name="Picture 21523" descr="etailed Contents">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23" descr="etailed Contents"/>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060B6" w:rsidRPr="00F060B6" w:rsidRDefault="00F060B6" w:rsidP="00F060B6">
                        <w:pPr>
                          <w:jc w:val="center"/>
                          <w:rPr>
                            <w:rFonts w:ascii="Arial" w:eastAsia="Times New Roman" w:hAnsi="Arial" w:cs="Arial"/>
                            <w:color w:val="000000"/>
                            <w:sz w:val="18"/>
                            <w:szCs w:val="18"/>
                            <w:lang w:val="en-AU"/>
                          </w:rPr>
                        </w:pPr>
                        <w:r w:rsidRPr="00F060B6">
                          <w:rPr>
                            <w:rFonts w:ascii="Arial" w:eastAsia="Times New Roman" w:hAnsi="Arial" w:cs="Arial"/>
                            <w:color w:val="000000"/>
                            <w:sz w:val="18"/>
                            <w:szCs w:val="18"/>
                            <w:lang w:val="en-AU"/>
                          </w:rPr>
                          <w:pict>
                            <v:rect id="_x0000_i22548" style="width:415pt;height:2pt" o:hralign="center" o:hrstd="t" o:hr="t" fillcolor="#aaa" stroked="f"/>
                          </w:pict>
                        </w:r>
                      </w:p>
                      <w:p w:rsidR="00F060B6" w:rsidRPr="00F060B6" w:rsidRDefault="00F060B6" w:rsidP="00F060B6">
                        <w:pPr>
                          <w:spacing w:before="100" w:beforeAutospacing="1" w:after="100" w:afterAutospacing="1"/>
                          <w:rPr>
                            <w:rFonts w:ascii="Times" w:hAnsi="Times" w:cs="Times New Roman"/>
                            <w:sz w:val="20"/>
                            <w:szCs w:val="20"/>
                            <w:lang w:val="en-AU"/>
                          </w:rPr>
                        </w:pPr>
                        <w:bookmarkStart w:id="31" w:name="023"/>
                        <w:bookmarkEnd w:id="31"/>
                        <w:r w:rsidRPr="00F060B6">
                          <w:rPr>
                            <w:rFonts w:ascii="Arial" w:hAnsi="Arial" w:cs="Arial"/>
                            <w:b/>
                            <w:bCs/>
                            <w:color w:val="000000"/>
                            <w:sz w:val="18"/>
                            <w:szCs w:val="18"/>
                            <w:lang w:val="en-AU"/>
                          </w:rPr>
                          <w:t>2.3 Revised policy on home loan credit assistance</w:t>
                        </w:r>
                        <w:r w:rsidRPr="00F060B6">
                          <w:rPr>
                            <w:rFonts w:ascii="Arial" w:hAnsi="Arial" w:cs="Arial"/>
                            <w:color w:val="000000"/>
                            <w:sz w:val="18"/>
                            <w:szCs w:val="18"/>
                            <w:lang w:val="en-AU"/>
                          </w:rPr>
                          <w:br/>
                          <w:t> </w:t>
                        </w:r>
                        <w:r w:rsidRPr="00F060B6">
                          <w:rPr>
                            <w:rFonts w:ascii="Arial" w:hAnsi="Arial" w:cs="Arial"/>
                            <w:color w:val="000000"/>
                            <w:sz w:val="18"/>
                            <w:szCs w:val="18"/>
                            <w:lang w:val="en-AU"/>
                          </w:rPr>
                          <w:br/>
                          <w:t>On 22 December 2011, ASIC released a revised version of Regulatory Guide 206 'Credit licensing: Competence and training', with a modified policy on organisational competence and representative training for credit licensees that provide home loans.</w:t>
                        </w:r>
                        <w:r w:rsidRPr="00F060B6">
                          <w:rPr>
                            <w:rFonts w:ascii="Arial" w:hAnsi="Arial" w:cs="Arial"/>
                            <w:color w:val="000000"/>
                            <w:sz w:val="18"/>
                            <w:szCs w:val="18"/>
                            <w:lang w:val="en-AU"/>
                          </w:rPr>
                          <w:br/>
                        </w:r>
                        <w:r w:rsidRPr="00F060B6">
                          <w:rPr>
                            <w:rFonts w:ascii="Arial" w:hAnsi="Arial" w:cs="Arial"/>
                            <w:color w:val="000000"/>
                            <w:sz w:val="18"/>
                            <w:szCs w:val="18"/>
                            <w:lang w:val="en-AU"/>
                          </w:rPr>
                          <w:br/>
                          <w:t>The revised policy gives additional flexibility for credit licensees that provide home loans and responds to feedback received on Consultation Paper 165 'Credit assistance for home loans: Competence and training requirements', released earlier in 2011.</w:t>
                        </w:r>
                        <w:r w:rsidRPr="00F060B6">
                          <w:rPr>
                            <w:rFonts w:ascii="Arial" w:hAnsi="Arial" w:cs="Arial"/>
                            <w:color w:val="000000"/>
                            <w:sz w:val="18"/>
                            <w:szCs w:val="18"/>
                            <w:lang w:val="en-AU"/>
                          </w:rPr>
                          <w:br/>
                        </w:r>
                        <w:r w:rsidRPr="00F060B6">
                          <w:rPr>
                            <w:rFonts w:ascii="Arial" w:hAnsi="Arial" w:cs="Arial"/>
                            <w:color w:val="000000"/>
                            <w:sz w:val="18"/>
                            <w:szCs w:val="18"/>
                            <w:lang w:val="en-AU"/>
                          </w:rPr>
                          <w:br/>
                          <w:t>RG 206 sets out ASIC's minimum expectations on how credit licensees must maintain organisational competence and ensure that their representatives are adequately trained.  The main changes from ASIC's earlier policy are as follows:</w:t>
                        </w:r>
                      </w:p>
                      <w:p w:rsidR="00F060B6" w:rsidRPr="00F060B6" w:rsidRDefault="00F060B6" w:rsidP="00F060B6">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060B6">
                          <w:rPr>
                            <w:rFonts w:ascii="Arial" w:eastAsia="Times New Roman" w:hAnsi="Arial" w:cs="Arial"/>
                            <w:color w:val="000000"/>
                            <w:sz w:val="18"/>
                            <w:szCs w:val="18"/>
                            <w:lang w:val="en-AU"/>
                          </w:rPr>
                          <w:t xml:space="preserve">Responsible managers of credit providers providing home loans will no longer need to complete a Certificate IV in Finance and Mortgage Broking, but will instead be able to hold any relevant credit industry qualification to at least the Certificate IV level, or another general relevant higher level qualification (e.g. a diploma or university degree). This is the general approach ASIC has taken in relation to responsible managers of other credit licensees. </w:t>
                        </w:r>
                      </w:p>
                      <w:p w:rsidR="00F060B6" w:rsidRPr="00F060B6" w:rsidRDefault="00F060B6" w:rsidP="00F060B6">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060B6">
                          <w:rPr>
                            <w:rFonts w:ascii="Arial" w:eastAsia="Times New Roman" w:hAnsi="Arial" w:cs="Arial"/>
                            <w:color w:val="000000"/>
                            <w:sz w:val="18"/>
                            <w:szCs w:val="18"/>
                            <w:lang w:val="en-AU"/>
                          </w:rPr>
                          <w:t xml:space="preserve">ASIC will no longer prescribe a particular training course for representatives providing credit assistance in relation to home loans offered by their own licensee. Instead, ASIC has provided more principles-based guidance on the types of skills and knowledge these representatives should acquire through the training they undertake. </w:t>
                        </w:r>
                      </w:p>
                      <w:p w:rsidR="00F060B6" w:rsidRPr="00F060B6" w:rsidRDefault="00F060B6" w:rsidP="00F060B6">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060B6">
                          <w:rPr>
                            <w:rFonts w:ascii="Arial" w:eastAsia="Times New Roman" w:hAnsi="Arial" w:cs="Arial"/>
                            <w:color w:val="000000"/>
                            <w:sz w:val="18"/>
                            <w:szCs w:val="18"/>
                            <w:lang w:val="en-AU"/>
                          </w:rPr>
                          <w:t>In relation to ongoing training requirements, ASIC will also give these representatives the option of a regular 'knowledge update review' - a test administered by a registered training organisation via a secure facility, assessing the representative's knowledge of key regulatory and market developments, as relevant to their role and industry sector - as part of meeting their continuing professional development obligations.</w:t>
                        </w:r>
                      </w:p>
                      <w:p w:rsidR="00F060B6" w:rsidRPr="00F060B6" w:rsidRDefault="00F060B6" w:rsidP="00F060B6">
                        <w:pPr>
                          <w:spacing w:before="100" w:beforeAutospacing="1" w:after="100" w:afterAutospacing="1"/>
                          <w:rPr>
                            <w:rFonts w:ascii="Times" w:hAnsi="Times" w:cs="Times New Roman"/>
                            <w:sz w:val="20"/>
                            <w:szCs w:val="20"/>
                            <w:lang w:val="en-AU"/>
                          </w:rPr>
                        </w:pPr>
                        <w:r w:rsidRPr="00F060B6">
                          <w:rPr>
                            <w:rFonts w:ascii="Arial" w:hAnsi="Arial" w:cs="Arial"/>
                            <w:color w:val="000000"/>
                            <w:sz w:val="18"/>
                            <w:szCs w:val="18"/>
                            <w:lang w:val="en-AU"/>
                          </w:rPr>
                          <w:t xml:space="preserve">ASIC states that the revised policy seeks to minimise licensees' compliance burden, while requiring a high standard of training for those who play a significant role in decisions about home loans.  </w:t>
                        </w:r>
                      </w:p>
                      <w:p w:rsidR="00F060B6" w:rsidRPr="00F060B6" w:rsidRDefault="00F060B6" w:rsidP="00F060B6">
                        <w:pPr>
                          <w:spacing w:before="100" w:beforeAutospacing="1" w:after="100" w:afterAutospacing="1"/>
                          <w:rPr>
                            <w:rFonts w:ascii="Times" w:hAnsi="Times" w:cs="Times New Roman"/>
                            <w:sz w:val="20"/>
                            <w:szCs w:val="20"/>
                            <w:lang w:val="en-AU"/>
                          </w:rPr>
                        </w:pPr>
                        <w:r w:rsidRPr="00F060B6">
                          <w:rPr>
                            <w:rFonts w:ascii="Arial" w:hAnsi="Arial" w:cs="Arial"/>
                            <w:color w:val="000000"/>
                            <w:sz w:val="18"/>
                            <w:szCs w:val="18"/>
                            <w:lang w:val="en-AU"/>
                          </w:rPr>
                          <w:t>ASIC will monitor how the credit industry complies with RG 206 over the next three years, and the broader standards of training and competence within the industry and will review its policy in light of any findings arising from that monitoring process.  If, at that stage, ASIC is not confident that these more flexible arrangements are effectively ensuring a high standard of organisational competence and representative training in the industry, ASIC may investigate whether a more prescriptive approach would be appropriate.</w:t>
                        </w:r>
                        <w:r w:rsidRPr="00F060B6">
                          <w:rPr>
                            <w:rFonts w:ascii="Arial" w:hAnsi="Arial" w:cs="Arial"/>
                            <w:color w:val="000000"/>
                            <w:sz w:val="18"/>
                            <w:szCs w:val="18"/>
                            <w:lang w:val="en-AU"/>
                          </w:rPr>
                          <w:br/>
                        </w:r>
                        <w:r w:rsidRPr="00F060B6">
                          <w:rPr>
                            <w:rFonts w:ascii="Arial" w:hAnsi="Arial" w:cs="Arial"/>
                            <w:color w:val="000000"/>
                            <w:sz w:val="18"/>
                            <w:szCs w:val="18"/>
                            <w:lang w:val="en-AU"/>
                          </w:rPr>
                          <w:br/>
                          <w:t>ASIC has not changed its policy on organisational competence and representative training for the intermediary mortgage broking sector.  ASIC did not receive any submissions to CP 165 suggesting any changes were warranted and states that it is confident that the current settings in RG 206 are right for this industry sector.</w:t>
                        </w:r>
                      </w:p>
                      <w:p w:rsidR="00F060B6" w:rsidRPr="00F060B6" w:rsidRDefault="00F060B6" w:rsidP="00F060B6">
                        <w:pPr>
                          <w:spacing w:before="100" w:beforeAutospacing="1" w:after="100" w:afterAutospacing="1"/>
                          <w:rPr>
                            <w:rFonts w:ascii="Times" w:hAnsi="Times" w:cs="Times New Roman"/>
                            <w:sz w:val="20"/>
                            <w:szCs w:val="20"/>
                            <w:lang w:val="en-AU"/>
                          </w:rPr>
                        </w:pPr>
                        <w:r w:rsidRPr="00F060B6">
                          <w:rPr>
                            <w:rFonts w:ascii="Arial" w:hAnsi="Arial" w:cs="Arial"/>
                            <w:color w:val="000000"/>
                            <w:sz w:val="18"/>
                            <w:szCs w:val="18"/>
                            <w:lang w:val="en-AU"/>
                          </w:rPr>
                          <w:fldChar w:fldCharType="begin"/>
                        </w:r>
                        <w:r w:rsidRPr="00F060B6">
                          <w:rPr>
                            <w:rFonts w:ascii="Arial" w:hAnsi="Arial" w:cs="Arial"/>
                            <w:color w:val="000000"/>
                            <w:sz w:val="18"/>
                            <w:szCs w:val="18"/>
                            <w:lang w:val="en-AU"/>
                          </w:rPr>
                          <w:instrText xml:space="preserve"> HYPERLINK "http://www.asic.gov.au/asic/asic.nsf/byheadline/Regulatory+guides?openDocument" \l "rg206" \t "_new" </w:instrText>
                        </w:r>
                        <w:r w:rsidRPr="00F060B6">
                          <w:rPr>
                            <w:rFonts w:ascii="Arial" w:hAnsi="Arial" w:cs="Arial"/>
                            <w:color w:val="000000"/>
                            <w:sz w:val="18"/>
                            <w:szCs w:val="18"/>
                            <w:lang w:val="en-AU"/>
                          </w:rPr>
                        </w:r>
                        <w:r w:rsidRPr="00F060B6">
                          <w:rPr>
                            <w:rFonts w:ascii="Arial" w:hAnsi="Arial" w:cs="Arial"/>
                            <w:color w:val="000000"/>
                            <w:sz w:val="18"/>
                            <w:szCs w:val="18"/>
                            <w:lang w:val="en-AU"/>
                          </w:rPr>
                          <w:fldChar w:fldCharType="separate"/>
                        </w:r>
                        <w:r w:rsidRPr="00F060B6">
                          <w:rPr>
                            <w:rFonts w:ascii="Arial" w:hAnsi="Arial" w:cs="Arial"/>
                            <w:color w:val="0000FF"/>
                            <w:sz w:val="18"/>
                            <w:szCs w:val="18"/>
                            <w:u w:val="single"/>
                            <w:lang w:val="en-AU"/>
                          </w:rPr>
                          <w:t>Regulatory Guide 206</w:t>
                        </w:r>
                        <w:r w:rsidRPr="00F060B6">
                          <w:rPr>
                            <w:rFonts w:ascii="Arial" w:hAnsi="Arial" w:cs="Arial"/>
                            <w:color w:val="000000"/>
                            <w:sz w:val="18"/>
                            <w:szCs w:val="18"/>
                            <w:lang w:val="en-AU"/>
                          </w:rPr>
                          <w:fldChar w:fldCharType="end"/>
                        </w:r>
                        <w:r w:rsidRPr="00F060B6">
                          <w:rPr>
                            <w:rFonts w:ascii="Arial" w:hAnsi="Arial" w:cs="Arial"/>
                            <w:color w:val="000000"/>
                            <w:sz w:val="18"/>
                            <w:szCs w:val="18"/>
                            <w:lang w:val="en-AU"/>
                          </w:rPr>
                          <w:t xml:space="preserve"> and </w:t>
                        </w:r>
                        <w:r w:rsidRPr="00F060B6">
                          <w:rPr>
                            <w:rFonts w:ascii="Arial" w:hAnsi="Arial" w:cs="Arial"/>
                            <w:color w:val="000000"/>
                            <w:sz w:val="18"/>
                            <w:szCs w:val="18"/>
                            <w:lang w:val="en-AU"/>
                          </w:rPr>
                          <w:fldChar w:fldCharType="begin"/>
                        </w:r>
                        <w:r w:rsidRPr="00F060B6">
                          <w:rPr>
                            <w:rFonts w:ascii="Arial" w:hAnsi="Arial" w:cs="Arial"/>
                            <w:color w:val="000000"/>
                            <w:sz w:val="18"/>
                            <w:szCs w:val="18"/>
                            <w:lang w:val="en-AU"/>
                          </w:rPr>
                          <w:instrText xml:space="preserve"> HYPERLINK "http://www.asic.gov.au/asic/asic.nsf/byheadline/Consultation+papers?openDocument" \l "cp165" \t "_new" </w:instrText>
                        </w:r>
                        <w:r w:rsidRPr="00F060B6">
                          <w:rPr>
                            <w:rFonts w:ascii="Arial" w:hAnsi="Arial" w:cs="Arial"/>
                            <w:color w:val="000000"/>
                            <w:sz w:val="18"/>
                            <w:szCs w:val="18"/>
                            <w:lang w:val="en-AU"/>
                          </w:rPr>
                        </w:r>
                        <w:r w:rsidRPr="00F060B6">
                          <w:rPr>
                            <w:rFonts w:ascii="Arial" w:hAnsi="Arial" w:cs="Arial"/>
                            <w:color w:val="000000"/>
                            <w:sz w:val="18"/>
                            <w:szCs w:val="18"/>
                            <w:lang w:val="en-AU"/>
                          </w:rPr>
                          <w:fldChar w:fldCharType="separate"/>
                        </w:r>
                        <w:r w:rsidRPr="00F060B6">
                          <w:rPr>
                            <w:rFonts w:ascii="Arial" w:hAnsi="Arial" w:cs="Arial"/>
                            <w:color w:val="0000FF"/>
                            <w:sz w:val="18"/>
                            <w:szCs w:val="18"/>
                            <w:u w:val="single"/>
                            <w:lang w:val="en-AU"/>
                          </w:rPr>
                          <w:t>Consultation Paper 165</w:t>
                        </w:r>
                        <w:r w:rsidRPr="00F060B6">
                          <w:rPr>
                            <w:rFonts w:ascii="Arial" w:hAnsi="Arial" w:cs="Arial"/>
                            <w:color w:val="000000"/>
                            <w:sz w:val="18"/>
                            <w:szCs w:val="18"/>
                            <w:lang w:val="en-AU"/>
                          </w:rPr>
                          <w:fldChar w:fldCharType="end"/>
                        </w:r>
                        <w:r w:rsidRPr="00F060B6">
                          <w:rPr>
                            <w:rFonts w:ascii="Arial" w:hAnsi="Arial" w:cs="Arial"/>
                            <w:color w:val="000000"/>
                            <w:sz w:val="18"/>
                            <w:szCs w:val="18"/>
                            <w:lang w:val="en-AU"/>
                          </w:rPr>
                          <w:t xml:space="preserve"> are available on the ASIC website.</w:t>
                        </w:r>
                      </w:p>
                      <w:p w:rsidR="00F060B6" w:rsidRPr="00F060B6" w:rsidRDefault="00F060B6" w:rsidP="00F060B6">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1525" name="Picture 21525" descr="etailed Contents">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25" descr="etailed Contents"/>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060B6" w:rsidRPr="00F060B6" w:rsidRDefault="00F060B6" w:rsidP="00F060B6">
                        <w:pPr>
                          <w:jc w:val="center"/>
                          <w:rPr>
                            <w:rFonts w:ascii="Arial" w:eastAsia="Times New Roman" w:hAnsi="Arial" w:cs="Arial"/>
                            <w:color w:val="000000"/>
                            <w:sz w:val="18"/>
                            <w:szCs w:val="18"/>
                            <w:lang w:val="en-AU"/>
                          </w:rPr>
                        </w:pPr>
                        <w:r w:rsidRPr="00F060B6">
                          <w:rPr>
                            <w:rFonts w:ascii="Arial" w:eastAsia="Times New Roman" w:hAnsi="Arial" w:cs="Arial"/>
                            <w:color w:val="000000"/>
                            <w:sz w:val="18"/>
                            <w:szCs w:val="18"/>
                            <w:lang w:val="en-AU"/>
                          </w:rPr>
                          <w:pict>
                            <v:rect id="_x0000_i22550" style="width:415pt;height:2pt" o:hralign="center" o:hrstd="t" o:hr="t" fillcolor="#aaa" stroked="f"/>
                          </w:pict>
                        </w:r>
                      </w:p>
                      <w:p w:rsidR="00F060B6" w:rsidRPr="00F060B6" w:rsidRDefault="00F060B6" w:rsidP="00F060B6">
                        <w:pPr>
                          <w:spacing w:before="100" w:beforeAutospacing="1" w:after="100" w:afterAutospacing="1"/>
                          <w:rPr>
                            <w:rFonts w:ascii="Times" w:hAnsi="Times" w:cs="Times New Roman"/>
                            <w:sz w:val="20"/>
                            <w:szCs w:val="20"/>
                            <w:lang w:val="en-AU"/>
                          </w:rPr>
                        </w:pPr>
                        <w:bookmarkStart w:id="32" w:name="024"/>
                        <w:bookmarkEnd w:id="32"/>
                        <w:r w:rsidRPr="00F060B6">
                          <w:rPr>
                            <w:rFonts w:ascii="Arial" w:hAnsi="Arial" w:cs="Arial"/>
                            <w:b/>
                            <w:bCs/>
                            <w:color w:val="000000"/>
                            <w:sz w:val="18"/>
                            <w:szCs w:val="18"/>
                            <w:lang w:val="en-AU"/>
                          </w:rPr>
                          <w:t>2.4 Improved financial information for investors and others</w:t>
                        </w:r>
                        <w:r w:rsidRPr="00F060B6">
                          <w:rPr>
                            <w:rFonts w:ascii="Arial" w:hAnsi="Arial" w:cs="Arial"/>
                            <w:color w:val="000000"/>
                            <w:sz w:val="18"/>
                            <w:szCs w:val="18"/>
                            <w:lang w:val="en-AU"/>
                          </w:rPr>
                          <w:br/>
                          <w:t> </w:t>
                        </w:r>
                        <w:r w:rsidRPr="00F060B6">
                          <w:rPr>
                            <w:rFonts w:ascii="Arial" w:hAnsi="Arial" w:cs="Arial"/>
                            <w:color w:val="000000"/>
                            <w:sz w:val="18"/>
                            <w:szCs w:val="18"/>
                            <w:lang w:val="en-AU"/>
                          </w:rPr>
                          <w:br/>
                          <w:t>On 21 December 2011, ASIC released the results of its reviews of financial reports for the year ended 30 June 2011 and announced its areas of focus for 31 December 2011 financial reports.</w:t>
                        </w:r>
                        <w:r w:rsidRPr="00F060B6">
                          <w:rPr>
                            <w:rFonts w:ascii="Arial" w:hAnsi="Arial" w:cs="Arial"/>
                            <w:color w:val="000000"/>
                            <w:sz w:val="18"/>
                            <w:szCs w:val="18"/>
                            <w:lang w:val="en-AU"/>
                          </w:rPr>
                          <w:br/>
                        </w:r>
                        <w:r w:rsidRPr="00F060B6">
                          <w:rPr>
                            <w:rFonts w:ascii="Arial" w:hAnsi="Arial" w:cs="Arial"/>
                            <w:color w:val="000000"/>
                            <w:sz w:val="18"/>
                            <w:szCs w:val="18"/>
                            <w:lang w:val="en-AU"/>
                          </w:rPr>
                          <w:br/>
                          <w:t xml:space="preserve">ASIC has stated that while the overall quality of financial reporting in Australia compares favourably with other major jurisdictions, it continues to find a number of cases where material adjustments are required to financial reports. </w:t>
                        </w:r>
                        <w:r w:rsidRPr="00F060B6">
                          <w:rPr>
                            <w:rFonts w:ascii="Arial" w:hAnsi="Arial" w:cs="Arial"/>
                            <w:color w:val="000000"/>
                            <w:sz w:val="18"/>
                            <w:szCs w:val="18"/>
                            <w:lang w:val="en-AU"/>
                          </w:rPr>
                          <w:br/>
                        </w:r>
                        <w:r w:rsidRPr="00F060B6">
                          <w:rPr>
                            <w:rFonts w:ascii="Arial" w:hAnsi="Arial" w:cs="Arial"/>
                            <w:color w:val="000000"/>
                            <w:sz w:val="18"/>
                            <w:szCs w:val="18"/>
                            <w:lang w:val="en-AU"/>
                          </w:rPr>
                          <w:br/>
                          <w:t xml:space="preserve">ASIC reviews a significant number of financial reports of listed and unlisted entities each year.  In the next reporting season, ASIC has confirmed that it will focus particularly on: </w:t>
                        </w:r>
                      </w:p>
                      <w:p w:rsidR="00F060B6" w:rsidRPr="00F060B6" w:rsidRDefault="00F060B6" w:rsidP="00F060B6">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060B6">
                          <w:rPr>
                            <w:rFonts w:ascii="Arial" w:eastAsia="Times New Roman" w:hAnsi="Arial" w:cs="Arial"/>
                            <w:color w:val="000000"/>
                            <w:sz w:val="18"/>
                            <w:szCs w:val="18"/>
                            <w:lang w:val="en-AU"/>
                          </w:rPr>
                          <w:t>asset values and going concern assessments, including adequate disclosure of material assumptions;  </w:t>
                        </w:r>
                      </w:p>
                      <w:p w:rsidR="00F060B6" w:rsidRPr="00F060B6" w:rsidRDefault="00F060B6" w:rsidP="00F060B6">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060B6">
                          <w:rPr>
                            <w:rFonts w:ascii="Arial" w:eastAsia="Times New Roman" w:hAnsi="Arial" w:cs="Arial"/>
                            <w:color w:val="000000"/>
                            <w:sz w:val="18"/>
                            <w:szCs w:val="18"/>
                            <w:lang w:val="en-AU"/>
                          </w:rPr>
                          <w:t xml:space="preserve">consolidation decisions and off balance sheet arrangements; and </w:t>
                        </w:r>
                      </w:p>
                      <w:p w:rsidR="00F060B6" w:rsidRPr="00F060B6" w:rsidRDefault="00F060B6" w:rsidP="00F060B6">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060B6">
                          <w:rPr>
                            <w:rFonts w:ascii="Arial" w:eastAsia="Times New Roman" w:hAnsi="Arial" w:cs="Arial"/>
                            <w:color w:val="000000"/>
                            <w:sz w:val="18"/>
                            <w:szCs w:val="18"/>
                            <w:lang w:val="en-AU"/>
                          </w:rPr>
                          <w:t>proper disclosure of segment information in a manner that enables useful assessment of the separate businesses.</w:t>
                        </w:r>
                      </w:p>
                      <w:p w:rsidR="00F060B6" w:rsidRPr="00F060B6" w:rsidRDefault="00F060B6" w:rsidP="00F060B6">
                        <w:pPr>
                          <w:spacing w:before="100" w:beforeAutospacing="1" w:after="100" w:afterAutospacing="1"/>
                          <w:rPr>
                            <w:rFonts w:ascii="Times" w:hAnsi="Times" w:cs="Times New Roman"/>
                            <w:sz w:val="20"/>
                            <w:szCs w:val="20"/>
                            <w:lang w:val="en-AU"/>
                          </w:rPr>
                        </w:pPr>
                        <w:r w:rsidRPr="00F060B6">
                          <w:rPr>
                            <w:rFonts w:ascii="Arial" w:hAnsi="Arial" w:cs="Arial"/>
                            <w:color w:val="000000"/>
                            <w:sz w:val="18"/>
                            <w:szCs w:val="18"/>
                            <w:lang w:val="en-AU"/>
                          </w:rPr>
                          <w:t>ASIC recently issued its Regulatory Guide 230 'Disclosing non-IFRS financial information' following extensive consultation. Over the next few months, ASIC will be monitoring both the financial reports and market releases about those reports to ensure proper balanced use of non-IFRS information in the market.</w:t>
                        </w:r>
                        <w:r w:rsidRPr="00F060B6">
                          <w:rPr>
                            <w:rFonts w:ascii="Arial" w:hAnsi="Arial" w:cs="Arial"/>
                            <w:color w:val="000000"/>
                            <w:sz w:val="18"/>
                            <w:szCs w:val="18"/>
                            <w:lang w:val="en-AU"/>
                          </w:rPr>
                          <w:br/>
                        </w:r>
                        <w:r w:rsidRPr="00F060B6">
                          <w:rPr>
                            <w:rFonts w:ascii="Arial" w:hAnsi="Arial" w:cs="Arial"/>
                            <w:color w:val="000000"/>
                            <w:sz w:val="18"/>
                            <w:szCs w:val="18"/>
                            <w:lang w:val="en-AU"/>
                          </w:rPr>
                          <w:br/>
                          <w:t xml:space="preserve">More information about the findings of ASIC's review of the financial reports for the year ended 30 June 2011 and focuses for the 31 December 2011 reports are available on the </w:t>
                        </w:r>
                        <w:r w:rsidRPr="00F060B6">
                          <w:rPr>
                            <w:rFonts w:ascii="Arial" w:hAnsi="Arial" w:cs="Arial"/>
                            <w:color w:val="000000"/>
                            <w:sz w:val="18"/>
                            <w:szCs w:val="18"/>
                            <w:lang w:val="en-AU"/>
                          </w:rPr>
                          <w:fldChar w:fldCharType="begin"/>
                        </w:r>
                        <w:r w:rsidRPr="00F060B6">
                          <w:rPr>
                            <w:rFonts w:ascii="Arial" w:hAnsi="Arial" w:cs="Arial"/>
                            <w:color w:val="000000"/>
                            <w:sz w:val="18"/>
                            <w:szCs w:val="18"/>
                            <w:lang w:val="en-AU"/>
                          </w:rPr>
                          <w:instrText xml:space="preserve"> HYPERLINK "http://www.asic.gov.au/asic/asic.nsf/byheadline/11-312MR+Improved+financial+information+for+investors+and+others?openDocument" \t "_new" </w:instrText>
                        </w:r>
                        <w:r w:rsidRPr="00F060B6">
                          <w:rPr>
                            <w:rFonts w:ascii="Arial" w:hAnsi="Arial" w:cs="Arial"/>
                            <w:color w:val="000000"/>
                            <w:sz w:val="18"/>
                            <w:szCs w:val="18"/>
                            <w:lang w:val="en-AU"/>
                          </w:rPr>
                        </w:r>
                        <w:r w:rsidRPr="00F060B6">
                          <w:rPr>
                            <w:rFonts w:ascii="Arial" w:hAnsi="Arial" w:cs="Arial"/>
                            <w:color w:val="000000"/>
                            <w:sz w:val="18"/>
                            <w:szCs w:val="18"/>
                            <w:lang w:val="en-AU"/>
                          </w:rPr>
                          <w:fldChar w:fldCharType="separate"/>
                        </w:r>
                        <w:r w:rsidRPr="00F060B6">
                          <w:rPr>
                            <w:rFonts w:ascii="Arial" w:hAnsi="Arial" w:cs="Arial"/>
                            <w:color w:val="0000FF"/>
                            <w:sz w:val="18"/>
                            <w:szCs w:val="18"/>
                            <w:u w:val="single"/>
                            <w:lang w:val="en-AU"/>
                          </w:rPr>
                          <w:t>ASIC website</w:t>
                        </w:r>
                        <w:r w:rsidRPr="00F060B6">
                          <w:rPr>
                            <w:rFonts w:ascii="Arial" w:hAnsi="Arial" w:cs="Arial"/>
                            <w:color w:val="000000"/>
                            <w:sz w:val="18"/>
                            <w:szCs w:val="18"/>
                            <w:lang w:val="en-AU"/>
                          </w:rPr>
                          <w:fldChar w:fldCharType="end"/>
                        </w:r>
                        <w:r w:rsidRPr="00F060B6">
                          <w:rPr>
                            <w:rFonts w:ascii="Arial" w:hAnsi="Arial" w:cs="Arial"/>
                            <w:color w:val="000000"/>
                            <w:sz w:val="18"/>
                            <w:szCs w:val="18"/>
                            <w:lang w:val="en-AU"/>
                          </w:rPr>
                          <w:t xml:space="preserve">.   </w:t>
                        </w:r>
                        <w:r w:rsidRPr="00F060B6">
                          <w:rPr>
                            <w:rFonts w:ascii="Arial" w:hAnsi="Arial" w:cs="Arial"/>
                            <w:color w:val="000000"/>
                            <w:sz w:val="18"/>
                            <w:szCs w:val="18"/>
                            <w:lang w:val="en-AU"/>
                          </w:rPr>
                          <w:br/>
                          <w:t> </w:t>
                        </w:r>
                        <w:r w:rsidRPr="00F060B6">
                          <w:rPr>
                            <w:rFonts w:ascii="Arial" w:hAnsi="Arial" w:cs="Arial"/>
                            <w:color w:val="000000"/>
                            <w:sz w:val="18"/>
                            <w:szCs w:val="18"/>
                            <w:lang w:val="en-AU"/>
                          </w:rPr>
                          <w:br/>
                          <w:t xml:space="preserve">Regulatory Guide 230 is also available on the </w:t>
                        </w:r>
                        <w:r w:rsidRPr="00F060B6">
                          <w:rPr>
                            <w:rFonts w:ascii="Arial" w:hAnsi="Arial" w:cs="Arial"/>
                            <w:color w:val="000000"/>
                            <w:sz w:val="18"/>
                            <w:szCs w:val="18"/>
                            <w:lang w:val="en-AU"/>
                          </w:rPr>
                          <w:fldChar w:fldCharType="begin"/>
                        </w:r>
                        <w:r w:rsidRPr="00F060B6">
                          <w:rPr>
                            <w:rFonts w:ascii="Arial" w:hAnsi="Arial" w:cs="Arial"/>
                            <w:color w:val="000000"/>
                            <w:sz w:val="18"/>
                            <w:szCs w:val="18"/>
                            <w:lang w:val="en-AU"/>
                          </w:rPr>
                          <w:instrText xml:space="preserve"> HYPERLINK "http://www.asic.gov.au/asic/asic.nsf/byheadline/Regulatory+guides?openDocument" \l "rg230" \t "_new" </w:instrText>
                        </w:r>
                        <w:r w:rsidRPr="00F060B6">
                          <w:rPr>
                            <w:rFonts w:ascii="Arial" w:hAnsi="Arial" w:cs="Arial"/>
                            <w:color w:val="000000"/>
                            <w:sz w:val="18"/>
                            <w:szCs w:val="18"/>
                            <w:lang w:val="en-AU"/>
                          </w:rPr>
                        </w:r>
                        <w:r w:rsidRPr="00F060B6">
                          <w:rPr>
                            <w:rFonts w:ascii="Arial" w:hAnsi="Arial" w:cs="Arial"/>
                            <w:color w:val="000000"/>
                            <w:sz w:val="18"/>
                            <w:szCs w:val="18"/>
                            <w:lang w:val="en-AU"/>
                          </w:rPr>
                          <w:fldChar w:fldCharType="separate"/>
                        </w:r>
                        <w:r w:rsidRPr="00F060B6">
                          <w:rPr>
                            <w:rFonts w:ascii="Arial" w:hAnsi="Arial" w:cs="Arial"/>
                            <w:color w:val="0000FF"/>
                            <w:sz w:val="18"/>
                            <w:szCs w:val="18"/>
                            <w:u w:val="single"/>
                            <w:lang w:val="en-AU"/>
                          </w:rPr>
                          <w:t>ASIC website</w:t>
                        </w:r>
                        <w:r w:rsidRPr="00F060B6">
                          <w:rPr>
                            <w:rFonts w:ascii="Arial" w:hAnsi="Arial" w:cs="Arial"/>
                            <w:color w:val="000000"/>
                            <w:sz w:val="18"/>
                            <w:szCs w:val="18"/>
                            <w:lang w:val="en-AU"/>
                          </w:rPr>
                          <w:fldChar w:fldCharType="end"/>
                        </w:r>
                        <w:r w:rsidRPr="00F060B6">
                          <w:rPr>
                            <w:rFonts w:ascii="Arial" w:hAnsi="Arial" w:cs="Arial"/>
                            <w:color w:val="000000"/>
                            <w:sz w:val="18"/>
                            <w:szCs w:val="18"/>
                            <w:lang w:val="en-AU"/>
                          </w:rPr>
                          <w:t xml:space="preserve">. </w:t>
                        </w:r>
                      </w:p>
                      <w:p w:rsidR="00F060B6" w:rsidRPr="00F060B6" w:rsidRDefault="00F060B6" w:rsidP="00F060B6">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1527" name="Picture 21527" descr="etailed Contents">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27" descr="etailed Contents"/>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060B6" w:rsidRPr="00F060B6" w:rsidRDefault="00F060B6" w:rsidP="00F060B6">
                        <w:pPr>
                          <w:jc w:val="center"/>
                          <w:rPr>
                            <w:rFonts w:ascii="Arial" w:eastAsia="Times New Roman" w:hAnsi="Arial" w:cs="Arial"/>
                            <w:color w:val="000000"/>
                            <w:sz w:val="18"/>
                            <w:szCs w:val="18"/>
                            <w:lang w:val="en-AU"/>
                          </w:rPr>
                        </w:pPr>
                        <w:r w:rsidRPr="00F060B6">
                          <w:rPr>
                            <w:rFonts w:ascii="Arial" w:eastAsia="Times New Roman" w:hAnsi="Arial" w:cs="Arial"/>
                            <w:color w:val="000000"/>
                            <w:sz w:val="18"/>
                            <w:szCs w:val="18"/>
                            <w:lang w:val="en-AU"/>
                          </w:rPr>
                          <w:pict>
                            <v:rect id="_x0000_i22552" style="width:415pt;height:2pt" o:hralign="center" o:hrstd="t" o:hr="t" fillcolor="#aaa" stroked="f"/>
                          </w:pict>
                        </w:r>
                      </w:p>
                      <w:p w:rsidR="00F060B6" w:rsidRPr="00F060B6" w:rsidRDefault="00F060B6" w:rsidP="00F060B6">
                        <w:pPr>
                          <w:spacing w:before="100" w:beforeAutospacing="1" w:after="100" w:afterAutospacing="1"/>
                          <w:rPr>
                            <w:rFonts w:ascii="Times" w:hAnsi="Times" w:cs="Times New Roman"/>
                            <w:sz w:val="20"/>
                            <w:szCs w:val="20"/>
                            <w:lang w:val="en-AU"/>
                          </w:rPr>
                        </w:pPr>
                        <w:bookmarkStart w:id="33" w:name="025"/>
                        <w:bookmarkEnd w:id="33"/>
                        <w:r w:rsidRPr="00F060B6">
                          <w:rPr>
                            <w:rFonts w:ascii="Arial" w:hAnsi="Arial" w:cs="Arial"/>
                            <w:b/>
                            <w:bCs/>
                            <w:color w:val="000000"/>
                            <w:sz w:val="18"/>
                            <w:szCs w:val="18"/>
                            <w:lang w:val="en-AU"/>
                          </w:rPr>
                          <w:t>2.5 New guidance for acquisitions of control approved by members</w:t>
                        </w:r>
                        <w:r w:rsidRPr="00F060B6">
                          <w:rPr>
                            <w:rFonts w:ascii="Arial" w:hAnsi="Arial" w:cs="Arial"/>
                            <w:color w:val="000000"/>
                            <w:sz w:val="18"/>
                            <w:szCs w:val="18"/>
                            <w:lang w:val="en-AU"/>
                          </w:rPr>
                          <w:br/>
                          <w:t> </w:t>
                        </w:r>
                        <w:r w:rsidRPr="00F060B6">
                          <w:rPr>
                            <w:rFonts w:ascii="Arial" w:hAnsi="Arial" w:cs="Arial"/>
                            <w:color w:val="000000"/>
                            <w:sz w:val="18"/>
                            <w:szCs w:val="18"/>
                            <w:lang w:val="en-AU"/>
                          </w:rPr>
                          <w:br/>
                          <w:t xml:space="preserve">On 21 December 2011, ASIC released updated guidance on a key part of Australia's takeover regulation.  The guidance is set out in Regulatory Guide 74: 'Acquisitions approved by members'. </w:t>
                        </w:r>
                        <w:r w:rsidRPr="00F060B6">
                          <w:rPr>
                            <w:rFonts w:ascii="Arial" w:hAnsi="Arial" w:cs="Arial"/>
                            <w:color w:val="000000"/>
                            <w:sz w:val="18"/>
                            <w:szCs w:val="18"/>
                            <w:lang w:val="en-AU"/>
                          </w:rPr>
                          <w:br/>
                        </w:r>
                        <w:r w:rsidRPr="00F060B6">
                          <w:rPr>
                            <w:rFonts w:ascii="Arial" w:hAnsi="Arial" w:cs="Arial"/>
                            <w:color w:val="000000"/>
                            <w:sz w:val="18"/>
                            <w:szCs w:val="18"/>
                            <w:lang w:val="en-AU"/>
                          </w:rPr>
                          <w:br/>
                          <w:t xml:space="preserve">The </w:t>
                        </w:r>
                        <w:r w:rsidRPr="00F060B6">
                          <w:rPr>
                            <w:rFonts w:ascii="Arial" w:hAnsi="Arial" w:cs="Arial"/>
                            <w:color w:val="000000"/>
                            <w:sz w:val="18"/>
                            <w:szCs w:val="18"/>
                            <w:lang w:val="en-AU"/>
                          </w:rPr>
                          <w:fldChar w:fldCharType="begin"/>
                        </w:r>
                        <w:r w:rsidRPr="00F060B6">
                          <w:rPr>
                            <w:rFonts w:ascii="Arial" w:hAnsi="Arial" w:cs="Arial"/>
                            <w:color w:val="000000"/>
                            <w:sz w:val="18"/>
                            <w:szCs w:val="18"/>
                            <w:lang w:val="en-AU"/>
                          </w:rPr>
                          <w:instrText xml:space="preserve"> HYPERLINK "http://my.lawlex.com.au/index.asp?pact=coredoc&amp;nav=col&amp;cid=56482" \t "Default" </w:instrText>
                        </w:r>
                        <w:r w:rsidRPr="00F060B6">
                          <w:rPr>
                            <w:rFonts w:ascii="Arial" w:hAnsi="Arial" w:cs="Arial"/>
                            <w:color w:val="000000"/>
                            <w:sz w:val="18"/>
                            <w:szCs w:val="18"/>
                            <w:lang w:val="en-AU"/>
                          </w:rPr>
                        </w:r>
                        <w:r w:rsidRPr="00F060B6">
                          <w:rPr>
                            <w:rFonts w:ascii="Arial" w:hAnsi="Arial" w:cs="Arial"/>
                            <w:color w:val="000000"/>
                            <w:sz w:val="18"/>
                            <w:szCs w:val="18"/>
                            <w:lang w:val="en-AU"/>
                          </w:rPr>
                          <w:fldChar w:fldCharType="separate"/>
                        </w:r>
                        <w:r w:rsidRPr="00F060B6">
                          <w:rPr>
                            <w:rFonts w:ascii="Arial" w:hAnsi="Arial" w:cs="Arial"/>
                            <w:color w:val="0000FF"/>
                            <w:sz w:val="18"/>
                            <w:szCs w:val="18"/>
                            <w:u w:val="single"/>
                            <w:lang w:val="en-AU"/>
                          </w:rPr>
                          <w:t>Corporations Act 2001</w:t>
                        </w:r>
                        <w:r w:rsidRPr="00F060B6">
                          <w:rPr>
                            <w:rFonts w:ascii="Arial" w:hAnsi="Arial" w:cs="Arial"/>
                            <w:color w:val="000000"/>
                            <w:sz w:val="18"/>
                            <w:szCs w:val="18"/>
                            <w:lang w:val="en-AU"/>
                          </w:rPr>
                          <w:fldChar w:fldCharType="end"/>
                        </w:r>
                        <w:r w:rsidRPr="00F060B6">
                          <w:rPr>
                            <w:rFonts w:ascii="Arial" w:hAnsi="Arial" w:cs="Arial"/>
                            <w:color w:val="000000"/>
                            <w:sz w:val="18"/>
                            <w:szCs w:val="18"/>
                            <w:lang w:val="en-AU"/>
                          </w:rPr>
                          <w:t xml:space="preserve"> prohibits a person acquiring more than 20 per cent of a company with more than 50 members, a listed company or a listed managed investment scheme, unless an exception applies.  A common exception is where members approve the acquisition, as set out in Item 7 of section 611.  ASIC's guidance emphasises that members asked to make such a decision must be fully informed about the acquisition's consequences. </w:t>
                        </w:r>
                        <w:r w:rsidRPr="00F060B6">
                          <w:rPr>
                            <w:rFonts w:ascii="Arial" w:hAnsi="Arial" w:cs="Arial"/>
                            <w:color w:val="000000"/>
                            <w:sz w:val="18"/>
                            <w:szCs w:val="18"/>
                            <w:lang w:val="en-AU"/>
                          </w:rPr>
                          <w:br/>
                        </w:r>
                        <w:r w:rsidRPr="00F060B6">
                          <w:rPr>
                            <w:rFonts w:ascii="Arial" w:hAnsi="Arial" w:cs="Arial"/>
                            <w:color w:val="000000"/>
                            <w:sz w:val="18"/>
                            <w:szCs w:val="18"/>
                            <w:lang w:val="en-AU"/>
                          </w:rPr>
                          <w:br/>
                          <w:t xml:space="preserve">The changes in RG 74 follow a consultation process (see Consultation Paper 159: 'Acquisitions approved by shareholders: update to RG 74').  As foreshadowed through consultation, the update takes into account developments in the law since RG 74 was first published, including the extension of takeovers regulation to listed managed investment schemes. </w:t>
                        </w:r>
                        <w:r w:rsidRPr="00F060B6">
                          <w:rPr>
                            <w:rFonts w:ascii="Arial" w:hAnsi="Arial" w:cs="Arial"/>
                            <w:color w:val="000000"/>
                            <w:sz w:val="18"/>
                            <w:szCs w:val="18"/>
                            <w:lang w:val="en-AU"/>
                          </w:rPr>
                          <w:br/>
                        </w:r>
                        <w:r w:rsidRPr="00F060B6">
                          <w:rPr>
                            <w:rFonts w:ascii="Arial" w:hAnsi="Arial" w:cs="Arial"/>
                            <w:color w:val="000000"/>
                            <w:sz w:val="18"/>
                            <w:szCs w:val="18"/>
                            <w:lang w:val="en-AU"/>
                          </w:rPr>
                          <w:br/>
                          <w:t xml:space="preserve">The updated guide provides entities and advisers with ASIC's views on how the Item 7 exception applies, how ASIC monitors compliance with Item 7's requirements and ASIC's policy on relief in relation to those requirements. </w:t>
                        </w:r>
                        <w:r w:rsidRPr="00F060B6">
                          <w:rPr>
                            <w:rFonts w:ascii="Arial" w:hAnsi="Arial" w:cs="Arial"/>
                            <w:color w:val="000000"/>
                            <w:sz w:val="18"/>
                            <w:szCs w:val="18"/>
                            <w:lang w:val="en-AU"/>
                          </w:rPr>
                          <w:br/>
                        </w:r>
                        <w:r w:rsidRPr="00F060B6">
                          <w:rPr>
                            <w:rFonts w:ascii="Arial" w:hAnsi="Arial" w:cs="Arial"/>
                            <w:color w:val="000000"/>
                            <w:sz w:val="18"/>
                            <w:szCs w:val="18"/>
                            <w:lang w:val="en-AU"/>
                          </w:rPr>
                          <w:br/>
                          <w:t xml:space="preserve">RG 74 indicates that acquirers need to take care in structuring transactions so that reliance on the Item 7, section 611 exception by acquirers is consistent with the policy underlying the exception.  That is, members affected by the acquisition make an informed decision.  An Item 7 transaction that is inter-conditional with another transaction having significant control implications can cause concerns in this regard. </w:t>
                        </w:r>
                        <w:r w:rsidRPr="00F060B6">
                          <w:rPr>
                            <w:rFonts w:ascii="Arial" w:hAnsi="Arial" w:cs="Arial"/>
                            <w:color w:val="000000"/>
                            <w:sz w:val="18"/>
                            <w:szCs w:val="18"/>
                            <w:lang w:val="en-AU"/>
                          </w:rPr>
                          <w:br/>
                        </w:r>
                        <w:r w:rsidRPr="00F060B6">
                          <w:rPr>
                            <w:rFonts w:ascii="Arial" w:hAnsi="Arial" w:cs="Arial"/>
                            <w:color w:val="000000"/>
                            <w:sz w:val="18"/>
                            <w:szCs w:val="18"/>
                            <w:lang w:val="en-AU"/>
                          </w:rPr>
                          <w:br/>
                          <w:t>ASIC encourages entities to provide it with draft notice of meeting documents for member approvals and to raise potential structuring issues with ASIC before any transaction announcement.</w:t>
                        </w:r>
                        <w:r w:rsidRPr="00F060B6">
                          <w:rPr>
                            <w:rFonts w:ascii="Arial" w:hAnsi="Arial" w:cs="Arial"/>
                            <w:color w:val="000000"/>
                            <w:sz w:val="18"/>
                            <w:szCs w:val="18"/>
                            <w:lang w:val="en-AU"/>
                          </w:rPr>
                          <w:br/>
                          <w:t> </w:t>
                        </w:r>
                        <w:r w:rsidRPr="00F060B6">
                          <w:rPr>
                            <w:rFonts w:ascii="Arial" w:hAnsi="Arial" w:cs="Arial"/>
                            <w:color w:val="000000"/>
                            <w:sz w:val="18"/>
                            <w:szCs w:val="18"/>
                            <w:lang w:val="en-AU"/>
                          </w:rPr>
                          <w:br/>
                        </w:r>
                        <w:r w:rsidRPr="00F060B6">
                          <w:rPr>
                            <w:rFonts w:ascii="Arial" w:hAnsi="Arial" w:cs="Arial"/>
                            <w:color w:val="000000"/>
                            <w:sz w:val="18"/>
                            <w:szCs w:val="18"/>
                            <w:lang w:val="en-AU"/>
                          </w:rPr>
                          <w:fldChar w:fldCharType="begin"/>
                        </w:r>
                        <w:r w:rsidRPr="00F060B6">
                          <w:rPr>
                            <w:rFonts w:ascii="Arial" w:hAnsi="Arial" w:cs="Arial"/>
                            <w:color w:val="000000"/>
                            <w:sz w:val="18"/>
                            <w:szCs w:val="18"/>
                            <w:lang w:val="en-AU"/>
                          </w:rPr>
                          <w:instrText xml:space="preserve"> HYPERLINK "http://www.asic.gov.au/asic/asic.nsf/byheadline/Regulatory+guides?openDocument" \l "rg74" \t "_new" </w:instrText>
                        </w:r>
                        <w:r w:rsidRPr="00F060B6">
                          <w:rPr>
                            <w:rFonts w:ascii="Arial" w:hAnsi="Arial" w:cs="Arial"/>
                            <w:color w:val="000000"/>
                            <w:sz w:val="18"/>
                            <w:szCs w:val="18"/>
                            <w:lang w:val="en-AU"/>
                          </w:rPr>
                        </w:r>
                        <w:r w:rsidRPr="00F060B6">
                          <w:rPr>
                            <w:rFonts w:ascii="Arial" w:hAnsi="Arial" w:cs="Arial"/>
                            <w:color w:val="000000"/>
                            <w:sz w:val="18"/>
                            <w:szCs w:val="18"/>
                            <w:lang w:val="en-AU"/>
                          </w:rPr>
                          <w:fldChar w:fldCharType="separate"/>
                        </w:r>
                        <w:r w:rsidRPr="00F060B6">
                          <w:rPr>
                            <w:rFonts w:ascii="Arial" w:hAnsi="Arial" w:cs="Arial"/>
                            <w:color w:val="0000FF"/>
                            <w:sz w:val="18"/>
                            <w:szCs w:val="18"/>
                            <w:u w:val="single"/>
                            <w:lang w:val="en-AU"/>
                          </w:rPr>
                          <w:t>Regulatory Guide 74</w:t>
                        </w:r>
                        <w:r w:rsidRPr="00F060B6">
                          <w:rPr>
                            <w:rFonts w:ascii="Arial" w:hAnsi="Arial" w:cs="Arial"/>
                            <w:color w:val="000000"/>
                            <w:sz w:val="18"/>
                            <w:szCs w:val="18"/>
                            <w:lang w:val="en-AU"/>
                          </w:rPr>
                          <w:fldChar w:fldCharType="end"/>
                        </w:r>
                        <w:r w:rsidRPr="00F060B6">
                          <w:rPr>
                            <w:rFonts w:ascii="Arial" w:hAnsi="Arial" w:cs="Arial"/>
                            <w:color w:val="000000"/>
                            <w:sz w:val="18"/>
                            <w:szCs w:val="18"/>
                            <w:lang w:val="en-AU"/>
                          </w:rPr>
                          <w:t xml:space="preserve"> and </w:t>
                        </w:r>
                        <w:r w:rsidRPr="00F060B6">
                          <w:rPr>
                            <w:rFonts w:ascii="Arial" w:hAnsi="Arial" w:cs="Arial"/>
                            <w:color w:val="000000"/>
                            <w:sz w:val="18"/>
                            <w:szCs w:val="18"/>
                            <w:lang w:val="en-AU"/>
                          </w:rPr>
                          <w:fldChar w:fldCharType="begin"/>
                        </w:r>
                        <w:r w:rsidRPr="00F060B6">
                          <w:rPr>
                            <w:rFonts w:ascii="Arial" w:hAnsi="Arial" w:cs="Arial"/>
                            <w:color w:val="000000"/>
                            <w:sz w:val="18"/>
                            <w:szCs w:val="18"/>
                            <w:lang w:val="en-AU"/>
                          </w:rPr>
                          <w:instrText xml:space="preserve"> HYPERLINK "http://www.asic.gov.au/asic/asic.nsf/byheadline/Consultation+papers?openDocument" \l "cp159" \t "_new" </w:instrText>
                        </w:r>
                        <w:r w:rsidRPr="00F060B6">
                          <w:rPr>
                            <w:rFonts w:ascii="Arial" w:hAnsi="Arial" w:cs="Arial"/>
                            <w:color w:val="000000"/>
                            <w:sz w:val="18"/>
                            <w:szCs w:val="18"/>
                            <w:lang w:val="en-AU"/>
                          </w:rPr>
                        </w:r>
                        <w:r w:rsidRPr="00F060B6">
                          <w:rPr>
                            <w:rFonts w:ascii="Arial" w:hAnsi="Arial" w:cs="Arial"/>
                            <w:color w:val="000000"/>
                            <w:sz w:val="18"/>
                            <w:szCs w:val="18"/>
                            <w:lang w:val="en-AU"/>
                          </w:rPr>
                          <w:fldChar w:fldCharType="separate"/>
                        </w:r>
                        <w:r w:rsidRPr="00F060B6">
                          <w:rPr>
                            <w:rFonts w:ascii="Arial" w:hAnsi="Arial" w:cs="Arial"/>
                            <w:color w:val="0000FF"/>
                            <w:sz w:val="18"/>
                            <w:szCs w:val="18"/>
                            <w:u w:val="single"/>
                            <w:lang w:val="en-AU"/>
                          </w:rPr>
                          <w:t>Consultation Paper 159</w:t>
                        </w:r>
                        <w:r w:rsidRPr="00F060B6">
                          <w:rPr>
                            <w:rFonts w:ascii="Arial" w:hAnsi="Arial" w:cs="Arial"/>
                            <w:color w:val="000000"/>
                            <w:sz w:val="18"/>
                            <w:szCs w:val="18"/>
                            <w:lang w:val="en-AU"/>
                          </w:rPr>
                          <w:fldChar w:fldCharType="end"/>
                        </w:r>
                        <w:r w:rsidRPr="00F060B6">
                          <w:rPr>
                            <w:rFonts w:ascii="Arial" w:hAnsi="Arial" w:cs="Arial"/>
                            <w:color w:val="000000"/>
                            <w:sz w:val="18"/>
                            <w:szCs w:val="18"/>
                            <w:lang w:val="en-AU"/>
                          </w:rPr>
                          <w:t xml:space="preserve"> are available on the ASIC website.</w:t>
                        </w:r>
                      </w:p>
                      <w:p w:rsidR="00F060B6" w:rsidRPr="00F060B6" w:rsidRDefault="00F060B6" w:rsidP="00F060B6">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1529" name="Picture 21529" descr="etailed Contents">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29" descr="etailed Contents"/>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F060B6" w:rsidRPr="00F060B6" w:rsidRDefault="00F060B6" w:rsidP="00F060B6">
                  <w:pPr>
                    <w:rPr>
                      <w:rFonts w:ascii="Times" w:eastAsia="Times New Roman" w:hAnsi="Times" w:cs="Times New Roman"/>
                      <w:sz w:val="20"/>
                      <w:szCs w:val="20"/>
                      <w:lang w:val="en-AU"/>
                    </w:rPr>
                  </w:pPr>
                </w:p>
              </w:tc>
            </w:tr>
          </w:tbl>
          <w:p w:rsidR="00F060B6" w:rsidRPr="00F060B6" w:rsidRDefault="00F060B6" w:rsidP="00F060B6">
            <w:pPr>
              <w:spacing w:before="100" w:beforeAutospacing="1" w:after="100" w:afterAutospacing="1"/>
              <w:rPr>
                <w:rFonts w:ascii="Times" w:hAnsi="Times" w:cs="Times New Roman"/>
                <w:sz w:val="20"/>
                <w:szCs w:val="20"/>
                <w:lang w:val="en-AU"/>
              </w:rPr>
            </w:pPr>
            <w:r w:rsidRPr="00F060B6">
              <w:rPr>
                <w:rFonts w:ascii="Arial" w:eastAsia="Times New Roman" w:hAnsi="Arial" w:cs="Arial"/>
                <w:color w:val="000000"/>
                <w:sz w:val="18"/>
                <w:szCs w:val="18"/>
                <w:lang w:val="en-AU"/>
              </w:rPr>
              <w:t> </w:t>
            </w:r>
          </w:p>
          <w:tbl>
            <w:tblPr>
              <w:tblW w:w="5000" w:type="pct"/>
              <w:tblCellSpacing w:w="0" w:type="dxa"/>
              <w:tblCellMar>
                <w:left w:w="0" w:type="dxa"/>
                <w:right w:w="0" w:type="dxa"/>
              </w:tblCellMar>
              <w:tblLook w:val="04A0" w:firstRow="1" w:lastRow="0" w:firstColumn="1" w:lastColumn="0" w:noHBand="0" w:noVBand="1"/>
            </w:tblPr>
            <w:tblGrid>
              <w:gridCol w:w="7208"/>
            </w:tblGrid>
            <w:tr w:rsidR="00F060B6" w:rsidRPr="00F060B6">
              <w:trPr>
                <w:trHeight w:val="420"/>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E4E5E5"/>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6258"/>
                    <w:gridCol w:w="450"/>
                    <w:gridCol w:w="470"/>
                  </w:tblGrid>
                  <w:tr w:rsidR="00F060B6" w:rsidRPr="00F060B6">
                    <w:trPr>
                      <w:tblCellSpacing w:w="0" w:type="dxa"/>
                    </w:trPr>
                    <w:tc>
                      <w:tcPr>
                        <w:tcW w:w="0" w:type="auto"/>
                        <w:vAlign w:val="center"/>
                        <w:hideMark/>
                      </w:tcPr>
                      <w:p w:rsidR="00F060B6" w:rsidRPr="00F060B6" w:rsidRDefault="00F060B6" w:rsidP="00F060B6">
                        <w:pPr>
                          <w:spacing w:before="100" w:beforeAutospacing="1" w:after="100" w:afterAutospacing="1"/>
                          <w:rPr>
                            <w:rFonts w:ascii="Times" w:hAnsi="Times" w:cs="Times New Roman"/>
                            <w:sz w:val="20"/>
                            <w:szCs w:val="20"/>
                            <w:lang w:val="en-AU"/>
                          </w:rPr>
                        </w:pPr>
                        <w:bookmarkStart w:id="34" w:name="3"/>
                        <w:bookmarkEnd w:id="34"/>
                        <w:r w:rsidRPr="00F060B6">
                          <w:rPr>
                            <w:rFonts w:ascii="Arial" w:eastAsia="Times New Roman" w:hAnsi="Arial" w:cs="Arial"/>
                            <w:b/>
                            <w:bCs/>
                            <w:color w:val="000000"/>
                            <w:sz w:val="18"/>
                            <w:szCs w:val="18"/>
                            <w:lang w:val="en-AU"/>
                          </w:rPr>
                          <w:t>3. Recent ASX Developments</w:t>
                        </w:r>
                      </w:p>
                    </w:tc>
                    <w:tc>
                      <w:tcPr>
                        <w:tcW w:w="450" w:type="dxa"/>
                        <w:vAlign w:val="center"/>
                        <w:hideMark/>
                      </w:tcPr>
                      <w:p w:rsidR="00F060B6" w:rsidRPr="00F060B6" w:rsidRDefault="00F060B6" w:rsidP="00F060B6">
                        <w:pPr>
                          <w:rPr>
                            <w:rFonts w:ascii="Times" w:eastAsia="Times New Roman" w:hAnsi="Times" w:cs="Times New Roman"/>
                            <w:sz w:val="20"/>
                            <w:szCs w:val="20"/>
                            <w:lang w:val="en-AU"/>
                          </w:rPr>
                        </w:pPr>
                      </w:p>
                    </w:tc>
                    <w:tc>
                      <w:tcPr>
                        <w:tcW w:w="180" w:type="dxa"/>
                        <w:tcBorders>
                          <w:top w:val="nil"/>
                          <w:left w:val="single" w:sz="6" w:space="0" w:color="4D4F63"/>
                          <w:bottom w:val="nil"/>
                          <w:right w:val="nil"/>
                        </w:tcBorders>
                        <w:vAlign w:val="center"/>
                        <w:hideMark/>
                      </w:tcPr>
                      <w:p w:rsidR="00F060B6" w:rsidRPr="00F060B6" w:rsidRDefault="00F060B6" w:rsidP="00F060B6">
                        <w:pPr>
                          <w:spacing w:before="100" w:beforeAutospacing="1" w:after="100" w:afterAutospacing="1"/>
                          <w:rPr>
                            <w:rFonts w:ascii="Times" w:hAnsi="Times" w:cs="Times New Roman"/>
                            <w:sz w:val="20"/>
                            <w:szCs w:val="20"/>
                            <w:lang w:val="en-AU"/>
                          </w:rPr>
                        </w:pPr>
                        <w:r>
                          <w:rPr>
                            <w:rFonts w:ascii="Arial" w:eastAsia="Times New Roman" w:hAnsi="Arial" w:cs="Arial"/>
                            <w:noProof/>
                            <w:color w:val="0000FF"/>
                            <w:sz w:val="18"/>
                            <w:szCs w:val="18"/>
                          </w:rPr>
                          <w:drawing>
                            <wp:inline distT="0" distB="0" distL="0" distR="0">
                              <wp:extent cx="136525" cy="153670"/>
                              <wp:effectExtent l="0" t="0" r="0" b="0"/>
                              <wp:docPr id="21530" name="Picture 21530" descr="ext Section">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30" descr="ext Section"/>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F060B6" w:rsidRPr="00F060B6" w:rsidRDefault="00F060B6" w:rsidP="00F060B6">
                  <w:pPr>
                    <w:rPr>
                      <w:rFonts w:ascii="Times" w:eastAsia="Times New Roman" w:hAnsi="Times" w:cs="Times New Roman"/>
                      <w:sz w:val="20"/>
                      <w:szCs w:val="20"/>
                      <w:lang w:val="en-AU"/>
                    </w:rPr>
                  </w:pPr>
                </w:p>
              </w:tc>
            </w:tr>
            <w:tr w:rsidR="00F060B6" w:rsidRPr="00F060B6">
              <w:trPr>
                <w:tblCellSpacing w:w="0" w:type="dxa"/>
              </w:trPr>
              <w:tc>
                <w:tcPr>
                  <w:tcW w:w="0" w:type="auto"/>
                  <w:vAlign w:val="center"/>
                  <w:hideMark/>
                </w:tcPr>
                <w:p w:rsidR="00F060B6" w:rsidRPr="00F060B6" w:rsidRDefault="00F060B6" w:rsidP="00F060B6">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17145"/>
                        <wp:effectExtent l="0" t="0" r="0" b="0"/>
                        <wp:docPr id="21531" name="Picture 21531"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31"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17145"/>
                                </a:xfrm>
                                <a:prstGeom prst="rect">
                                  <a:avLst/>
                                </a:prstGeom>
                                <a:noFill/>
                                <a:ln>
                                  <a:noFill/>
                                </a:ln>
                              </pic:spPr>
                            </pic:pic>
                          </a:graphicData>
                        </a:graphic>
                      </wp:inline>
                    </w:drawing>
                  </w:r>
                </w:p>
              </w:tc>
            </w:tr>
            <w:tr w:rsidR="00F060B6" w:rsidRPr="00F060B6">
              <w:trPr>
                <w:tblCellSpacing w:w="0" w:type="dxa"/>
              </w:trPr>
              <w:tc>
                <w:tcPr>
                  <w:tcW w:w="0" w:type="auto"/>
                  <w:tcBorders>
                    <w:top w:val="single" w:sz="6" w:space="0" w:color="4D4F63"/>
                    <w:left w:val="single" w:sz="6" w:space="0" w:color="4D4F63"/>
                    <w:bottom w:val="single" w:sz="6" w:space="0" w:color="4D4F63"/>
                    <w:right w:val="single" w:sz="6" w:space="0" w:color="4D4F63"/>
                  </w:tcBorders>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7178"/>
                  </w:tblGrid>
                  <w:tr w:rsidR="00F060B6" w:rsidRPr="00F060B6">
                    <w:trPr>
                      <w:tblCellSpacing w:w="0" w:type="dxa"/>
                    </w:trPr>
                    <w:tc>
                      <w:tcPr>
                        <w:tcW w:w="0" w:type="auto"/>
                        <w:hideMark/>
                      </w:tcPr>
                      <w:p w:rsidR="00F060B6" w:rsidRPr="00F060B6" w:rsidRDefault="00F060B6" w:rsidP="00F060B6">
                        <w:pPr>
                          <w:spacing w:before="100" w:beforeAutospacing="1" w:after="100" w:afterAutospacing="1"/>
                          <w:rPr>
                            <w:rFonts w:ascii="Times" w:hAnsi="Times" w:cs="Times New Roman"/>
                            <w:sz w:val="20"/>
                            <w:szCs w:val="20"/>
                            <w:lang w:val="en-AU"/>
                          </w:rPr>
                        </w:pPr>
                        <w:bookmarkStart w:id="35" w:name="031"/>
                        <w:bookmarkEnd w:id="35"/>
                        <w:r w:rsidRPr="00F060B6">
                          <w:rPr>
                            <w:rFonts w:ascii="Arial" w:hAnsi="Arial" w:cs="Arial"/>
                            <w:b/>
                            <w:bCs/>
                            <w:color w:val="000000"/>
                            <w:sz w:val="18"/>
                            <w:szCs w:val="18"/>
                            <w:lang w:val="en-AU"/>
                          </w:rPr>
                          <w:t>3.1 ASX Listing Rules' 'good fame and character' requirement for directors of new listed entities</w:t>
                        </w:r>
                        <w:r w:rsidRPr="00F060B6">
                          <w:rPr>
                            <w:rFonts w:ascii="Arial" w:hAnsi="Arial" w:cs="Arial"/>
                            <w:color w:val="000000"/>
                            <w:sz w:val="18"/>
                            <w:szCs w:val="18"/>
                            <w:lang w:val="en-AU"/>
                          </w:rPr>
                          <w:br/>
                          <w:t> </w:t>
                        </w:r>
                        <w:r w:rsidRPr="00F060B6">
                          <w:rPr>
                            <w:rFonts w:ascii="Arial" w:hAnsi="Arial" w:cs="Arial"/>
                            <w:color w:val="000000"/>
                            <w:sz w:val="18"/>
                            <w:szCs w:val="18"/>
                            <w:lang w:val="en-AU"/>
                          </w:rPr>
                          <w:br/>
                          <w:t>On 1 January 2012, ASX amended the Listing Rules to require an applicant for ASX listing to satisfy ASX that its directors or proposed directors at the date of listing are of good fame and character.  Applicants are required to provide to ASX a criminal history check, a bankruptcy check and a statutory declaration from each director affirming that they have not been the subject of relevant disciplinary or enforcement action by an exchange or securities market regulator.</w:t>
                        </w:r>
                        <w:r w:rsidRPr="00F060B6">
                          <w:rPr>
                            <w:rFonts w:ascii="Arial" w:hAnsi="Arial" w:cs="Arial"/>
                            <w:color w:val="000000"/>
                            <w:sz w:val="18"/>
                            <w:szCs w:val="18"/>
                            <w:lang w:val="en-AU"/>
                          </w:rPr>
                          <w:br/>
                          <w:t> </w:t>
                        </w:r>
                        <w:r w:rsidRPr="00F060B6">
                          <w:rPr>
                            <w:rFonts w:ascii="Arial" w:hAnsi="Arial" w:cs="Arial"/>
                            <w:color w:val="000000"/>
                            <w:sz w:val="18"/>
                            <w:szCs w:val="18"/>
                            <w:lang w:val="en-AU"/>
                          </w:rPr>
                          <w:br/>
                          <w:t>These requirements apply to applications for new listings that are lodged on or after 1 January 2012, and to listed entities that are required on or after 1 January 2012 to re-comply with Chapter 1 and Chapter 2 of the Listing Rules under Listing Rule 11.1.3.</w:t>
                        </w:r>
                        <w:r w:rsidRPr="00F060B6">
                          <w:rPr>
                            <w:rFonts w:ascii="Arial" w:hAnsi="Arial" w:cs="Arial"/>
                            <w:color w:val="000000"/>
                            <w:sz w:val="18"/>
                            <w:szCs w:val="18"/>
                            <w:lang w:val="en-AU"/>
                          </w:rPr>
                          <w:br/>
                          <w:t> </w:t>
                        </w:r>
                        <w:r w:rsidRPr="00F060B6">
                          <w:rPr>
                            <w:rFonts w:ascii="Arial" w:hAnsi="Arial" w:cs="Arial"/>
                            <w:color w:val="000000"/>
                            <w:sz w:val="18"/>
                            <w:szCs w:val="18"/>
                            <w:lang w:val="en-AU"/>
                          </w:rPr>
                          <w:br/>
                          <w:t xml:space="preserve">The new requirements reflect ASX's desire to maintain the reputation of the ASX market and also align with the 'good fame and character' requirement that applies to the directors of participants in ASX's licensed markets and clearing and settlement facilities. </w:t>
                        </w:r>
                      </w:p>
                      <w:p w:rsidR="00F060B6" w:rsidRPr="00F060B6" w:rsidRDefault="00F060B6" w:rsidP="00F060B6">
                        <w:pPr>
                          <w:spacing w:before="100" w:beforeAutospacing="1" w:after="100" w:afterAutospacing="1"/>
                          <w:rPr>
                            <w:rFonts w:ascii="Times" w:hAnsi="Times" w:cs="Times New Roman"/>
                            <w:sz w:val="20"/>
                            <w:szCs w:val="20"/>
                            <w:lang w:val="en-AU"/>
                          </w:rPr>
                        </w:pPr>
                        <w:r w:rsidRPr="00F060B6">
                          <w:rPr>
                            <w:rFonts w:ascii="Arial" w:hAnsi="Arial" w:cs="Arial"/>
                            <w:color w:val="000000"/>
                            <w:sz w:val="18"/>
                            <w:szCs w:val="18"/>
                            <w:lang w:val="en-AU"/>
                          </w:rPr>
                          <w:t xml:space="preserve">They also dovetail with the views expressed by ASIC in </w:t>
                        </w:r>
                        <w:r w:rsidRPr="00F060B6">
                          <w:rPr>
                            <w:rFonts w:ascii="Arial" w:hAnsi="Arial" w:cs="Arial"/>
                            <w:color w:val="000000"/>
                            <w:sz w:val="18"/>
                            <w:szCs w:val="18"/>
                            <w:lang w:val="en-AU"/>
                          </w:rPr>
                          <w:fldChar w:fldCharType="begin"/>
                        </w:r>
                        <w:r w:rsidRPr="00F060B6">
                          <w:rPr>
                            <w:rFonts w:ascii="Arial" w:hAnsi="Arial" w:cs="Arial"/>
                            <w:color w:val="000000"/>
                            <w:sz w:val="18"/>
                            <w:szCs w:val="18"/>
                            <w:lang w:val="en-AU"/>
                          </w:rPr>
                          <w:instrText xml:space="preserve"> HYPERLINK "https://westpoint.asic.gov.au/asic/pdflib.nsf/LookupByFileName/rg228-published-10-November-2011-1.pdf/$file/rg228-published-10-November-2011-1.pdf" \t "_new" </w:instrText>
                        </w:r>
                        <w:r w:rsidRPr="00F060B6">
                          <w:rPr>
                            <w:rFonts w:ascii="Arial" w:hAnsi="Arial" w:cs="Arial"/>
                            <w:color w:val="000000"/>
                            <w:sz w:val="18"/>
                            <w:szCs w:val="18"/>
                            <w:lang w:val="en-AU"/>
                          </w:rPr>
                        </w:r>
                        <w:r w:rsidRPr="00F060B6">
                          <w:rPr>
                            <w:rFonts w:ascii="Arial" w:hAnsi="Arial" w:cs="Arial"/>
                            <w:color w:val="000000"/>
                            <w:sz w:val="18"/>
                            <w:szCs w:val="18"/>
                            <w:lang w:val="en-AU"/>
                          </w:rPr>
                          <w:fldChar w:fldCharType="separate"/>
                        </w:r>
                        <w:r w:rsidRPr="00F060B6">
                          <w:rPr>
                            <w:rFonts w:ascii="Arial" w:hAnsi="Arial" w:cs="Arial"/>
                            <w:color w:val="0000FF"/>
                            <w:sz w:val="18"/>
                            <w:szCs w:val="18"/>
                            <w:u w:val="single"/>
                            <w:lang w:val="en-AU"/>
                          </w:rPr>
                          <w:t>Regulatory Guide 228</w:t>
                        </w:r>
                        <w:r w:rsidRPr="00F060B6">
                          <w:rPr>
                            <w:rFonts w:ascii="Arial" w:hAnsi="Arial" w:cs="Arial"/>
                            <w:color w:val="000000"/>
                            <w:sz w:val="18"/>
                            <w:szCs w:val="18"/>
                            <w:lang w:val="en-AU"/>
                          </w:rPr>
                          <w:fldChar w:fldCharType="end"/>
                        </w:r>
                        <w:r w:rsidRPr="00F060B6">
                          <w:rPr>
                            <w:rFonts w:ascii="Arial" w:hAnsi="Arial" w:cs="Arial"/>
                            <w:color w:val="000000"/>
                            <w:sz w:val="18"/>
                            <w:szCs w:val="18"/>
                            <w:lang w:val="en-AU"/>
                          </w:rPr>
                          <w:t xml:space="preserve"> as to the sorts of information that companies which access capital markets through a prospectus should be disclosing about their directors.</w:t>
                        </w:r>
                        <w:r w:rsidRPr="00F060B6">
                          <w:rPr>
                            <w:rFonts w:ascii="Arial" w:hAnsi="Arial" w:cs="Arial"/>
                            <w:color w:val="000000"/>
                            <w:sz w:val="18"/>
                            <w:szCs w:val="18"/>
                            <w:lang w:val="en-AU"/>
                          </w:rPr>
                          <w:br/>
                          <w:t> </w:t>
                        </w:r>
                        <w:r w:rsidRPr="00F060B6">
                          <w:rPr>
                            <w:rFonts w:ascii="Arial" w:hAnsi="Arial" w:cs="Arial"/>
                            <w:color w:val="000000"/>
                            <w:sz w:val="18"/>
                            <w:szCs w:val="18"/>
                            <w:lang w:val="en-AU"/>
                          </w:rPr>
                          <w:br/>
                          <w:t xml:space="preserve">The 'good fame and character' requirements are discussed in </w:t>
                        </w:r>
                        <w:r w:rsidRPr="00F060B6">
                          <w:rPr>
                            <w:rFonts w:ascii="Arial" w:hAnsi="Arial" w:cs="Arial"/>
                            <w:color w:val="000000"/>
                            <w:sz w:val="18"/>
                            <w:szCs w:val="18"/>
                            <w:lang w:val="en-AU"/>
                          </w:rPr>
                          <w:fldChar w:fldCharType="begin"/>
                        </w:r>
                        <w:r w:rsidRPr="00F060B6">
                          <w:rPr>
                            <w:rFonts w:ascii="Arial" w:hAnsi="Arial" w:cs="Arial"/>
                            <w:color w:val="000000"/>
                            <w:sz w:val="18"/>
                            <w:szCs w:val="18"/>
                            <w:lang w:val="en-AU"/>
                          </w:rPr>
                          <w:instrText xml:space="preserve"> HYPERLINK "http://www.asx.com.au/resources/newsletters/companies_update/archive/CompaniesUpdate_20110928_0711_HTML.htm" \t "_new" </w:instrText>
                        </w:r>
                        <w:r w:rsidRPr="00F060B6">
                          <w:rPr>
                            <w:rFonts w:ascii="Arial" w:hAnsi="Arial" w:cs="Arial"/>
                            <w:color w:val="000000"/>
                            <w:sz w:val="18"/>
                            <w:szCs w:val="18"/>
                            <w:lang w:val="en-AU"/>
                          </w:rPr>
                        </w:r>
                        <w:r w:rsidRPr="00F060B6">
                          <w:rPr>
                            <w:rFonts w:ascii="Arial" w:hAnsi="Arial" w:cs="Arial"/>
                            <w:color w:val="000000"/>
                            <w:sz w:val="18"/>
                            <w:szCs w:val="18"/>
                            <w:lang w:val="en-AU"/>
                          </w:rPr>
                          <w:fldChar w:fldCharType="separate"/>
                        </w:r>
                        <w:r w:rsidRPr="00F060B6">
                          <w:rPr>
                            <w:rFonts w:ascii="Arial" w:hAnsi="Arial" w:cs="Arial"/>
                            <w:color w:val="0000FF"/>
                            <w:sz w:val="18"/>
                            <w:szCs w:val="18"/>
                            <w:u w:val="single"/>
                            <w:lang w:val="en-AU"/>
                          </w:rPr>
                          <w:t>Listed Entities Update 07/11</w:t>
                        </w:r>
                        <w:r w:rsidRPr="00F060B6">
                          <w:rPr>
                            <w:rFonts w:ascii="Arial" w:hAnsi="Arial" w:cs="Arial"/>
                            <w:color w:val="000000"/>
                            <w:sz w:val="18"/>
                            <w:szCs w:val="18"/>
                            <w:lang w:val="en-AU"/>
                          </w:rPr>
                          <w:fldChar w:fldCharType="end"/>
                        </w:r>
                        <w:r w:rsidRPr="00F060B6">
                          <w:rPr>
                            <w:rFonts w:ascii="Arial" w:hAnsi="Arial" w:cs="Arial"/>
                            <w:color w:val="000000"/>
                            <w:sz w:val="18"/>
                            <w:szCs w:val="18"/>
                            <w:lang w:val="en-AU"/>
                          </w:rPr>
                          <w:t xml:space="preserve">, issued on 28 September 2011, and </w:t>
                        </w:r>
                        <w:r w:rsidRPr="00F060B6">
                          <w:rPr>
                            <w:rFonts w:ascii="Arial" w:hAnsi="Arial" w:cs="Arial"/>
                            <w:color w:val="000000"/>
                            <w:sz w:val="18"/>
                            <w:szCs w:val="18"/>
                            <w:lang w:val="en-AU"/>
                          </w:rPr>
                          <w:fldChar w:fldCharType="begin"/>
                        </w:r>
                        <w:r w:rsidRPr="00F060B6">
                          <w:rPr>
                            <w:rFonts w:ascii="Arial" w:hAnsi="Arial" w:cs="Arial"/>
                            <w:color w:val="000000"/>
                            <w:sz w:val="18"/>
                            <w:szCs w:val="18"/>
                            <w:lang w:val="en-AU"/>
                          </w:rPr>
                          <w:instrText xml:space="preserve"> HYPERLINK "http://www.asx.com.au/resources/newsletters/companies_update/archive/CompaniesUpdate_20111123_0811_HTML.htm" \t "_new" </w:instrText>
                        </w:r>
                        <w:r w:rsidRPr="00F060B6">
                          <w:rPr>
                            <w:rFonts w:ascii="Arial" w:hAnsi="Arial" w:cs="Arial"/>
                            <w:color w:val="000000"/>
                            <w:sz w:val="18"/>
                            <w:szCs w:val="18"/>
                            <w:lang w:val="en-AU"/>
                          </w:rPr>
                        </w:r>
                        <w:r w:rsidRPr="00F060B6">
                          <w:rPr>
                            <w:rFonts w:ascii="Arial" w:hAnsi="Arial" w:cs="Arial"/>
                            <w:color w:val="000000"/>
                            <w:sz w:val="18"/>
                            <w:szCs w:val="18"/>
                            <w:lang w:val="en-AU"/>
                          </w:rPr>
                          <w:fldChar w:fldCharType="separate"/>
                        </w:r>
                        <w:r w:rsidRPr="00F060B6">
                          <w:rPr>
                            <w:rFonts w:ascii="Arial" w:hAnsi="Arial" w:cs="Arial"/>
                            <w:color w:val="0000FF"/>
                            <w:sz w:val="18"/>
                            <w:szCs w:val="18"/>
                            <w:u w:val="single"/>
                            <w:lang w:val="en-AU"/>
                          </w:rPr>
                          <w:t>Listed Entities Update 08/11</w:t>
                        </w:r>
                        <w:r w:rsidRPr="00F060B6">
                          <w:rPr>
                            <w:rFonts w:ascii="Arial" w:hAnsi="Arial" w:cs="Arial"/>
                            <w:color w:val="000000"/>
                            <w:sz w:val="18"/>
                            <w:szCs w:val="18"/>
                            <w:lang w:val="en-AU"/>
                          </w:rPr>
                          <w:fldChar w:fldCharType="end"/>
                        </w:r>
                        <w:r w:rsidRPr="00F060B6">
                          <w:rPr>
                            <w:rFonts w:ascii="Arial" w:hAnsi="Arial" w:cs="Arial"/>
                            <w:color w:val="000000"/>
                            <w:sz w:val="18"/>
                            <w:szCs w:val="18"/>
                            <w:lang w:val="en-AU"/>
                          </w:rPr>
                          <w:t>, issued on 23 November 2011.</w:t>
                        </w:r>
                        <w:r w:rsidRPr="00F060B6">
                          <w:rPr>
                            <w:rFonts w:ascii="Arial" w:hAnsi="Arial" w:cs="Arial"/>
                            <w:color w:val="000000"/>
                            <w:sz w:val="18"/>
                            <w:szCs w:val="18"/>
                            <w:lang w:val="en-AU"/>
                          </w:rPr>
                          <w:br/>
                          <w:t> </w:t>
                        </w:r>
                        <w:r w:rsidRPr="00F060B6">
                          <w:rPr>
                            <w:rFonts w:ascii="Arial" w:hAnsi="Arial" w:cs="Arial"/>
                            <w:color w:val="000000"/>
                            <w:sz w:val="18"/>
                            <w:szCs w:val="18"/>
                            <w:lang w:val="en-AU"/>
                          </w:rPr>
                          <w:br/>
                          <w:t>ASX has also updated Listing Rule Guidance Note 1 'Applying for Admission and Quotation', Guidance Note 4 'Foreign Entities' and Guidance Note 12 'Significant Changes to Activities' to reflect the new 'good fame and character' requirement.</w:t>
                        </w:r>
                      </w:p>
                      <w:p w:rsidR="00F060B6" w:rsidRPr="00F060B6" w:rsidRDefault="00F060B6" w:rsidP="00F060B6">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1532" name="Picture 21532" descr="etailed Contents">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32" descr="etailed Contents"/>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060B6" w:rsidRPr="00F060B6" w:rsidRDefault="00F060B6" w:rsidP="00F060B6">
                        <w:pPr>
                          <w:jc w:val="center"/>
                          <w:rPr>
                            <w:rFonts w:ascii="Arial" w:eastAsia="Times New Roman" w:hAnsi="Arial" w:cs="Arial"/>
                            <w:color w:val="000000"/>
                            <w:sz w:val="18"/>
                            <w:szCs w:val="18"/>
                            <w:lang w:val="en-AU"/>
                          </w:rPr>
                        </w:pPr>
                        <w:r w:rsidRPr="00F060B6">
                          <w:rPr>
                            <w:rFonts w:ascii="Arial" w:eastAsia="Times New Roman" w:hAnsi="Arial" w:cs="Arial"/>
                            <w:color w:val="000000"/>
                            <w:sz w:val="18"/>
                            <w:szCs w:val="18"/>
                            <w:lang w:val="en-AU"/>
                          </w:rPr>
                          <w:pict>
                            <v:rect id="_x0000_i22557" style="width:415pt;height:2pt" o:hralign="center" o:hrstd="t" o:hr="t" fillcolor="#aaa" stroked="f"/>
                          </w:pict>
                        </w:r>
                      </w:p>
                      <w:p w:rsidR="00F060B6" w:rsidRPr="00F060B6" w:rsidRDefault="00F060B6" w:rsidP="00F060B6">
                        <w:pPr>
                          <w:spacing w:before="100" w:beforeAutospacing="1" w:after="100" w:afterAutospacing="1"/>
                          <w:rPr>
                            <w:rFonts w:ascii="Times" w:hAnsi="Times" w:cs="Times New Roman"/>
                            <w:sz w:val="20"/>
                            <w:szCs w:val="20"/>
                            <w:lang w:val="en-AU"/>
                          </w:rPr>
                        </w:pPr>
                        <w:bookmarkStart w:id="36" w:name="032"/>
                        <w:bookmarkEnd w:id="36"/>
                        <w:r w:rsidRPr="00F060B6">
                          <w:rPr>
                            <w:rFonts w:ascii="Arial" w:hAnsi="Arial" w:cs="Arial"/>
                            <w:b/>
                            <w:bCs/>
                            <w:color w:val="000000"/>
                            <w:sz w:val="18"/>
                            <w:szCs w:val="18"/>
                            <w:lang w:val="en-AU"/>
                          </w:rPr>
                          <w:t>3.2 ASX Operating Rules and Procedure changes to broaden classes of underlying instruments permitted for AQUA Products</w:t>
                        </w:r>
                        <w:r w:rsidRPr="00F060B6">
                          <w:rPr>
                            <w:rFonts w:ascii="Arial" w:hAnsi="Arial" w:cs="Arial"/>
                            <w:color w:val="000000"/>
                            <w:sz w:val="18"/>
                            <w:szCs w:val="18"/>
                            <w:lang w:val="en-AU"/>
                          </w:rPr>
                          <w:br/>
                          <w:t> </w:t>
                        </w:r>
                        <w:r w:rsidRPr="00F060B6">
                          <w:rPr>
                            <w:rFonts w:ascii="Arial" w:hAnsi="Arial" w:cs="Arial"/>
                            <w:color w:val="000000"/>
                            <w:sz w:val="18"/>
                            <w:szCs w:val="18"/>
                            <w:lang w:val="en-AU"/>
                          </w:rPr>
                          <w:br/>
                          <w:t xml:space="preserve">On 9 January 2012, ASX amended ASX Operating Rule 7100, ASX Operating Rules Schedule 10A.3.3 and ASX Operating Rules Procedure 10A.3.3 to broaden the scope of AQUA Products facilitated along with other miscellaneous changes.  </w:t>
                        </w:r>
                        <w:r w:rsidRPr="00F060B6">
                          <w:rPr>
                            <w:rFonts w:ascii="Arial" w:hAnsi="Arial" w:cs="Arial"/>
                            <w:color w:val="000000"/>
                            <w:sz w:val="18"/>
                            <w:szCs w:val="18"/>
                            <w:lang w:val="en-AU"/>
                          </w:rPr>
                          <w:br/>
                          <w:t> </w:t>
                        </w:r>
                        <w:r w:rsidRPr="00F060B6">
                          <w:rPr>
                            <w:rFonts w:ascii="Arial" w:hAnsi="Arial" w:cs="Arial"/>
                            <w:color w:val="000000"/>
                            <w:sz w:val="18"/>
                            <w:szCs w:val="18"/>
                            <w:lang w:val="en-AU"/>
                          </w:rPr>
                          <w:br/>
                          <w:t>The amendments seek to facilitate AQUA Products over an expanded range of instruments by extending the limbs of subsection (c) of Schedule 10A.3.3 which lists acceptable classes of Underlying Instruments for AQUA Products.  This includes the facilitation of AQUA Products over certain underlying debentures or bonds or indices over such debentures or bonds.</w:t>
                        </w:r>
                        <w:r w:rsidRPr="00F060B6">
                          <w:rPr>
                            <w:rFonts w:ascii="Arial" w:hAnsi="Arial" w:cs="Arial"/>
                            <w:color w:val="000000"/>
                            <w:sz w:val="18"/>
                            <w:szCs w:val="18"/>
                            <w:lang w:val="en-AU"/>
                          </w:rPr>
                          <w:br/>
                          <w:t> </w:t>
                        </w:r>
                        <w:r w:rsidRPr="00F060B6">
                          <w:rPr>
                            <w:rFonts w:ascii="Arial" w:hAnsi="Arial" w:cs="Arial"/>
                            <w:color w:val="000000"/>
                            <w:sz w:val="18"/>
                            <w:szCs w:val="18"/>
                            <w:lang w:val="en-AU"/>
                          </w:rPr>
                          <w:br/>
                          <w:t>The amendments also clarify the operation of Schedule 10A.3.3 to the ASX Operating Rules in respect of existing classes of Underlying Instruments presently facilitated whilst also bringing into line the description of pricing transparency requirements for commodities and currencies with requirements adopted for other classes of Underlying Instruments.</w:t>
                        </w:r>
                        <w:r w:rsidRPr="00F060B6">
                          <w:rPr>
                            <w:rFonts w:ascii="Arial" w:hAnsi="Arial" w:cs="Arial"/>
                            <w:color w:val="000000"/>
                            <w:sz w:val="18"/>
                            <w:szCs w:val="18"/>
                            <w:lang w:val="en-AU"/>
                          </w:rPr>
                          <w:br/>
                          <w:t> </w:t>
                        </w:r>
                        <w:r w:rsidRPr="00F060B6">
                          <w:rPr>
                            <w:rFonts w:ascii="Arial" w:hAnsi="Arial" w:cs="Arial"/>
                            <w:color w:val="000000"/>
                            <w:sz w:val="18"/>
                            <w:szCs w:val="18"/>
                            <w:lang w:val="en-AU"/>
                          </w:rPr>
                          <w:br/>
                          <w:t>Such expansion and amendments are consistent with the core AQUA principle that all AQUA Products must have underlying assets for which there is a robust and transparent pricing mechanism.</w:t>
                        </w:r>
                        <w:r w:rsidRPr="00F060B6">
                          <w:rPr>
                            <w:rFonts w:ascii="Arial" w:hAnsi="Arial" w:cs="Arial"/>
                            <w:color w:val="000000"/>
                            <w:sz w:val="18"/>
                            <w:szCs w:val="18"/>
                            <w:lang w:val="en-AU"/>
                          </w:rPr>
                          <w:br/>
                          <w:t> </w:t>
                        </w:r>
                        <w:r w:rsidRPr="00F060B6">
                          <w:rPr>
                            <w:rFonts w:ascii="Arial" w:hAnsi="Arial" w:cs="Arial"/>
                            <w:color w:val="000000"/>
                            <w:sz w:val="18"/>
                            <w:szCs w:val="18"/>
                            <w:lang w:val="en-AU"/>
                          </w:rPr>
                          <w:br/>
                          <w:t xml:space="preserve">The Circular describing the amendments in more detail is available on </w:t>
                        </w:r>
                        <w:r w:rsidRPr="00F060B6">
                          <w:rPr>
                            <w:rFonts w:ascii="Arial" w:hAnsi="Arial" w:cs="Arial"/>
                            <w:color w:val="000000"/>
                            <w:sz w:val="18"/>
                            <w:szCs w:val="18"/>
                            <w:lang w:val="en-AU"/>
                          </w:rPr>
                          <w:fldChar w:fldCharType="begin"/>
                        </w:r>
                        <w:r w:rsidRPr="00F060B6">
                          <w:rPr>
                            <w:rFonts w:ascii="Arial" w:hAnsi="Arial" w:cs="Arial"/>
                            <w:color w:val="000000"/>
                            <w:sz w:val="18"/>
                            <w:szCs w:val="18"/>
                            <w:lang w:val="en-AU"/>
                          </w:rPr>
                          <w:instrText xml:space="preserve"> HYPERLINK "http://www.asxonline.com/intradoc-cgi/groups/participant_services/documents/communications/asx_032480.pdf" \t "_new" </w:instrText>
                        </w:r>
                        <w:r w:rsidRPr="00F060B6">
                          <w:rPr>
                            <w:rFonts w:ascii="Arial" w:hAnsi="Arial" w:cs="Arial"/>
                            <w:color w:val="000000"/>
                            <w:sz w:val="18"/>
                            <w:szCs w:val="18"/>
                            <w:lang w:val="en-AU"/>
                          </w:rPr>
                        </w:r>
                        <w:r w:rsidRPr="00F060B6">
                          <w:rPr>
                            <w:rFonts w:ascii="Arial" w:hAnsi="Arial" w:cs="Arial"/>
                            <w:color w:val="000000"/>
                            <w:sz w:val="18"/>
                            <w:szCs w:val="18"/>
                            <w:lang w:val="en-AU"/>
                          </w:rPr>
                          <w:fldChar w:fldCharType="separate"/>
                        </w:r>
                        <w:r w:rsidRPr="00F060B6">
                          <w:rPr>
                            <w:rFonts w:ascii="Arial" w:hAnsi="Arial" w:cs="Arial"/>
                            <w:color w:val="0000FF"/>
                            <w:sz w:val="18"/>
                            <w:szCs w:val="18"/>
                            <w:u w:val="single"/>
                            <w:lang w:val="en-AU"/>
                          </w:rPr>
                          <w:t>ASXOnline.com.au</w:t>
                        </w:r>
                        <w:r w:rsidRPr="00F060B6">
                          <w:rPr>
                            <w:rFonts w:ascii="Arial" w:hAnsi="Arial" w:cs="Arial"/>
                            <w:color w:val="000000"/>
                            <w:sz w:val="18"/>
                            <w:szCs w:val="18"/>
                            <w:lang w:val="en-AU"/>
                          </w:rPr>
                          <w:fldChar w:fldCharType="end"/>
                        </w:r>
                        <w:r w:rsidRPr="00F060B6">
                          <w:rPr>
                            <w:rFonts w:ascii="Arial" w:hAnsi="Arial" w:cs="Arial"/>
                            <w:color w:val="000000"/>
                            <w:sz w:val="18"/>
                            <w:szCs w:val="18"/>
                            <w:lang w:val="en-AU"/>
                          </w:rPr>
                          <w:t>.</w:t>
                        </w:r>
                      </w:p>
                      <w:p w:rsidR="00F060B6" w:rsidRPr="00F060B6" w:rsidRDefault="00F060B6" w:rsidP="00F060B6">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1534" name="Picture 21534" descr="etailed Contents">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34" descr="etailed Contents"/>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060B6" w:rsidRPr="00F060B6" w:rsidRDefault="00F060B6" w:rsidP="00F060B6">
                        <w:pPr>
                          <w:jc w:val="center"/>
                          <w:rPr>
                            <w:rFonts w:ascii="Arial" w:eastAsia="Times New Roman" w:hAnsi="Arial" w:cs="Arial"/>
                            <w:color w:val="000000"/>
                            <w:sz w:val="18"/>
                            <w:szCs w:val="18"/>
                            <w:lang w:val="en-AU"/>
                          </w:rPr>
                        </w:pPr>
                        <w:r w:rsidRPr="00F060B6">
                          <w:rPr>
                            <w:rFonts w:ascii="Arial" w:eastAsia="Times New Roman" w:hAnsi="Arial" w:cs="Arial"/>
                            <w:color w:val="000000"/>
                            <w:sz w:val="18"/>
                            <w:szCs w:val="18"/>
                            <w:lang w:val="en-AU"/>
                          </w:rPr>
                          <w:pict>
                            <v:rect id="_x0000_i22559" style="width:415pt;height:2pt" o:hralign="center" o:hrstd="t" o:hr="t" fillcolor="#aaa" stroked="f"/>
                          </w:pict>
                        </w:r>
                      </w:p>
                      <w:p w:rsidR="00F060B6" w:rsidRPr="00F060B6" w:rsidRDefault="00F060B6" w:rsidP="00F060B6">
                        <w:pPr>
                          <w:spacing w:before="100" w:beforeAutospacing="1" w:after="100" w:afterAutospacing="1"/>
                          <w:rPr>
                            <w:rFonts w:ascii="Times" w:hAnsi="Times" w:cs="Times New Roman"/>
                            <w:sz w:val="20"/>
                            <w:szCs w:val="20"/>
                            <w:lang w:val="en-AU"/>
                          </w:rPr>
                        </w:pPr>
                        <w:bookmarkStart w:id="37" w:name="033"/>
                        <w:bookmarkEnd w:id="37"/>
                        <w:r w:rsidRPr="00F060B6">
                          <w:rPr>
                            <w:rFonts w:ascii="Arial" w:hAnsi="Arial" w:cs="Arial"/>
                            <w:b/>
                            <w:bCs/>
                            <w:color w:val="000000"/>
                            <w:sz w:val="18"/>
                            <w:szCs w:val="18"/>
                            <w:lang w:val="en-AU"/>
                          </w:rPr>
                          <w:t>3.3 ASX Settlement Operating Rules introduction of 'Delivery versus Payment' settlement facilitation service</w:t>
                        </w:r>
                        <w:r w:rsidRPr="00F060B6">
                          <w:rPr>
                            <w:rFonts w:ascii="Arial" w:hAnsi="Arial" w:cs="Arial"/>
                            <w:color w:val="000000"/>
                            <w:sz w:val="18"/>
                            <w:szCs w:val="18"/>
                            <w:lang w:val="en-AU"/>
                          </w:rPr>
                          <w:br/>
                          <w:t> </w:t>
                        </w:r>
                        <w:r w:rsidRPr="00F060B6">
                          <w:rPr>
                            <w:rFonts w:ascii="Arial" w:hAnsi="Arial" w:cs="Arial"/>
                            <w:color w:val="000000"/>
                            <w:sz w:val="18"/>
                            <w:szCs w:val="18"/>
                            <w:lang w:val="en-AU"/>
                          </w:rPr>
                          <w:br/>
                          <w:t>ASX will be introducing a 'Delivery versus Payment' ('DvP') settlement facilitation service to Approved Listing Market Operators in respect of non-ASX quoted financial products.  This will enable transactions in non-ASX listed financial products to be settled on a DvP basis in batch settlement.</w:t>
                        </w:r>
                        <w:r w:rsidRPr="00F060B6">
                          <w:rPr>
                            <w:rFonts w:ascii="Arial" w:hAnsi="Arial" w:cs="Arial"/>
                            <w:color w:val="000000"/>
                            <w:sz w:val="18"/>
                            <w:szCs w:val="18"/>
                            <w:lang w:val="en-AU"/>
                          </w:rPr>
                          <w:br/>
                          <w:t> </w:t>
                        </w:r>
                        <w:r w:rsidRPr="00F060B6">
                          <w:rPr>
                            <w:rFonts w:ascii="Arial" w:hAnsi="Arial" w:cs="Arial"/>
                            <w:color w:val="000000"/>
                            <w:sz w:val="18"/>
                            <w:szCs w:val="18"/>
                            <w:lang w:val="en-AU"/>
                          </w:rPr>
                          <w:br/>
                          <w:t xml:space="preserve">The Circular describing the amendments in more detail is available on </w:t>
                        </w:r>
                        <w:r w:rsidRPr="00F060B6">
                          <w:rPr>
                            <w:rFonts w:ascii="Arial" w:hAnsi="Arial" w:cs="Arial"/>
                            <w:color w:val="000000"/>
                            <w:sz w:val="18"/>
                            <w:szCs w:val="18"/>
                            <w:lang w:val="en-AU"/>
                          </w:rPr>
                          <w:fldChar w:fldCharType="begin"/>
                        </w:r>
                        <w:r w:rsidRPr="00F060B6">
                          <w:rPr>
                            <w:rFonts w:ascii="Arial" w:hAnsi="Arial" w:cs="Arial"/>
                            <w:color w:val="000000"/>
                            <w:sz w:val="18"/>
                            <w:szCs w:val="18"/>
                            <w:lang w:val="en-AU"/>
                          </w:rPr>
                          <w:instrText xml:space="preserve"> HYPERLINK "http://www.asxonline.com/intradoc-cgi/groups/clearing_and_settlement/documents/communications/asx_032500.pdf" \t "_new" </w:instrText>
                        </w:r>
                        <w:r w:rsidRPr="00F060B6">
                          <w:rPr>
                            <w:rFonts w:ascii="Arial" w:hAnsi="Arial" w:cs="Arial"/>
                            <w:color w:val="000000"/>
                            <w:sz w:val="18"/>
                            <w:szCs w:val="18"/>
                            <w:lang w:val="en-AU"/>
                          </w:rPr>
                        </w:r>
                        <w:r w:rsidRPr="00F060B6">
                          <w:rPr>
                            <w:rFonts w:ascii="Arial" w:hAnsi="Arial" w:cs="Arial"/>
                            <w:color w:val="000000"/>
                            <w:sz w:val="18"/>
                            <w:szCs w:val="18"/>
                            <w:lang w:val="en-AU"/>
                          </w:rPr>
                          <w:fldChar w:fldCharType="separate"/>
                        </w:r>
                        <w:r w:rsidRPr="00F060B6">
                          <w:rPr>
                            <w:rFonts w:ascii="Arial" w:hAnsi="Arial" w:cs="Arial"/>
                            <w:color w:val="0000FF"/>
                            <w:sz w:val="18"/>
                            <w:szCs w:val="18"/>
                            <w:u w:val="single"/>
                            <w:lang w:val="en-AU"/>
                          </w:rPr>
                          <w:t>ASXOnline.com</w:t>
                        </w:r>
                        <w:r w:rsidRPr="00F060B6">
                          <w:rPr>
                            <w:rFonts w:ascii="Arial" w:hAnsi="Arial" w:cs="Arial"/>
                            <w:color w:val="000000"/>
                            <w:sz w:val="18"/>
                            <w:szCs w:val="18"/>
                            <w:lang w:val="en-AU"/>
                          </w:rPr>
                          <w:fldChar w:fldCharType="end"/>
                        </w:r>
                        <w:r w:rsidRPr="00F060B6">
                          <w:rPr>
                            <w:rFonts w:ascii="Arial" w:hAnsi="Arial" w:cs="Arial"/>
                            <w:color w:val="000000"/>
                            <w:sz w:val="18"/>
                            <w:szCs w:val="18"/>
                            <w:lang w:val="en-AU"/>
                          </w:rPr>
                          <w:t>.</w:t>
                        </w:r>
                      </w:p>
                      <w:p w:rsidR="00F060B6" w:rsidRPr="00F060B6" w:rsidRDefault="00F060B6" w:rsidP="00F060B6">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1536" name="Picture 21536" descr="etailed Contents">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36" descr="etailed Contents"/>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060B6" w:rsidRPr="00F060B6" w:rsidRDefault="00F060B6" w:rsidP="00F060B6">
                        <w:pPr>
                          <w:jc w:val="center"/>
                          <w:rPr>
                            <w:rFonts w:ascii="Arial" w:eastAsia="Times New Roman" w:hAnsi="Arial" w:cs="Arial"/>
                            <w:color w:val="000000"/>
                            <w:sz w:val="18"/>
                            <w:szCs w:val="18"/>
                            <w:lang w:val="en-AU"/>
                          </w:rPr>
                        </w:pPr>
                        <w:r w:rsidRPr="00F060B6">
                          <w:rPr>
                            <w:rFonts w:ascii="Arial" w:eastAsia="Times New Roman" w:hAnsi="Arial" w:cs="Arial"/>
                            <w:color w:val="000000"/>
                            <w:sz w:val="18"/>
                            <w:szCs w:val="18"/>
                            <w:lang w:val="en-AU"/>
                          </w:rPr>
                          <w:pict>
                            <v:rect id="_x0000_i22561" style="width:415pt;height:2pt" o:hralign="center" o:hrstd="t" o:hr="t" fillcolor="#aaa" stroked="f"/>
                          </w:pict>
                        </w:r>
                      </w:p>
                      <w:p w:rsidR="00F060B6" w:rsidRPr="00F060B6" w:rsidRDefault="00F060B6" w:rsidP="00F060B6">
                        <w:pPr>
                          <w:spacing w:before="100" w:beforeAutospacing="1" w:after="100" w:afterAutospacing="1"/>
                          <w:rPr>
                            <w:rFonts w:ascii="Times" w:hAnsi="Times" w:cs="Times New Roman"/>
                            <w:sz w:val="20"/>
                            <w:szCs w:val="20"/>
                            <w:lang w:val="en-AU"/>
                          </w:rPr>
                        </w:pPr>
                        <w:bookmarkStart w:id="38" w:name="034"/>
                        <w:bookmarkEnd w:id="38"/>
                        <w:r w:rsidRPr="00F060B6">
                          <w:rPr>
                            <w:rFonts w:ascii="Arial" w:hAnsi="Arial" w:cs="Arial"/>
                            <w:b/>
                            <w:bCs/>
                            <w:color w:val="000000"/>
                            <w:sz w:val="18"/>
                            <w:szCs w:val="18"/>
                            <w:lang w:val="en-AU"/>
                          </w:rPr>
                          <w:t>3.4 Amendments to ASX clear minimum core capital requirements</w:t>
                        </w:r>
                        <w:r w:rsidRPr="00F060B6">
                          <w:rPr>
                            <w:rFonts w:ascii="Arial" w:hAnsi="Arial" w:cs="Arial"/>
                            <w:color w:val="000000"/>
                            <w:sz w:val="18"/>
                            <w:szCs w:val="18"/>
                            <w:lang w:val="en-AU"/>
                          </w:rPr>
                          <w:br/>
                          <w:t> </w:t>
                        </w:r>
                        <w:r w:rsidRPr="00F060B6">
                          <w:rPr>
                            <w:rFonts w:ascii="Arial" w:hAnsi="Arial" w:cs="Arial"/>
                            <w:color w:val="000000"/>
                            <w:sz w:val="18"/>
                            <w:szCs w:val="18"/>
                            <w:lang w:val="en-AU"/>
                          </w:rPr>
                          <w:br/>
                          <w:t>On 1 January 2012, ASX increased the minimum core capital requirements for General Clearing Participants to $20 million.  This was in accordance with the timetable communicated to Participants in ASX Clear Notice 66/10, dated 2 December 2010.</w:t>
                        </w:r>
                        <w:r w:rsidRPr="00F060B6">
                          <w:rPr>
                            <w:rFonts w:ascii="Arial" w:hAnsi="Arial" w:cs="Arial"/>
                            <w:color w:val="000000"/>
                            <w:sz w:val="18"/>
                            <w:szCs w:val="18"/>
                            <w:lang w:val="en-AU"/>
                          </w:rPr>
                          <w:br/>
                          <w:t> </w:t>
                        </w:r>
                        <w:r w:rsidRPr="00F060B6">
                          <w:rPr>
                            <w:rFonts w:ascii="Arial" w:hAnsi="Arial" w:cs="Arial"/>
                            <w:color w:val="000000"/>
                            <w:sz w:val="18"/>
                            <w:szCs w:val="18"/>
                            <w:lang w:val="en-AU"/>
                          </w:rPr>
                          <w:br/>
                          <w:t>Participant core capital requirements are a key risk management tool used by ASX Clear to provide financial safeguards to users of Australia's financial markets and to promote systemic stability.</w:t>
                        </w:r>
                        <w:r w:rsidRPr="00F060B6">
                          <w:rPr>
                            <w:rFonts w:ascii="Arial" w:hAnsi="Arial" w:cs="Arial"/>
                            <w:color w:val="000000"/>
                            <w:sz w:val="18"/>
                            <w:szCs w:val="18"/>
                            <w:lang w:val="en-AU"/>
                          </w:rPr>
                          <w:br/>
                          <w:t> </w:t>
                        </w:r>
                        <w:r w:rsidRPr="00F060B6">
                          <w:rPr>
                            <w:rFonts w:ascii="Arial" w:hAnsi="Arial" w:cs="Arial"/>
                            <w:color w:val="000000"/>
                            <w:sz w:val="18"/>
                            <w:szCs w:val="18"/>
                            <w:lang w:val="en-AU"/>
                          </w:rPr>
                          <w:br/>
                          <w:t>ASX will defer the planned introduction of the $10 million minimum core capital requirement for Direct Clearing Participants from 1 January 2013 until 1 January 2014, at the earliest.  A further review of the intended timetable will be undertaken in Q4 2012.</w:t>
                        </w:r>
                        <w:r w:rsidRPr="00F060B6">
                          <w:rPr>
                            <w:rFonts w:ascii="Arial" w:hAnsi="Arial" w:cs="Arial"/>
                            <w:color w:val="000000"/>
                            <w:sz w:val="18"/>
                            <w:szCs w:val="18"/>
                            <w:lang w:val="en-AU"/>
                          </w:rPr>
                          <w:br/>
                          <w:t> </w:t>
                        </w:r>
                        <w:r w:rsidRPr="00F060B6">
                          <w:rPr>
                            <w:rFonts w:ascii="Arial" w:hAnsi="Arial" w:cs="Arial"/>
                            <w:color w:val="000000"/>
                            <w:sz w:val="18"/>
                            <w:szCs w:val="18"/>
                            <w:lang w:val="en-AU"/>
                          </w:rPr>
                          <w:br/>
                          <w:t xml:space="preserve">The ASX Clearing Corporation Notice is available on </w:t>
                        </w:r>
                        <w:r w:rsidRPr="00F060B6">
                          <w:rPr>
                            <w:rFonts w:ascii="Arial" w:hAnsi="Arial" w:cs="Arial"/>
                            <w:color w:val="000000"/>
                            <w:sz w:val="18"/>
                            <w:szCs w:val="18"/>
                            <w:lang w:val="en-AU"/>
                          </w:rPr>
                          <w:fldChar w:fldCharType="begin"/>
                        </w:r>
                        <w:r w:rsidRPr="00F060B6">
                          <w:rPr>
                            <w:rFonts w:ascii="Arial" w:hAnsi="Arial" w:cs="Arial"/>
                            <w:color w:val="000000"/>
                            <w:sz w:val="18"/>
                            <w:szCs w:val="18"/>
                            <w:lang w:val="en-AU"/>
                          </w:rPr>
                          <w:instrText xml:space="preserve"> HYPERLINK "http://www.asxonline.com/intradoc-cgi/groups/derivatives/documents/communications/asx_032434.pdf" \t "_new" </w:instrText>
                        </w:r>
                        <w:r w:rsidRPr="00F060B6">
                          <w:rPr>
                            <w:rFonts w:ascii="Arial" w:hAnsi="Arial" w:cs="Arial"/>
                            <w:color w:val="000000"/>
                            <w:sz w:val="18"/>
                            <w:szCs w:val="18"/>
                            <w:lang w:val="en-AU"/>
                          </w:rPr>
                        </w:r>
                        <w:r w:rsidRPr="00F060B6">
                          <w:rPr>
                            <w:rFonts w:ascii="Arial" w:hAnsi="Arial" w:cs="Arial"/>
                            <w:color w:val="000000"/>
                            <w:sz w:val="18"/>
                            <w:szCs w:val="18"/>
                            <w:lang w:val="en-AU"/>
                          </w:rPr>
                          <w:fldChar w:fldCharType="separate"/>
                        </w:r>
                        <w:r w:rsidRPr="00F060B6">
                          <w:rPr>
                            <w:rFonts w:ascii="Arial" w:hAnsi="Arial" w:cs="Arial"/>
                            <w:color w:val="0000FF"/>
                            <w:sz w:val="18"/>
                            <w:szCs w:val="18"/>
                            <w:u w:val="single"/>
                            <w:lang w:val="en-AU"/>
                          </w:rPr>
                          <w:t>ASXOnline.com.au</w:t>
                        </w:r>
                        <w:r w:rsidRPr="00F060B6">
                          <w:rPr>
                            <w:rFonts w:ascii="Arial" w:hAnsi="Arial" w:cs="Arial"/>
                            <w:color w:val="000000"/>
                            <w:sz w:val="18"/>
                            <w:szCs w:val="18"/>
                            <w:lang w:val="en-AU"/>
                          </w:rPr>
                          <w:fldChar w:fldCharType="end"/>
                        </w:r>
                        <w:r w:rsidRPr="00F060B6">
                          <w:rPr>
                            <w:rFonts w:ascii="Arial" w:hAnsi="Arial" w:cs="Arial"/>
                            <w:color w:val="000000"/>
                            <w:sz w:val="18"/>
                            <w:szCs w:val="18"/>
                            <w:lang w:val="en-AU"/>
                          </w:rPr>
                          <w:t>.</w:t>
                        </w:r>
                      </w:p>
                      <w:p w:rsidR="00F060B6" w:rsidRPr="00F060B6" w:rsidRDefault="00F060B6" w:rsidP="00F060B6">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1538" name="Picture 21538" descr="etailed Contents">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38" descr="etailed Contents"/>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060B6" w:rsidRPr="00F060B6" w:rsidRDefault="00F060B6" w:rsidP="00F060B6">
                        <w:pPr>
                          <w:jc w:val="center"/>
                          <w:rPr>
                            <w:rFonts w:ascii="Arial" w:eastAsia="Times New Roman" w:hAnsi="Arial" w:cs="Arial"/>
                            <w:color w:val="000000"/>
                            <w:sz w:val="18"/>
                            <w:szCs w:val="18"/>
                            <w:lang w:val="en-AU"/>
                          </w:rPr>
                        </w:pPr>
                        <w:r w:rsidRPr="00F060B6">
                          <w:rPr>
                            <w:rFonts w:ascii="Arial" w:eastAsia="Times New Roman" w:hAnsi="Arial" w:cs="Arial"/>
                            <w:color w:val="000000"/>
                            <w:sz w:val="18"/>
                            <w:szCs w:val="18"/>
                            <w:lang w:val="en-AU"/>
                          </w:rPr>
                          <w:pict>
                            <v:rect id="_x0000_i22563" style="width:415pt;height:2pt" o:hralign="center" o:hrstd="t" o:hr="t" fillcolor="#aaa" stroked="f"/>
                          </w:pict>
                        </w:r>
                      </w:p>
                      <w:p w:rsidR="00F060B6" w:rsidRPr="00F060B6" w:rsidRDefault="00F060B6" w:rsidP="00F060B6">
                        <w:pPr>
                          <w:spacing w:before="100" w:beforeAutospacing="1" w:after="100" w:afterAutospacing="1"/>
                          <w:rPr>
                            <w:rFonts w:ascii="Times" w:hAnsi="Times" w:cs="Times New Roman"/>
                            <w:sz w:val="20"/>
                            <w:szCs w:val="20"/>
                            <w:lang w:val="en-AU"/>
                          </w:rPr>
                        </w:pPr>
                        <w:bookmarkStart w:id="39" w:name="035"/>
                        <w:bookmarkEnd w:id="39"/>
                        <w:r w:rsidRPr="00F060B6">
                          <w:rPr>
                            <w:rFonts w:ascii="Arial" w:hAnsi="Arial" w:cs="Arial"/>
                            <w:b/>
                            <w:bCs/>
                            <w:color w:val="000000"/>
                            <w:sz w:val="18"/>
                            <w:szCs w:val="18"/>
                            <w:lang w:val="en-AU"/>
                          </w:rPr>
                          <w:t>3.5  Reports</w:t>
                        </w:r>
                        <w:r w:rsidRPr="00F060B6">
                          <w:rPr>
                            <w:rFonts w:ascii="Arial" w:hAnsi="Arial" w:cs="Arial"/>
                            <w:color w:val="000000"/>
                            <w:sz w:val="18"/>
                            <w:szCs w:val="18"/>
                            <w:lang w:val="en-AU"/>
                          </w:rPr>
                          <w:br/>
                          <w:t> </w:t>
                        </w:r>
                        <w:r w:rsidRPr="00F060B6">
                          <w:rPr>
                            <w:rFonts w:ascii="Arial" w:hAnsi="Arial" w:cs="Arial"/>
                            <w:color w:val="000000"/>
                            <w:sz w:val="18"/>
                            <w:szCs w:val="18"/>
                            <w:lang w:val="en-AU"/>
                          </w:rPr>
                          <w:br/>
                          <w:t>On 6 January 2012, ASX released:</w:t>
                        </w:r>
                      </w:p>
                      <w:p w:rsidR="00F060B6" w:rsidRPr="00F060B6" w:rsidRDefault="00F060B6" w:rsidP="00F060B6">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060B6">
                          <w:rPr>
                            <w:rFonts w:ascii="Arial" w:eastAsia="Times New Roman" w:hAnsi="Arial" w:cs="Arial"/>
                            <w:color w:val="000000"/>
                            <w:sz w:val="18"/>
                            <w:szCs w:val="18"/>
                            <w:lang w:val="en-AU"/>
                          </w:rPr>
                          <w:t xml:space="preserve">the </w:t>
                        </w:r>
                        <w:r w:rsidRPr="00F060B6">
                          <w:rPr>
                            <w:rFonts w:ascii="Arial" w:eastAsia="Times New Roman" w:hAnsi="Arial" w:cs="Arial"/>
                            <w:color w:val="000000"/>
                            <w:sz w:val="18"/>
                            <w:szCs w:val="18"/>
                            <w:lang w:val="en-AU"/>
                          </w:rPr>
                          <w:fldChar w:fldCharType="begin"/>
                        </w:r>
                        <w:r w:rsidRPr="00F060B6">
                          <w:rPr>
                            <w:rFonts w:ascii="Arial" w:eastAsia="Times New Roman" w:hAnsi="Arial" w:cs="Arial"/>
                            <w:color w:val="000000"/>
                            <w:sz w:val="18"/>
                            <w:szCs w:val="18"/>
                            <w:lang w:val="en-AU"/>
                          </w:rPr>
                          <w:instrText xml:space="preserve"> HYPERLINK "http://www.asxgroup.com.au/media/PDFs/ASXGroupMonthlyActivityReport_Dec11.pdf" \t "_new" </w:instrText>
                        </w:r>
                        <w:r w:rsidRPr="00F060B6">
                          <w:rPr>
                            <w:rFonts w:ascii="Arial" w:eastAsia="Times New Roman" w:hAnsi="Arial" w:cs="Arial"/>
                            <w:color w:val="000000"/>
                            <w:sz w:val="18"/>
                            <w:szCs w:val="18"/>
                            <w:lang w:val="en-AU"/>
                          </w:rPr>
                        </w:r>
                        <w:r w:rsidRPr="00F060B6">
                          <w:rPr>
                            <w:rFonts w:ascii="Arial" w:eastAsia="Times New Roman" w:hAnsi="Arial" w:cs="Arial"/>
                            <w:color w:val="000000"/>
                            <w:sz w:val="18"/>
                            <w:szCs w:val="18"/>
                            <w:lang w:val="en-AU"/>
                          </w:rPr>
                          <w:fldChar w:fldCharType="separate"/>
                        </w:r>
                        <w:r w:rsidRPr="00F060B6">
                          <w:rPr>
                            <w:rFonts w:ascii="Arial" w:eastAsia="Times New Roman" w:hAnsi="Arial" w:cs="Arial"/>
                            <w:color w:val="0000FF"/>
                            <w:sz w:val="18"/>
                            <w:szCs w:val="18"/>
                            <w:u w:val="single"/>
                            <w:lang w:val="en-AU"/>
                          </w:rPr>
                          <w:t>ASX Group Monthly Activity Report</w:t>
                        </w:r>
                        <w:r w:rsidRPr="00F060B6">
                          <w:rPr>
                            <w:rFonts w:ascii="Arial" w:eastAsia="Times New Roman" w:hAnsi="Arial" w:cs="Arial"/>
                            <w:color w:val="000000"/>
                            <w:sz w:val="18"/>
                            <w:szCs w:val="18"/>
                            <w:lang w:val="en-AU"/>
                          </w:rPr>
                          <w:fldChar w:fldCharType="end"/>
                        </w:r>
                        <w:r w:rsidRPr="00F060B6">
                          <w:rPr>
                            <w:rFonts w:ascii="Arial" w:eastAsia="Times New Roman" w:hAnsi="Arial" w:cs="Arial"/>
                            <w:color w:val="000000"/>
                            <w:sz w:val="18"/>
                            <w:szCs w:val="18"/>
                            <w:lang w:val="en-AU"/>
                          </w:rPr>
                          <w:t xml:space="preserve">; </w:t>
                        </w:r>
                      </w:p>
                      <w:p w:rsidR="00F060B6" w:rsidRPr="00F060B6" w:rsidRDefault="00F060B6" w:rsidP="00F060B6">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060B6">
                          <w:rPr>
                            <w:rFonts w:ascii="Arial" w:eastAsia="Times New Roman" w:hAnsi="Arial" w:cs="Arial"/>
                            <w:color w:val="000000"/>
                            <w:sz w:val="18"/>
                            <w:szCs w:val="18"/>
                            <w:lang w:val="en-AU"/>
                          </w:rPr>
                          <w:t xml:space="preserve">the </w:t>
                        </w:r>
                        <w:r w:rsidRPr="00F060B6">
                          <w:rPr>
                            <w:rFonts w:ascii="Arial" w:eastAsia="Times New Roman" w:hAnsi="Arial" w:cs="Arial"/>
                            <w:color w:val="000000"/>
                            <w:sz w:val="18"/>
                            <w:szCs w:val="18"/>
                            <w:lang w:val="en-AU"/>
                          </w:rPr>
                          <w:fldChar w:fldCharType="begin"/>
                        </w:r>
                        <w:r w:rsidRPr="00F060B6">
                          <w:rPr>
                            <w:rFonts w:ascii="Arial" w:eastAsia="Times New Roman" w:hAnsi="Arial" w:cs="Arial"/>
                            <w:color w:val="000000"/>
                            <w:sz w:val="18"/>
                            <w:szCs w:val="18"/>
                            <w:lang w:val="en-AU"/>
                          </w:rPr>
                          <w:instrText xml:space="preserve"> HYPERLINK "http://www.sfe.com.au/content/notices/2012/notice2012_006.pdf" \t "_new" </w:instrText>
                        </w:r>
                        <w:r w:rsidRPr="00F060B6">
                          <w:rPr>
                            <w:rFonts w:ascii="Arial" w:eastAsia="Times New Roman" w:hAnsi="Arial" w:cs="Arial"/>
                            <w:color w:val="000000"/>
                            <w:sz w:val="18"/>
                            <w:szCs w:val="18"/>
                            <w:lang w:val="en-AU"/>
                          </w:rPr>
                        </w:r>
                        <w:r w:rsidRPr="00F060B6">
                          <w:rPr>
                            <w:rFonts w:ascii="Arial" w:eastAsia="Times New Roman" w:hAnsi="Arial" w:cs="Arial"/>
                            <w:color w:val="000000"/>
                            <w:sz w:val="18"/>
                            <w:szCs w:val="18"/>
                            <w:lang w:val="en-AU"/>
                          </w:rPr>
                          <w:fldChar w:fldCharType="separate"/>
                        </w:r>
                        <w:r w:rsidRPr="00F060B6">
                          <w:rPr>
                            <w:rFonts w:ascii="Arial" w:eastAsia="Times New Roman" w:hAnsi="Arial" w:cs="Arial"/>
                            <w:color w:val="0000FF"/>
                            <w:sz w:val="18"/>
                            <w:szCs w:val="18"/>
                            <w:u w:val="single"/>
                            <w:lang w:val="en-AU"/>
                          </w:rPr>
                          <w:t>ASX 24 Monthly Volume and Open Interest Report</w:t>
                        </w:r>
                        <w:r w:rsidRPr="00F060B6">
                          <w:rPr>
                            <w:rFonts w:ascii="Arial" w:eastAsia="Times New Roman" w:hAnsi="Arial" w:cs="Arial"/>
                            <w:color w:val="000000"/>
                            <w:sz w:val="18"/>
                            <w:szCs w:val="18"/>
                            <w:lang w:val="en-AU"/>
                          </w:rPr>
                          <w:fldChar w:fldCharType="end"/>
                        </w:r>
                        <w:r w:rsidRPr="00F060B6">
                          <w:rPr>
                            <w:rFonts w:ascii="Arial" w:eastAsia="Times New Roman" w:hAnsi="Arial" w:cs="Arial"/>
                            <w:color w:val="000000"/>
                            <w:sz w:val="18"/>
                            <w:szCs w:val="18"/>
                            <w:lang w:val="en-AU"/>
                          </w:rPr>
                          <w:t xml:space="preserve">; and </w:t>
                        </w:r>
                      </w:p>
                      <w:p w:rsidR="00F060B6" w:rsidRPr="00F060B6" w:rsidRDefault="00F060B6" w:rsidP="00F060B6">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060B6">
                          <w:rPr>
                            <w:rFonts w:ascii="Arial" w:eastAsia="Times New Roman" w:hAnsi="Arial" w:cs="Arial"/>
                            <w:color w:val="000000"/>
                            <w:sz w:val="18"/>
                            <w:szCs w:val="18"/>
                            <w:lang w:val="en-AU"/>
                          </w:rPr>
                          <w:t xml:space="preserve">the </w:t>
                        </w:r>
                        <w:r w:rsidRPr="00F060B6">
                          <w:rPr>
                            <w:rFonts w:ascii="Arial" w:eastAsia="Times New Roman" w:hAnsi="Arial" w:cs="Arial"/>
                            <w:color w:val="000000"/>
                            <w:sz w:val="18"/>
                            <w:szCs w:val="18"/>
                            <w:lang w:val="en-AU"/>
                          </w:rPr>
                          <w:fldChar w:fldCharType="begin"/>
                        </w:r>
                        <w:r w:rsidRPr="00F060B6">
                          <w:rPr>
                            <w:rFonts w:ascii="Arial" w:eastAsia="Times New Roman" w:hAnsi="Arial" w:cs="Arial"/>
                            <w:color w:val="000000"/>
                            <w:sz w:val="18"/>
                            <w:szCs w:val="18"/>
                            <w:lang w:val="en-AU"/>
                          </w:rPr>
                          <w:instrText xml:space="preserve"> HYPERLINK "http://www.asxgroup.com.au/media/PDFs/ASXComplianceMonthlyActivityReport_Dec11.pdf" \t "_new" </w:instrText>
                        </w:r>
                        <w:r w:rsidRPr="00F060B6">
                          <w:rPr>
                            <w:rFonts w:ascii="Arial" w:eastAsia="Times New Roman" w:hAnsi="Arial" w:cs="Arial"/>
                            <w:color w:val="000000"/>
                            <w:sz w:val="18"/>
                            <w:szCs w:val="18"/>
                            <w:lang w:val="en-AU"/>
                          </w:rPr>
                        </w:r>
                        <w:r w:rsidRPr="00F060B6">
                          <w:rPr>
                            <w:rFonts w:ascii="Arial" w:eastAsia="Times New Roman" w:hAnsi="Arial" w:cs="Arial"/>
                            <w:color w:val="000000"/>
                            <w:sz w:val="18"/>
                            <w:szCs w:val="18"/>
                            <w:lang w:val="en-AU"/>
                          </w:rPr>
                          <w:fldChar w:fldCharType="separate"/>
                        </w:r>
                        <w:r w:rsidRPr="00F060B6">
                          <w:rPr>
                            <w:rFonts w:ascii="Arial" w:eastAsia="Times New Roman" w:hAnsi="Arial" w:cs="Arial"/>
                            <w:color w:val="0000FF"/>
                            <w:sz w:val="18"/>
                            <w:szCs w:val="18"/>
                            <w:u w:val="single"/>
                            <w:lang w:val="en-AU"/>
                          </w:rPr>
                          <w:t>ASX Compliance Monthly Activity Report</w:t>
                        </w:r>
                        <w:r w:rsidRPr="00F060B6">
                          <w:rPr>
                            <w:rFonts w:ascii="Arial" w:eastAsia="Times New Roman" w:hAnsi="Arial" w:cs="Arial"/>
                            <w:color w:val="000000"/>
                            <w:sz w:val="18"/>
                            <w:szCs w:val="18"/>
                            <w:lang w:val="en-AU"/>
                          </w:rPr>
                          <w:fldChar w:fldCharType="end"/>
                        </w:r>
                        <w:r w:rsidRPr="00F060B6">
                          <w:rPr>
                            <w:rFonts w:ascii="Arial" w:eastAsia="Times New Roman" w:hAnsi="Arial" w:cs="Arial"/>
                            <w:color w:val="000000"/>
                            <w:sz w:val="18"/>
                            <w:szCs w:val="18"/>
                            <w:lang w:val="en-AU"/>
                          </w:rPr>
                          <w:t xml:space="preserve"> </w:t>
                        </w:r>
                      </w:p>
                      <w:p w:rsidR="00F060B6" w:rsidRPr="00F060B6" w:rsidRDefault="00F060B6" w:rsidP="00F060B6">
                        <w:pPr>
                          <w:spacing w:before="100" w:beforeAutospacing="1" w:after="100" w:afterAutospacing="1"/>
                          <w:rPr>
                            <w:rFonts w:ascii="Times" w:hAnsi="Times" w:cs="Times New Roman"/>
                            <w:sz w:val="20"/>
                            <w:szCs w:val="20"/>
                            <w:lang w:val="en-AU"/>
                          </w:rPr>
                        </w:pPr>
                        <w:r w:rsidRPr="00F060B6">
                          <w:rPr>
                            <w:rFonts w:ascii="Arial" w:hAnsi="Arial" w:cs="Arial"/>
                            <w:color w:val="000000"/>
                            <w:sz w:val="18"/>
                            <w:szCs w:val="18"/>
                            <w:lang w:val="en-AU"/>
                          </w:rPr>
                          <w:t>for December 2011.</w:t>
                        </w:r>
                      </w:p>
                      <w:p w:rsidR="00F060B6" w:rsidRPr="00F060B6" w:rsidRDefault="00F060B6" w:rsidP="00F060B6">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1540" name="Picture 21540" descr="etailed Contents">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40" descr="etailed Contents"/>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F060B6" w:rsidRPr="00F060B6" w:rsidRDefault="00F060B6" w:rsidP="00F060B6">
                  <w:pPr>
                    <w:rPr>
                      <w:rFonts w:ascii="Times" w:eastAsia="Times New Roman" w:hAnsi="Times" w:cs="Times New Roman"/>
                      <w:sz w:val="20"/>
                      <w:szCs w:val="20"/>
                      <w:lang w:val="en-AU"/>
                    </w:rPr>
                  </w:pPr>
                </w:p>
              </w:tc>
            </w:tr>
          </w:tbl>
          <w:p w:rsidR="00F060B6" w:rsidRPr="00F060B6" w:rsidRDefault="00F060B6" w:rsidP="00F060B6">
            <w:pPr>
              <w:spacing w:before="100" w:beforeAutospacing="1" w:after="100" w:afterAutospacing="1"/>
              <w:rPr>
                <w:rFonts w:ascii="Times" w:hAnsi="Times" w:cs="Times New Roman"/>
                <w:sz w:val="20"/>
                <w:szCs w:val="20"/>
                <w:lang w:val="en-AU"/>
              </w:rPr>
            </w:pPr>
            <w:r w:rsidRPr="00F060B6">
              <w:rPr>
                <w:rFonts w:ascii="Arial" w:eastAsia="Times New Roman" w:hAnsi="Arial" w:cs="Arial"/>
                <w:color w:val="000000"/>
                <w:sz w:val="18"/>
                <w:szCs w:val="18"/>
                <w:lang w:val="en-AU"/>
              </w:rPr>
              <w:t> </w:t>
            </w:r>
          </w:p>
          <w:tbl>
            <w:tblPr>
              <w:tblW w:w="5000" w:type="pct"/>
              <w:tblCellSpacing w:w="0" w:type="dxa"/>
              <w:tblCellMar>
                <w:left w:w="0" w:type="dxa"/>
                <w:right w:w="0" w:type="dxa"/>
              </w:tblCellMar>
              <w:tblLook w:val="04A0" w:firstRow="1" w:lastRow="0" w:firstColumn="1" w:lastColumn="0" w:noHBand="0" w:noVBand="1"/>
            </w:tblPr>
            <w:tblGrid>
              <w:gridCol w:w="7208"/>
            </w:tblGrid>
            <w:tr w:rsidR="00F060B6" w:rsidRPr="00F060B6">
              <w:trPr>
                <w:trHeight w:val="420"/>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E4E5E5"/>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6258"/>
                    <w:gridCol w:w="450"/>
                    <w:gridCol w:w="470"/>
                  </w:tblGrid>
                  <w:tr w:rsidR="00F060B6" w:rsidRPr="00F060B6">
                    <w:trPr>
                      <w:tblCellSpacing w:w="0" w:type="dxa"/>
                    </w:trPr>
                    <w:tc>
                      <w:tcPr>
                        <w:tcW w:w="0" w:type="auto"/>
                        <w:vAlign w:val="center"/>
                        <w:hideMark/>
                      </w:tcPr>
                      <w:p w:rsidR="00F060B6" w:rsidRPr="00F060B6" w:rsidRDefault="00F060B6" w:rsidP="00F060B6">
                        <w:pPr>
                          <w:spacing w:before="100" w:beforeAutospacing="1" w:after="100" w:afterAutospacing="1"/>
                          <w:rPr>
                            <w:rFonts w:ascii="Times" w:hAnsi="Times" w:cs="Times New Roman"/>
                            <w:sz w:val="20"/>
                            <w:szCs w:val="20"/>
                            <w:lang w:val="en-AU"/>
                          </w:rPr>
                        </w:pPr>
                        <w:bookmarkStart w:id="40" w:name="4"/>
                        <w:bookmarkEnd w:id="40"/>
                        <w:r w:rsidRPr="00F060B6">
                          <w:rPr>
                            <w:rFonts w:ascii="Arial" w:eastAsia="Times New Roman" w:hAnsi="Arial" w:cs="Arial"/>
                            <w:b/>
                            <w:bCs/>
                            <w:color w:val="000000"/>
                            <w:sz w:val="18"/>
                            <w:szCs w:val="18"/>
                            <w:lang w:val="en-AU"/>
                          </w:rPr>
                          <w:t>4. Recent Takeovers Panel Developments</w:t>
                        </w:r>
                      </w:p>
                    </w:tc>
                    <w:tc>
                      <w:tcPr>
                        <w:tcW w:w="450" w:type="dxa"/>
                        <w:vAlign w:val="center"/>
                        <w:hideMark/>
                      </w:tcPr>
                      <w:p w:rsidR="00F060B6" w:rsidRPr="00F060B6" w:rsidRDefault="00F060B6" w:rsidP="00F060B6">
                        <w:pPr>
                          <w:rPr>
                            <w:rFonts w:ascii="Times" w:eastAsia="Times New Roman" w:hAnsi="Times" w:cs="Times New Roman"/>
                            <w:sz w:val="20"/>
                            <w:szCs w:val="20"/>
                            <w:lang w:val="en-AU"/>
                          </w:rPr>
                        </w:pPr>
                      </w:p>
                    </w:tc>
                    <w:tc>
                      <w:tcPr>
                        <w:tcW w:w="180" w:type="dxa"/>
                        <w:tcBorders>
                          <w:top w:val="nil"/>
                          <w:left w:val="single" w:sz="6" w:space="0" w:color="4D4F63"/>
                          <w:bottom w:val="nil"/>
                          <w:right w:val="nil"/>
                        </w:tcBorders>
                        <w:vAlign w:val="center"/>
                        <w:hideMark/>
                      </w:tcPr>
                      <w:p w:rsidR="00F060B6" w:rsidRPr="00F060B6" w:rsidRDefault="00F060B6" w:rsidP="00F060B6">
                        <w:pPr>
                          <w:spacing w:before="100" w:beforeAutospacing="1" w:after="100" w:afterAutospacing="1"/>
                          <w:rPr>
                            <w:rFonts w:ascii="Times" w:hAnsi="Times" w:cs="Times New Roman"/>
                            <w:sz w:val="20"/>
                            <w:szCs w:val="20"/>
                            <w:lang w:val="en-AU"/>
                          </w:rPr>
                        </w:pPr>
                        <w:r>
                          <w:rPr>
                            <w:rFonts w:ascii="Arial" w:eastAsia="Times New Roman" w:hAnsi="Arial" w:cs="Arial"/>
                            <w:noProof/>
                            <w:color w:val="0000FF"/>
                            <w:sz w:val="18"/>
                            <w:szCs w:val="18"/>
                          </w:rPr>
                          <w:drawing>
                            <wp:inline distT="0" distB="0" distL="0" distR="0">
                              <wp:extent cx="136525" cy="153670"/>
                              <wp:effectExtent l="0" t="0" r="0" b="0"/>
                              <wp:docPr id="21541" name="Picture 21541" descr="ext Section">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41" descr="ext Section"/>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F060B6" w:rsidRPr="00F060B6" w:rsidRDefault="00F060B6" w:rsidP="00F060B6">
                  <w:pPr>
                    <w:rPr>
                      <w:rFonts w:ascii="Times" w:eastAsia="Times New Roman" w:hAnsi="Times" w:cs="Times New Roman"/>
                      <w:sz w:val="20"/>
                      <w:szCs w:val="20"/>
                      <w:lang w:val="en-AU"/>
                    </w:rPr>
                  </w:pPr>
                </w:p>
              </w:tc>
            </w:tr>
            <w:tr w:rsidR="00F060B6" w:rsidRPr="00F060B6">
              <w:trPr>
                <w:tblCellSpacing w:w="0" w:type="dxa"/>
              </w:trPr>
              <w:tc>
                <w:tcPr>
                  <w:tcW w:w="0" w:type="auto"/>
                  <w:vAlign w:val="center"/>
                  <w:hideMark/>
                </w:tcPr>
                <w:p w:rsidR="00F060B6" w:rsidRPr="00F060B6" w:rsidRDefault="00F060B6" w:rsidP="00F060B6">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17145"/>
                        <wp:effectExtent l="0" t="0" r="0" b="0"/>
                        <wp:docPr id="21542" name="Picture 21542"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42"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17145"/>
                                </a:xfrm>
                                <a:prstGeom prst="rect">
                                  <a:avLst/>
                                </a:prstGeom>
                                <a:noFill/>
                                <a:ln>
                                  <a:noFill/>
                                </a:ln>
                              </pic:spPr>
                            </pic:pic>
                          </a:graphicData>
                        </a:graphic>
                      </wp:inline>
                    </w:drawing>
                  </w:r>
                </w:p>
              </w:tc>
            </w:tr>
            <w:tr w:rsidR="00F060B6" w:rsidRPr="00F060B6">
              <w:trPr>
                <w:tblCellSpacing w:w="0" w:type="dxa"/>
              </w:trPr>
              <w:tc>
                <w:tcPr>
                  <w:tcW w:w="0" w:type="auto"/>
                  <w:tcBorders>
                    <w:top w:val="single" w:sz="6" w:space="0" w:color="4D4F63"/>
                    <w:left w:val="single" w:sz="6" w:space="0" w:color="4D4F63"/>
                    <w:bottom w:val="single" w:sz="6" w:space="0" w:color="4D4F63"/>
                    <w:right w:val="single" w:sz="6" w:space="0" w:color="4D4F63"/>
                  </w:tcBorders>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7178"/>
                  </w:tblGrid>
                  <w:tr w:rsidR="00F060B6" w:rsidRPr="00F060B6">
                    <w:trPr>
                      <w:tblCellSpacing w:w="0" w:type="dxa"/>
                    </w:trPr>
                    <w:tc>
                      <w:tcPr>
                        <w:tcW w:w="0" w:type="auto"/>
                        <w:hideMark/>
                      </w:tcPr>
                      <w:p w:rsidR="00F060B6" w:rsidRPr="00F060B6" w:rsidRDefault="00F060B6" w:rsidP="00F060B6">
                        <w:pPr>
                          <w:spacing w:before="100" w:beforeAutospacing="1" w:after="100" w:afterAutospacing="1"/>
                          <w:rPr>
                            <w:rFonts w:ascii="Times" w:hAnsi="Times" w:cs="Times New Roman"/>
                            <w:sz w:val="20"/>
                            <w:szCs w:val="20"/>
                            <w:lang w:val="en-AU"/>
                          </w:rPr>
                        </w:pPr>
                        <w:bookmarkStart w:id="41" w:name="041"/>
                        <w:bookmarkEnd w:id="41"/>
                        <w:r w:rsidRPr="00F060B6">
                          <w:rPr>
                            <w:rFonts w:ascii="Arial" w:hAnsi="Arial" w:cs="Arial"/>
                            <w:b/>
                            <w:bCs/>
                            <w:color w:val="000000"/>
                            <w:sz w:val="18"/>
                            <w:szCs w:val="18"/>
                            <w:lang w:val="en-AU"/>
                          </w:rPr>
                          <w:t>4.1 Hastings Diversified Utilities Fund - Panel declines to make a declaration of unacceptable circumstances</w:t>
                        </w:r>
                        <w:r w:rsidRPr="00F060B6">
                          <w:rPr>
                            <w:rFonts w:ascii="Arial" w:hAnsi="Arial" w:cs="Arial"/>
                            <w:color w:val="000000"/>
                            <w:sz w:val="18"/>
                            <w:szCs w:val="18"/>
                            <w:lang w:val="en-AU"/>
                          </w:rPr>
                          <w:br/>
                          <w:t> </w:t>
                        </w:r>
                        <w:r w:rsidRPr="00F060B6">
                          <w:rPr>
                            <w:rFonts w:ascii="Arial" w:hAnsi="Arial" w:cs="Arial"/>
                            <w:color w:val="000000"/>
                            <w:sz w:val="18"/>
                            <w:szCs w:val="18"/>
                            <w:lang w:val="en-AU"/>
                          </w:rPr>
                          <w:br/>
                          <w:t xml:space="preserve">On 6 January 2012, the Takeovers Panel announced that it had declined to make a declaration of unacceptable circumstances in response to an application dated 23 December 2011 from Hastings Diversified Utilities Fund in relation to its affairs. </w:t>
                        </w:r>
                        <w:r w:rsidRPr="00F060B6">
                          <w:rPr>
                            <w:rFonts w:ascii="Arial" w:hAnsi="Arial" w:cs="Arial"/>
                            <w:color w:val="000000"/>
                            <w:sz w:val="18"/>
                            <w:szCs w:val="18"/>
                            <w:lang w:val="en-AU"/>
                          </w:rPr>
                          <w:br/>
                        </w:r>
                        <w:r w:rsidRPr="00F060B6">
                          <w:rPr>
                            <w:rFonts w:ascii="Arial" w:hAnsi="Arial" w:cs="Arial"/>
                            <w:color w:val="000000"/>
                            <w:sz w:val="18"/>
                            <w:szCs w:val="18"/>
                            <w:lang w:val="en-AU"/>
                          </w:rPr>
                          <w:br/>
                          <w:t>The application concerned disclosure deficiencies in the bidder's statement lodged by APT Pipelines Limited.  The Panel decided not to make a declaration after APT Pipelines Limited agreed to provide supplementary disclosure in a form and manner that was acceptable to the Panel.</w:t>
                        </w:r>
                      </w:p>
                      <w:p w:rsidR="00F060B6" w:rsidRPr="00F060B6" w:rsidRDefault="00F060B6" w:rsidP="00F060B6">
                        <w:pPr>
                          <w:spacing w:before="100" w:beforeAutospacing="1" w:after="100" w:afterAutospacing="1"/>
                          <w:rPr>
                            <w:rFonts w:ascii="Times" w:hAnsi="Times" w:cs="Times New Roman"/>
                            <w:sz w:val="20"/>
                            <w:szCs w:val="20"/>
                            <w:lang w:val="en-AU"/>
                          </w:rPr>
                        </w:pPr>
                        <w:r w:rsidRPr="00F060B6">
                          <w:rPr>
                            <w:rFonts w:ascii="Arial" w:hAnsi="Arial" w:cs="Arial"/>
                            <w:color w:val="000000"/>
                            <w:sz w:val="18"/>
                            <w:szCs w:val="18"/>
                            <w:lang w:val="en-AU"/>
                          </w:rPr>
                          <w:t>Accordingly, the Panel considered that it was not against the public interest to decline to make a declaration of unacceptable circumstances.</w:t>
                        </w:r>
                      </w:p>
                      <w:p w:rsidR="00F060B6" w:rsidRPr="00F060B6" w:rsidRDefault="00F060B6" w:rsidP="00F060B6">
                        <w:pPr>
                          <w:spacing w:before="100" w:beforeAutospacing="1" w:after="100" w:afterAutospacing="1"/>
                          <w:rPr>
                            <w:rFonts w:ascii="Times" w:hAnsi="Times" w:cs="Times New Roman"/>
                            <w:sz w:val="20"/>
                            <w:szCs w:val="20"/>
                            <w:lang w:val="en-AU"/>
                          </w:rPr>
                        </w:pPr>
                        <w:r w:rsidRPr="00F060B6">
                          <w:rPr>
                            <w:rFonts w:ascii="Arial" w:hAnsi="Arial" w:cs="Arial"/>
                            <w:color w:val="000000"/>
                            <w:sz w:val="18"/>
                            <w:szCs w:val="18"/>
                            <w:lang w:val="en-AU"/>
                          </w:rPr>
                          <w:t xml:space="preserve">The reasons for the decision are available on the </w:t>
                        </w:r>
                        <w:r w:rsidRPr="00F060B6">
                          <w:rPr>
                            <w:rFonts w:ascii="Arial" w:hAnsi="Arial" w:cs="Arial"/>
                            <w:color w:val="000000"/>
                            <w:sz w:val="18"/>
                            <w:szCs w:val="18"/>
                            <w:lang w:val="en-AU"/>
                          </w:rPr>
                          <w:fldChar w:fldCharType="begin"/>
                        </w:r>
                        <w:r w:rsidRPr="00F060B6">
                          <w:rPr>
                            <w:rFonts w:ascii="Arial" w:hAnsi="Arial" w:cs="Arial"/>
                            <w:color w:val="000000"/>
                            <w:sz w:val="18"/>
                            <w:szCs w:val="18"/>
                            <w:lang w:val="en-AU"/>
                          </w:rPr>
                          <w:instrText xml:space="preserve"> HYPERLINK "http://www.takeovers.gov.au/content/DisplayDoc.aspx?doc=reasons_for_decisions/2012/001.htm&amp;pageID=&amp;Year=" \t "_new" </w:instrText>
                        </w:r>
                        <w:r w:rsidRPr="00F060B6">
                          <w:rPr>
                            <w:rFonts w:ascii="Arial" w:hAnsi="Arial" w:cs="Arial"/>
                            <w:color w:val="000000"/>
                            <w:sz w:val="18"/>
                            <w:szCs w:val="18"/>
                            <w:lang w:val="en-AU"/>
                          </w:rPr>
                        </w:r>
                        <w:r w:rsidRPr="00F060B6">
                          <w:rPr>
                            <w:rFonts w:ascii="Arial" w:hAnsi="Arial" w:cs="Arial"/>
                            <w:color w:val="000000"/>
                            <w:sz w:val="18"/>
                            <w:szCs w:val="18"/>
                            <w:lang w:val="en-AU"/>
                          </w:rPr>
                          <w:fldChar w:fldCharType="separate"/>
                        </w:r>
                        <w:r w:rsidRPr="00F060B6">
                          <w:rPr>
                            <w:rFonts w:ascii="Arial" w:hAnsi="Arial" w:cs="Arial"/>
                            <w:color w:val="0000FF"/>
                            <w:sz w:val="18"/>
                            <w:szCs w:val="18"/>
                            <w:u w:val="single"/>
                            <w:lang w:val="en-AU"/>
                          </w:rPr>
                          <w:t>Takeovers Panel website</w:t>
                        </w:r>
                        <w:r w:rsidRPr="00F060B6">
                          <w:rPr>
                            <w:rFonts w:ascii="Arial" w:hAnsi="Arial" w:cs="Arial"/>
                            <w:color w:val="000000"/>
                            <w:sz w:val="18"/>
                            <w:szCs w:val="18"/>
                            <w:lang w:val="en-AU"/>
                          </w:rPr>
                          <w:fldChar w:fldCharType="end"/>
                        </w:r>
                        <w:r w:rsidRPr="00F060B6">
                          <w:rPr>
                            <w:rFonts w:ascii="Arial" w:hAnsi="Arial" w:cs="Arial"/>
                            <w:color w:val="000000"/>
                            <w:sz w:val="18"/>
                            <w:szCs w:val="18"/>
                            <w:lang w:val="en-AU"/>
                          </w:rPr>
                          <w:t>.</w:t>
                        </w:r>
                      </w:p>
                      <w:p w:rsidR="00F060B6" w:rsidRPr="00F060B6" w:rsidRDefault="00F060B6" w:rsidP="00F060B6">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1543" name="Picture 21543" descr="etailed Contents">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43" descr="etailed Contents"/>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F060B6" w:rsidRPr="00F060B6" w:rsidRDefault="00F060B6" w:rsidP="00F060B6">
                  <w:pPr>
                    <w:rPr>
                      <w:rFonts w:ascii="Times" w:eastAsia="Times New Roman" w:hAnsi="Times" w:cs="Times New Roman"/>
                      <w:sz w:val="20"/>
                      <w:szCs w:val="20"/>
                      <w:lang w:val="en-AU"/>
                    </w:rPr>
                  </w:pPr>
                </w:p>
              </w:tc>
            </w:tr>
          </w:tbl>
          <w:p w:rsidR="00F060B6" w:rsidRPr="00F060B6" w:rsidRDefault="00F060B6" w:rsidP="00F060B6">
            <w:pPr>
              <w:spacing w:before="100" w:beforeAutospacing="1" w:after="100" w:afterAutospacing="1"/>
              <w:rPr>
                <w:rFonts w:ascii="Times" w:hAnsi="Times" w:cs="Times New Roman"/>
                <w:sz w:val="20"/>
                <w:szCs w:val="20"/>
                <w:lang w:val="en-AU"/>
              </w:rPr>
            </w:pPr>
            <w:r w:rsidRPr="00F060B6">
              <w:rPr>
                <w:rFonts w:ascii="Arial" w:eastAsia="Times New Roman" w:hAnsi="Arial" w:cs="Arial"/>
                <w:color w:val="000000"/>
                <w:sz w:val="18"/>
                <w:szCs w:val="18"/>
                <w:lang w:val="en-AU"/>
              </w:rPr>
              <w:t> </w:t>
            </w:r>
          </w:p>
          <w:tbl>
            <w:tblPr>
              <w:tblW w:w="5000" w:type="pct"/>
              <w:tblCellSpacing w:w="0" w:type="dxa"/>
              <w:tblCellMar>
                <w:left w:w="0" w:type="dxa"/>
                <w:right w:w="0" w:type="dxa"/>
              </w:tblCellMar>
              <w:tblLook w:val="04A0" w:firstRow="1" w:lastRow="0" w:firstColumn="1" w:lastColumn="0" w:noHBand="0" w:noVBand="1"/>
            </w:tblPr>
            <w:tblGrid>
              <w:gridCol w:w="7208"/>
            </w:tblGrid>
            <w:tr w:rsidR="00F060B6" w:rsidRPr="00F060B6">
              <w:trPr>
                <w:trHeight w:val="420"/>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E4E5E5"/>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6422"/>
                    <w:gridCol w:w="450"/>
                    <w:gridCol w:w="306"/>
                  </w:tblGrid>
                  <w:tr w:rsidR="00F060B6" w:rsidRPr="00F060B6">
                    <w:trPr>
                      <w:tblCellSpacing w:w="0" w:type="dxa"/>
                    </w:trPr>
                    <w:tc>
                      <w:tcPr>
                        <w:tcW w:w="0" w:type="auto"/>
                        <w:vAlign w:val="center"/>
                        <w:hideMark/>
                      </w:tcPr>
                      <w:p w:rsidR="00F060B6" w:rsidRPr="00F060B6" w:rsidRDefault="00F060B6" w:rsidP="00F060B6">
                        <w:pPr>
                          <w:spacing w:before="100" w:beforeAutospacing="1" w:after="100" w:afterAutospacing="1"/>
                          <w:rPr>
                            <w:rFonts w:ascii="Times" w:hAnsi="Times" w:cs="Times New Roman"/>
                            <w:sz w:val="20"/>
                            <w:szCs w:val="20"/>
                            <w:lang w:val="en-AU"/>
                          </w:rPr>
                        </w:pPr>
                        <w:bookmarkStart w:id="42" w:name="7"/>
                        <w:bookmarkEnd w:id="42"/>
                        <w:r w:rsidRPr="00F060B6">
                          <w:rPr>
                            <w:rFonts w:ascii="Arial" w:eastAsia="Times New Roman" w:hAnsi="Arial" w:cs="Arial"/>
                            <w:b/>
                            <w:bCs/>
                            <w:color w:val="000000"/>
                            <w:sz w:val="18"/>
                            <w:szCs w:val="18"/>
                            <w:lang w:val="en-AU"/>
                          </w:rPr>
                          <w:t>5. Contributions</w:t>
                        </w:r>
                      </w:p>
                    </w:tc>
                    <w:tc>
                      <w:tcPr>
                        <w:tcW w:w="450" w:type="dxa"/>
                        <w:vAlign w:val="center"/>
                        <w:hideMark/>
                      </w:tcPr>
                      <w:p w:rsidR="00F060B6" w:rsidRPr="00F060B6" w:rsidRDefault="00F060B6" w:rsidP="00F060B6">
                        <w:pPr>
                          <w:rPr>
                            <w:rFonts w:ascii="Times" w:eastAsia="Times New Roman" w:hAnsi="Times" w:cs="Times New Roman"/>
                            <w:sz w:val="20"/>
                            <w:szCs w:val="20"/>
                            <w:lang w:val="en-AU"/>
                          </w:rPr>
                        </w:pPr>
                      </w:p>
                    </w:tc>
                    <w:tc>
                      <w:tcPr>
                        <w:tcW w:w="180" w:type="dxa"/>
                        <w:tcBorders>
                          <w:top w:val="nil"/>
                          <w:left w:val="single" w:sz="6" w:space="0" w:color="4D4F63"/>
                          <w:bottom w:val="nil"/>
                          <w:right w:val="nil"/>
                        </w:tcBorders>
                        <w:vAlign w:val="center"/>
                        <w:hideMark/>
                      </w:tcPr>
                      <w:p w:rsidR="00F060B6" w:rsidRPr="00F060B6" w:rsidRDefault="00F060B6" w:rsidP="00F060B6">
                        <w:pPr>
                          <w:spacing w:before="100" w:beforeAutospacing="1" w:after="100" w:afterAutospacing="1"/>
                          <w:rPr>
                            <w:rFonts w:ascii="Times" w:hAnsi="Times" w:cs="Times New Roman"/>
                            <w:sz w:val="20"/>
                            <w:szCs w:val="20"/>
                            <w:lang w:val="en-AU"/>
                          </w:rPr>
                        </w:pPr>
                        <w:r w:rsidRPr="00F060B6">
                          <w:rPr>
                            <w:rFonts w:ascii="Arial" w:eastAsia="Times New Roman" w:hAnsi="Arial" w:cs="Arial"/>
                            <w:color w:val="000000"/>
                            <w:sz w:val="18"/>
                            <w:szCs w:val="18"/>
                            <w:lang w:val="en-AU"/>
                          </w:rPr>
                          <w:t> </w:t>
                        </w:r>
                      </w:p>
                    </w:tc>
                  </w:tr>
                </w:tbl>
                <w:p w:rsidR="00F060B6" w:rsidRPr="00F060B6" w:rsidRDefault="00F060B6" w:rsidP="00F060B6">
                  <w:pPr>
                    <w:rPr>
                      <w:rFonts w:ascii="Times" w:eastAsia="Times New Roman" w:hAnsi="Times" w:cs="Times New Roman"/>
                      <w:sz w:val="20"/>
                      <w:szCs w:val="20"/>
                      <w:lang w:val="en-AU"/>
                    </w:rPr>
                  </w:pPr>
                </w:p>
              </w:tc>
            </w:tr>
            <w:tr w:rsidR="00F060B6" w:rsidRPr="00F060B6">
              <w:trPr>
                <w:tblCellSpacing w:w="0" w:type="dxa"/>
              </w:trPr>
              <w:tc>
                <w:tcPr>
                  <w:tcW w:w="0" w:type="auto"/>
                  <w:vAlign w:val="center"/>
                  <w:hideMark/>
                </w:tcPr>
                <w:p w:rsidR="00F060B6" w:rsidRPr="00F060B6" w:rsidRDefault="00F060B6" w:rsidP="00F060B6">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17145"/>
                        <wp:effectExtent l="0" t="0" r="0" b="0"/>
                        <wp:docPr id="21544" name="Picture 21544"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44"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17145"/>
                                </a:xfrm>
                                <a:prstGeom prst="rect">
                                  <a:avLst/>
                                </a:prstGeom>
                                <a:noFill/>
                                <a:ln>
                                  <a:noFill/>
                                </a:ln>
                              </pic:spPr>
                            </pic:pic>
                          </a:graphicData>
                        </a:graphic>
                      </wp:inline>
                    </w:drawing>
                  </w:r>
                </w:p>
              </w:tc>
            </w:tr>
            <w:tr w:rsidR="00F060B6" w:rsidRPr="00F060B6">
              <w:trPr>
                <w:tblCellSpacing w:w="0" w:type="dxa"/>
              </w:trPr>
              <w:tc>
                <w:tcPr>
                  <w:tcW w:w="0" w:type="auto"/>
                  <w:tcBorders>
                    <w:top w:val="single" w:sz="6" w:space="0" w:color="4D4F63"/>
                    <w:left w:val="single" w:sz="6" w:space="0" w:color="4D4F63"/>
                    <w:bottom w:val="single" w:sz="6" w:space="0" w:color="4D4F63"/>
                    <w:right w:val="single" w:sz="6" w:space="0" w:color="4D4F63"/>
                  </w:tcBorders>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7178"/>
                  </w:tblGrid>
                  <w:tr w:rsidR="00F060B6" w:rsidRPr="00F060B6">
                    <w:trPr>
                      <w:tblCellSpacing w:w="0" w:type="dxa"/>
                    </w:trPr>
                    <w:tc>
                      <w:tcPr>
                        <w:tcW w:w="0" w:type="auto"/>
                        <w:hideMark/>
                      </w:tcPr>
                      <w:p w:rsidR="00F060B6" w:rsidRPr="00F060B6" w:rsidRDefault="00F060B6" w:rsidP="00F060B6">
                        <w:pPr>
                          <w:spacing w:before="100" w:beforeAutospacing="1" w:after="100" w:afterAutospacing="1"/>
                          <w:rPr>
                            <w:rFonts w:ascii="Times" w:hAnsi="Times" w:cs="Times New Roman"/>
                            <w:sz w:val="20"/>
                            <w:szCs w:val="20"/>
                            <w:lang w:val="en-AU"/>
                          </w:rPr>
                        </w:pPr>
                        <w:r w:rsidRPr="00F060B6">
                          <w:rPr>
                            <w:rFonts w:ascii="Arial" w:hAnsi="Arial" w:cs="Arial"/>
                            <w:color w:val="000000"/>
                            <w:sz w:val="18"/>
                            <w:szCs w:val="18"/>
                            <w:lang w:val="en-AU"/>
                          </w:rPr>
                          <w:t>If you would like to contribute an article or news item to the Bulletin, please email it to: "</w:t>
                        </w:r>
                        <w:r w:rsidRPr="00F060B6">
                          <w:rPr>
                            <w:rFonts w:ascii="Arial" w:hAnsi="Arial" w:cs="Arial"/>
                            <w:color w:val="000000"/>
                            <w:sz w:val="18"/>
                            <w:szCs w:val="18"/>
                            <w:lang w:val="en-AU"/>
                          </w:rPr>
                          <w:fldChar w:fldCharType="begin"/>
                        </w:r>
                        <w:r w:rsidRPr="00F060B6">
                          <w:rPr>
                            <w:rFonts w:ascii="Arial" w:hAnsi="Arial" w:cs="Arial"/>
                            <w:color w:val="000000"/>
                            <w:sz w:val="18"/>
                            <w:szCs w:val="18"/>
                            <w:lang w:val="en-AU"/>
                          </w:rPr>
                          <w:instrText xml:space="preserve"> HYPERLINK "mailto:cclsr@law.unimelb.edu.au" \t "_new" </w:instrText>
                        </w:r>
                        <w:r w:rsidRPr="00F060B6">
                          <w:rPr>
                            <w:rFonts w:ascii="Arial" w:hAnsi="Arial" w:cs="Arial"/>
                            <w:color w:val="000000"/>
                            <w:sz w:val="18"/>
                            <w:szCs w:val="18"/>
                            <w:lang w:val="en-AU"/>
                          </w:rPr>
                        </w:r>
                        <w:r w:rsidRPr="00F060B6">
                          <w:rPr>
                            <w:rFonts w:ascii="Arial" w:hAnsi="Arial" w:cs="Arial"/>
                            <w:color w:val="000000"/>
                            <w:sz w:val="18"/>
                            <w:szCs w:val="18"/>
                            <w:lang w:val="en-AU"/>
                          </w:rPr>
                          <w:fldChar w:fldCharType="separate"/>
                        </w:r>
                        <w:r w:rsidRPr="00F060B6">
                          <w:rPr>
                            <w:rFonts w:ascii="Arial" w:hAnsi="Arial" w:cs="Arial"/>
                            <w:color w:val="0000FF"/>
                            <w:sz w:val="18"/>
                            <w:szCs w:val="18"/>
                            <w:u w:val="single"/>
                            <w:lang w:val="en-AU"/>
                          </w:rPr>
                          <w:t>cclsr@law.unimelb.edu.au</w:t>
                        </w:r>
                        <w:r w:rsidRPr="00F060B6">
                          <w:rPr>
                            <w:rFonts w:ascii="Arial" w:hAnsi="Arial" w:cs="Arial"/>
                            <w:color w:val="000000"/>
                            <w:sz w:val="18"/>
                            <w:szCs w:val="18"/>
                            <w:lang w:val="en-AU"/>
                          </w:rPr>
                          <w:fldChar w:fldCharType="end"/>
                        </w:r>
                        <w:r w:rsidRPr="00F060B6">
                          <w:rPr>
                            <w:rFonts w:ascii="Arial" w:hAnsi="Arial" w:cs="Arial"/>
                            <w:color w:val="000000"/>
                            <w:sz w:val="18"/>
                            <w:szCs w:val="18"/>
                            <w:lang w:val="en-AU"/>
                          </w:rPr>
                          <w:t>".</w:t>
                        </w:r>
                      </w:p>
                      <w:p w:rsidR="00F060B6" w:rsidRPr="00F060B6" w:rsidRDefault="00F060B6" w:rsidP="00F060B6">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1545" name="Picture 21545" descr="etailed Contents">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45" descr="etailed Contents"/>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F060B6" w:rsidRPr="00F060B6" w:rsidRDefault="00F060B6" w:rsidP="00F060B6">
                  <w:pPr>
                    <w:rPr>
                      <w:rFonts w:ascii="Times" w:eastAsia="Times New Roman" w:hAnsi="Times" w:cs="Times New Roman"/>
                      <w:sz w:val="20"/>
                      <w:szCs w:val="20"/>
                      <w:lang w:val="en-AU"/>
                    </w:rPr>
                  </w:pPr>
                </w:p>
              </w:tc>
            </w:tr>
          </w:tbl>
          <w:p w:rsidR="00F060B6" w:rsidRPr="00F060B6" w:rsidRDefault="00F060B6" w:rsidP="00F060B6">
            <w:pPr>
              <w:rPr>
                <w:rFonts w:ascii="Times" w:eastAsia="Times New Roman" w:hAnsi="Times" w:cs="Times New Roman"/>
                <w:sz w:val="20"/>
                <w:szCs w:val="20"/>
                <w:lang w:val="en-AU"/>
              </w:rPr>
            </w:pPr>
          </w:p>
        </w:tc>
        <w:tc>
          <w:tcPr>
            <w:tcW w:w="405" w:type="dxa"/>
            <w:hideMark/>
          </w:tcPr>
          <w:p w:rsidR="00F060B6" w:rsidRPr="00F060B6" w:rsidRDefault="00F060B6" w:rsidP="00F060B6">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lastRenderedPageBreak/>
              <w:drawing>
                <wp:inline distT="0" distB="0" distL="0" distR="0">
                  <wp:extent cx="341630" cy="59690"/>
                  <wp:effectExtent l="0" t="0" r="0" b="0"/>
                  <wp:docPr id="21546" name="Picture 21546"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46"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F060B6" w:rsidRPr="00F060B6" w:rsidRDefault="00F060B6" w:rsidP="00F060B6">
      <w:pPr>
        <w:spacing w:before="100" w:beforeAutospacing="1" w:after="100" w:afterAutospacing="1"/>
        <w:rPr>
          <w:rFonts w:ascii="Times" w:hAnsi="Times" w:cs="Times New Roman"/>
          <w:sz w:val="20"/>
          <w:szCs w:val="20"/>
          <w:lang w:val="en-AU"/>
        </w:rPr>
      </w:pPr>
      <w:r w:rsidRPr="00F060B6">
        <w:rPr>
          <w:rFonts w:ascii="Times" w:eastAsia="Times New Roman" w:hAnsi="Times" w:cs="Times New Roman"/>
          <w:sz w:val="20"/>
          <w:szCs w:val="20"/>
          <w:lang w:val="en-AU"/>
        </w:rPr>
        <w:lastRenderedPageBreak/>
        <w:t> </w:t>
      </w:r>
    </w:p>
    <w:tbl>
      <w:tblPr>
        <w:tblW w:w="5000" w:type="pct"/>
        <w:tblCellSpacing w:w="0" w:type="dxa"/>
        <w:tblCellMar>
          <w:left w:w="0" w:type="dxa"/>
          <w:right w:w="0" w:type="dxa"/>
        </w:tblCellMar>
        <w:tblLook w:val="04A0" w:firstRow="1" w:lastRow="0" w:firstColumn="1" w:lastColumn="0" w:noHBand="0" w:noVBand="1"/>
      </w:tblPr>
      <w:tblGrid>
        <w:gridCol w:w="538"/>
        <w:gridCol w:w="7224"/>
        <w:gridCol w:w="538"/>
      </w:tblGrid>
      <w:tr w:rsidR="00F060B6" w:rsidRPr="00F060B6" w:rsidTr="00F060B6">
        <w:trPr>
          <w:tblCellSpacing w:w="0" w:type="dxa"/>
        </w:trPr>
        <w:tc>
          <w:tcPr>
            <w:tcW w:w="405" w:type="dxa"/>
            <w:hideMark/>
          </w:tcPr>
          <w:p w:rsidR="00F060B6" w:rsidRPr="00F060B6" w:rsidRDefault="00F060B6" w:rsidP="00F060B6">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21547" name="Picture 21547"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47"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hideMark/>
          </w:tcPr>
          <w:p w:rsidR="00F060B6" w:rsidRPr="00F060B6" w:rsidRDefault="00F060B6" w:rsidP="00F060B6">
            <w:pPr>
              <w:spacing w:before="100" w:beforeAutospacing="1" w:after="240"/>
              <w:jc w:val="center"/>
              <w:rPr>
                <w:rFonts w:ascii="Times" w:hAnsi="Times" w:cs="Times New Roman"/>
                <w:sz w:val="20"/>
                <w:szCs w:val="20"/>
                <w:lang w:val="en-AU"/>
              </w:rPr>
            </w:pPr>
          </w:p>
          <w:p w:rsidR="00F060B6" w:rsidRPr="00F060B6" w:rsidRDefault="00F060B6" w:rsidP="00F060B6">
            <w:pPr>
              <w:jc w:val="center"/>
              <w:rPr>
                <w:rFonts w:ascii="Arial" w:eastAsia="Times New Roman" w:hAnsi="Arial" w:cs="Arial"/>
                <w:color w:val="000000"/>
                <w:sz w:val="18"/>
                <w:szCs w:val="18"/>
                <w:lang w:val="en-AU"/>
              </w:rPr>
            </w:pPr>
            <w:r w:rsidRPr="00F060B6">
              <w:rPr>
                <w:rFonts w:ascii="Arial" w:eastAsia="Times New Roman" w:hAnsi="Arial" w:cs="Arial"/>
                <w:color w:val="000000"/>
                <w:sz w:val="18"/>
                <w:szCs w:val="18"/>
                <w:lang w:val="en-AU"/>
              </w:rPr>
              <w:pict>
                <v:rect id="_x0000_i22572" style="width:415pt;height:1pt" o:hralign="center" o:hrstd="t" o:hrnoshade="t" o:hr="t" fillcolor="#a0a0a0" stroked="f"/>
              </w:pict>
            </w:r>
          </w:p>
          <w:tbl>
            <w:tblPr>
              <w:tblW w:w="5000" w:type="pct"/>
              <w:jc w:val="center"/>
              <w:tblCellSpacing w:w="0" w:type="dxa"/>
              <w:tblCellMar>
                <w:top w:w="120" w:type="dxa"/>
                <w:left w:w="120" w:type="dxa"/>
                <w:bottom w:w="120" w:type="dxa"/>
                <w:right w:w="120" w:type="dxa"/>
              </w:tblCellMar>
              <w:tblLook w:val="04A0" w:firstRow="1" w:lastRow="0" w:firstColumn="1" w:lastColumn="0" w:noHBand="0" w:noVBand="1"/>
            </w:tblPr>
            <w:tblGrid>
              <w:gridCol w:w="7224"/>
            </w:tblGrid>
            <w:tr w:rsidR="00F060B6" w:rsidRPr="00F060B6">
              <w:trPr>
                <w:tblCellSpacing w:w="0" w:type="dxa"/>
                <w:jc w:val="center"/>
              </w:trPr>
              <w:tc>
                <w:tcPr>
                  <w:tcW w:w="0" w:type="auto"/>
                  <w:hideMark/>
                </w:tcPr>
                <w:p w:rsidR="00F060B6" w:rsidRPr="00F060B6" w:rsidRDefault="00F060B6" w:rsidP="00F060B6">
                  <w:pPr>
                    <w:spacing w:before="100" w:beforeAutospacing="1" w:after="100" w:afterAutospacing="1"/>
                    <w:rPr>
                      <w:rFonts w:ascii="Times" w:hAnsi="Times" w:cs="Times New Roman"/>
                      <w:sz w:val="20"/>
                      <w:szCs w:val="20"/>
                      <w:lang w:val="en-AU"/>
                    </w:rPr>
                  </w:pPr>
                  <w:r w:rsidRPr="00F060B6">
                    <w:rPr>
                      <w:rFonts w:ascii="Arial" w:hAnsi="Arial" w:cs="Arial"/>
                      <w:b/>
                      <w:bCs/>
                      <w:color w:val="C4262E"/>
                      <w:sz w:val="20"/>
                      <w:szCs w:val="20"/>
                      <w:lang w:val="en-AU"/>
                    </w:rPr>
                    <w:t>DISCLAIMER</w:t>
                  </w:r>
                  <w:r w:rsidRPr="00F060B6">
                    <w:rPr>
                      <w:rFonts w:ascii="Arial" w:hAnsi="Arial" w:cs="Arial"/>
                      <w:color w:val="000000"/>
                      <w:sz w:val="20"/>
                      <w:szCs w:val="20"/>
                      <w:lang w:val="en-AU"/>
                    </w:rPr>
                    <w:br/>
                    <w:t xml:space="preserve">This email alert is not intended to be and is not a complete or definitive statement of the law on the relevant subject matter. No person should take any action or refrain from taking any action in reliance upon the contents of this alert without first obtaining advice from a qualified practitioner. SAI Global expressly disclaims liability for any loss or damage suffered howsoever caused whether due to negligence or otherwise arising from the use of this information. For further information or if you have received this notice in error or believe that the email has been forwarded to you in breach of our licence terms, please notify SAI Global immediately by telephone on 03 9278 1555 or email </w:t>
                  </w:r>
                  <w:hyperlink r:id="rId78" w:history="1">
                    <w:r w:rsidRPr="00F060B6">
                      <w:rPr>
                        <w:rFonts w:ascii="Arial" w:hAnsi="Arial" w:cs="Arial"/>
                        <w:color w:val="0000FF"/>
                        <w:sz w:val="20"/>
                        <w:szCs w:val="20"/>
                        <w:u w:val="single"/>
                        <w:lang w:val="en-AU"/>
                      </w:rPr>
                      <w:t>helpdesk.asiapac@saiglobal.com</w:t>
                    </w:r>
                  </w:hyperlink>
                  <w:r w:rsidRPr="00F060B6">
                    <w:rPr>
                      <w:rFonts w:ascii="Arial" w:hAnsi="Arial" w:cs="Arial"/>
                      <w:color w:val="000000"/>
                      <w:sz w:val="20"/>
                      <w:szCs w:val="20"/>
                      <w:lang w:val="en-AU"/>
                    </w:rPr>
                    <w:t>.</w:t>
                  </w:r>
                </w:p>
              </w:tc>
            </w:tr>
          </w:tbl>
          <w:p w:rsidR="00F060B6" w:rsidRPr="00F060B6" w:rsidRDefault="00F060B6" w:rsidP="00F060B6">
            <w:pPr>
              <w:jc w:val="center"/>
              <w:rPr>
                <w:rFonts w:ascii="Times" w:eastAsia="Times New Roman" w:hAnsi="Times" w:cs="Times New Roman"/>
                <w:sz w:val="20"/>
                <w:szCs w:val="20"/>
                <w:lang w:val="en-AU"/>
              </w:rPr>
            </w:pPr>
          </w:p>
        </w:tc>
        <w:tc>
          <w:tcPr>
            <w:tcW w:w="405" w:type="dxa"/>
            <w:hideMark/>
          </w:tcPr>
          <w:p w:rsidR="00F060B6" w:rsidRPr="00F060B6" w:rsidRDefault="00F060B6" w:rsidP="00F060B6">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21549" name="Picture 21549"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49"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r w:rsidR="00F060B6" w:rsidRPr="00F060B6" w:rsidTr="00F060B6">
        <w:trPr>
          <w:tblCellSpacing w:w="0" w:type="dxa"/>
        </w:trPr>
        <w:tc>
          <w:tcPr>
            <w:tcW w:w="0" w:type="auto"/>
            <w:gridSpan w:val="3"/>
            <w:vAlign w:val="center"/>
            <w:hideMark/>
          </w:tcPr>
          <w:p w:rsidR="00F060B6" w:rsidRPr="00F060B6" w:rsidRDefault="00F060B6" w:rsidP="00F060B6">
            <w:pPr>
              <w:spacing w:before="100" w:beforeAutospacing="1" w:after="100" w:afterAutospacing="1"/>
              <w:rPr>
                <w:rFonts w:ascii="Times" w:hAnsi="Times" w:cs="Times New Roman"/>
                <w:sz w:val="20"/>
                <w:szCs w:val="20"/>
                <w:lang w:val="en-AU"/>
              </w:rPr>
            </w:pPr>
            <w:r w:rsidRPr="00F060B6">
              <w:rPr>
                <w:rFonts w:ascii="Arial" w:eastAsia="Times New Roman" w:hAnsi="Arial" w:cs="Arial"/>
                <w:color w:val="000000"/>
                <w:sz w:val="18"/>
                <w:szCs w:val="18"/>
                <w:lang w:val="en-AU"/>
              </w:rPr>
              <w:t> </w:t>
            </w:r>
          </w:p>
        </w:tc>
      </w:tr>
      <w:tr w:rsidR="00F060B6" w:rsidRPr="00F060B6" w:rsidTr="00F060B6">
        <w:trPr>
          <w:trHeight w:val="405"/>
          <w:tblCellSpacing w:w="0" w:type="dxa"/>
        </w:trPr>
        <w:tc>
          <w:tcPr>
            <w:tcW w:w="0" w:type="auto"/>
            <w:gridSpan w:val="3"/>
            <w:tcBorders>
              <w:top w:val="single" w:sz="6" w:space="0" w:color="D12228"/>
              <w:left w:val="nil"/>
              <w:bottom w:val="nil"/>
              <w:right w:val="nil"/>
            </w:tcBorders>
            <w:shd w:val="clear" w:color="auto" w:fill="4D4F63"/>
            <w:vAlign w:val="center"/>
            <w:hideMark/>
          </w:tcPr>
          <w:tbl>
            <w:tblPr>
              <w:tblW w:w="5000" w:type="pct"/>
              <w:tblCellSpacing w:w="0" w:type="dxa"/>
              <w:tblCellMar>
                <w:left w:w="0" w:type="dxa"/>
                <w:right w:w="0" w:type="dxa"/>
              </w:tblCellMar>
              <w:tblLook w:val="04A0" w:firstRow="1" w:lastRow="0" w:firstColumn="1" w:lastColumn="0" w:noHBand="0" w:noVBand="1"/>
            </w:tblPr>
            <w:tblGrid>
              <w:gridCol w:w="538"/>
              <w:gridCol w:w="7224"/>
              <w:gridCol w:w="538"/>
            </w:tblGrid>
            <w:tr w:rsidR="00F060B6" w:rsidRPr="00F060B6">
              <w:trPr>
                <w:tblCellSpacing w:w="0" w:type="dxa"/>
              </w:trPr>
              <w:tc>
                <w:tcPr>
                  <w:tcW w:w="405" w:type="dxa"/>
                  <w:vAlign w:val="center"/>
                  <w:hideMark/>
                </w:tcPr>
                <w:p w:rsidR="00F060B6" w:rsidRPr="00F060B6" w:rsidRDefault="00F060B6" w:rsidP="00F060B6">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21550" name="Picture 21550"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50"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vAlign w:val="center"/>
                  <w:hideMark/>
                </w:tcPr>
                <w:p w:rsidR="00F060B6" w:rsidRPr="00F060B6" w:rsidRDefault="00F060B6" w:rsidP="00F060B6">
                  <w:pPr>
                    <w:spacing w:before="100" w:beforeAutospacing="1" w:after="100" w:afterAutospacing="1"/>
                    <w:rPr>
                      <w:rFonts w:ascii="Times" w:hAnsi="Times" w:cs="Times New Roman"/>
                      <w:sz w:val="20"/>
                      <w:szCs w:val="20"/>
                      <w:lang w:val="en-AU"/>
                    </w:rPr>
                  </w:pPr>
                  <w:r w:rsidRPr="00F060B6">
                    <w:rPr>
                      <w:rFonts w:ascii="Arial" w:eastAsia="Times New Roman" w:hAnsi="Arial" w:cs="Arial"/>
                      <w:sz w:val="15"/>
                      <w:szCs w:val="15"/>
                      <w:lang w:val="en-AU"/>
                    </w:rPr>
                    <w:t xml:space="preserve">Copyright © 2012, Anstat Pty Ltd an SAI Global Company ACN 115 133 152. All rights reserved. </w:t>
                  </w:r>
                </w:p>
              </w:tc>
              <w:tc>
                <w:tcPr>
                  <w:tcW w:w="405" w:type="dxa"/>
                  <w:vAlign w:val="center"/>
                  <w:hideMark/>
                </w:tcPr>
                <w:p w:rsidR="00F060B6" w:rsidRPr="00F060B6" w:rsidRDefault="00F060B6" w:rsidP="00F060B6">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21551" name="Picture 21551"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51"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F060B6" w:rsidRPr="00F060B6" w:rsidRDefault="00F060B6" w:rsidP="00F060B6">
            <w:pPr>
              <w:rPr>
                <w:rFonts w:ascii="Times" w:eastAsia="Times New Roman" w:hAnsi="Times" w:cs="Times New Roman"/>
                <w:sz w:val="20"/>
                <w:szCs w:val="20"/>
                <w:lang w:val="en-AU"/>
              </w:rPr>
            </w:pPr>
          </w:p>
        </w:tc>
      </w:tr>
    </w:tbl>
    <w:p w:rsidR="00F060B6" w:rsidRPr="00F060B6" w:rsidRDefault="00F060B6" w:rsidP="00F060B6">
      <w:pPr>
        <w:spacing w:before="100" w:beforeAutospacing="1" w:after="100" w:afterAutospacing="1"/>
        <w:jc w:val="center"/>
        <w:rPr>
          <w:rFonts w:ascii="Times" w:hAnsi="Times" w:cs="Times New Roman"/>
          <w:sz w:val="20"/>
          <w:szCs w:val="20"/>
          <w:lang w:val="en-AU"/>
        </w:rPr>
      </w:pPr>
      <w:r w:rsidRPr="00F060B6">
        <w:rPr>
          <w:rFonts w:ascii="Verdana" w:eastAsia="Times New Roman" w:hAnsi="Verdana" w:cs="Times New Roman"/>
          <w:color w:val="000000"/>
          <w:sz w:val="15"/>
          <w:szCs w:val="15"/>
          <w:lang w:val="en-AU"/>
        </w:rPr>
        <w:t>Sent to : i.ramsay@unimelb.edu.au</w:t>
      </w:r>
    </w:p>
    <w:p w:rsidR="00163FD6" w:rsidRPr="00F060B6" w:rsidRDefault="00163FD6" w:rsidP="00F060B6">
      <w:bookmarkStart w:id="43" w:name="_GoBack"/>
      <w:bookmarkEnd w:id="43"/>
    </w:p>
    <w:sectPr w:rsidR="00163FD6" w:rsidRPr="00F060B6"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mbria Math">
    <w:panose1 w:val="02040503050406030204"/>
    <w:charset w:val="00"/>
    <w:family w:val="auto"/>
    <w:pitch w:val="variable"/>
    <w:sig w:usb0="E00002FF" w:usb1="42002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083"/>
    <w:rsid w:val="00006876"/>
    <w:rsid w:val="000376E2"/>
    <w:rsid w:val="00056C73"/>
    <w:rsid w:val="000963D7"/>
    <w:rsid w:val="000F6676"/>
    <w:rsid w:val="00104BE5"/>
    <w:rsid w:val="00124C71"/>
    <w:rsid w:val="00163FD6"/>
    <w:rsid w:val="00182874"/>
    <w:rsid w:val="001E2C35"/>
    <w:rsid w:val="00237050"/>
    <w:rsid w:val="00253CE2"/>
    <w:rsid w:val="00253D7A"/>
    <w:rsid w:val="00266406"/>
    <w:rsid w:val="002C395A"/>
    <w:rsid w:val="002C5FB7"/>
    <w:rsid w:val="003270E0"/>
    <w:rsid w:val="00396183"/>
    <w:rsid w:val="00430413"/>
    <w:rsid w:val="0048351B"/>
    <w:rsid w:val="004922D5"/>
    <w:rsid w:val="004A112D"/>
    <w:rsid w:val="004B62BE"/>
    <w:rsid w:val="00524E4E"/>
    <w:rsid w:val="00534D6D"/>
    <w:rsid w:val="00561285"/>
    <w:rsid w:val="00591E0D"/>
    <w:rsid w:val="00593E73"/>
    <w:rsid w:val="005B5882"/>
    <w:rsid w:val="005B77AE"/>
    <w:rsid w:val="005D5164"/>
    <w:rsid w:val="006F4299"/>
    <w:rsid w:val="0071357D"/>
    <w:rsid w:val="0071687E"/>
    <w:rsid w:val="007B3036"/>
    <w:rsid w:val="007C2BE2"/>
    <w:rsid w:val="007E1223"/>
    <w:rsid w:val="00813465"/>
    <w:rsid w:val="00834983"/>
    <w:rsid w:val="0085150A"/>
    <w:rsid w:val="00864736"/>
    <w:rsid w:val="008833F8"/>
    <w:rsid w:val="008A66E8"/>
    <w:rsid w:val="008C0896"/>
    <w:rsid w:val="00953F59"/>
    <w:rsid w:val="009C079E"/>
    <w:rsid w:val="009C72AE"/>
    <w:rsid w:val="00A429FE"/>
    <w:rsid w:val="00A726E6"/>
    <w:rsid w:val="00AD3D43"/>
    <w:rsid w:val="00AF05C9"/>
    <w:rsid w:val="00B138C7"/>
    <w:rsid w:val="00B550F4"/>
    <w:rsid w:val="00BD1A31"/>
    <w:rsid w:val="00BD6A71"/>
    <w:rsid w:val="00BE2F24"/>
    <w:rsid w:val="00BE3C3B"/>
    <w:rsid w:val="00BE6083"/>
    <w:rsid w:val="00C005A1"/>
    <w:rsid w:val="00C27B2F"/>
    <w:rsid w:val="00C313E1"/>
    <w:rsid w:val="00CC02C5"/>
    <w:rsid w:val="00CD4388"/>
    <w:rsid w:val="00D061A1"/>
    <w:rsid w:val="00D25FE9"/>
    <w:rsid w:val="00D31EFB"/>
    <w:rsid w:val="00D51C4C"/>
    <w:rsid w:val="00D545A4"/>
    <w:rsid w:val="00D8750E"/>
    <w:rsid w:val="00DA672F"/>
    <w:rsid w:val="00DE6630"/>
    <w:rsid w:val="00DF0932"/>
    <w:rsid w:val="00E3089D"/>
    <w:rsid w:val="00E51A7F"/>
    <w:rsid w:val="00E54786"/>
    <w:rsid w:val="00E80ACE"/>
    <w:rsid w:val="00EC40F5"/>
    <w:rsid w:val="00EE641F"/>
    <w:rsid w:val="00F060B6"/>
    <w:rsid w:val="00F915C8"/>
    <w:rsid w:val="00FB3687"/>
    <w:rsid w:val="00FC48A1"/>
    <w:rsid w:val="00FF77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912D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0932"/>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DF0932"/>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DF0932"/>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BE6083"/>
  </w:style>
  <w:style w:type="paragraph" w:styleId="NormalWeb">
    <w:name w:val="Normal (Web)"/>
    <w:basedOn w:val="Normal"/>
    <w:uiPriority w:val="99"/>
    <w:unhideWhenUsed/>
    <w:rsid w:val="00BE608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BE6083"/>
    <w:rPr>
      <w:color w:val="0000FF"/>
      <w:u w:val="single"/>
    </w:rPr>
  </w:style>
  <w:style w:type="character" w:styleId="FollowedHyperlink">
    <w:name w:val="FollowedHyperlink"/>
    <w:basedOn w:val="DefaultParagraphFont"/>
    <w:uiPriority w:val="99"/>
    <w:semiHidden/>
    <w:unhideWhenUsed/>
    <w:rsid w:val="00BE6083"/>
    <w:rPr>
      <w:color w:val="800080"/>
      <w:u w:val="single"/>
    </w:rPr>
  </w:style>
  <w:style w:type="paragraph" w:styleId="BalloonText">
    <w:name w:val="Balloon Text"/>
    <w:basedOn w:val="Normal"/>
    <w:link w:val="BalloonTextChar"/>
    <w:uiPriority w:val="99"/>
    <w:semiHidden/>
    <w:unhideWhenUsed/>
    <w:rsid w:val="00E51A7F"/>
    <w:rPr>
      <w:rFonts w:ascii="Lucida Grande" w:hAnsi="Lucida Grande"/>
      <w:sz w:val="18"/>
      <w:szCs w:val="18"/>
    </w:rPr>
  </w:style>
  <w:style w:type="character" w:customStyle="1" w:styleId="BalloonTextChar">
    <w:name w:val="Balloon Text Char"/>
    <w:basedOn w:val="DefaultParagraphFont"/>
    <w:link w:val="BalloonText"/>
    <w:uiPriority w:val="99"/>
    <w:semiHidden/>
    <w:rsid w:val="00E51A7F"/>
    <w:rPr>
      <w:rFonts w:ascii="Lucida Grande" w:hAnsi="Lucida Grande"/>
      <w:sz w:val="18"/>
      <w:szCs w:val="18"/>
    </w:rPr>
  </w:style>
  <w:style w:type="character" w:customStyle="1" w:styleId="Heading1Char">
    <w:name w:val="Heading 1 Char"/>
    <w:basedOn w:val="DefaultParagraphFont"/>
    <w:link w:val="Heading1"/>
    <w:uiPriority w:val="9"/>
    <w:rsid w:val="00DF0932"/>
    <w:rPr>
      <w:rFonts w:ascii="Times" w:hAnsi="Times"/>
      <w:b/>
      <w:bCs/>
      <w:kern w:val="36"/>
      <w:sz w:val="48"/>
      <w:szCs w:val="48"/>
      <w:lang w:val="en-AU"/>
    </w:rPr>
  </w:style>
  <w:style w:type="character" w:customStyle="1" w:styleId="Heading2Char">
    <w:name w:val="Heading 2 Char"/>
    <w:basedOn w:val="DefaultParagraphFont"/>
    <w:link w:val="Heading2"/>
    <w:uiPriority w:val="9"/>
    <w:rsid w:val="00DF0932"/>
    <w:rPr>
      <w:rFonts w:ascii="Times" w:hAnsi="Times"/>
      <w:b/>
      <w:bCs/>
      <w:sz w:val="36"/>
      <w:szCs w:val="36"/>
      <w:lang w:val="en-AU"/>
    </w:rPr>
  </w:style>
  <w:style w:type="character" w:customStyle="1" w:styleId="Heading3Char">
    <w:name w:val="Heading 3 Char"/>
    <w:basedOn w:val="DefaultParagraphFont"/>
    <w:link w:val="Heading3"/>
    <w:uiPriority w:val="9"/>
    <w:rsid w:val="00DF0932"/>
    <w:rPr>
      <w:rFonts w:ascii="Times" w:hAnsi="Times"/>
      <w:b/>
      <w:bCs/>
      <w:sz w:val="27"/>
      <w:szCs w:val="27"/>
      <w:lang w:val="en-AU"/>
    </w:rPr>
  </w:style>
  <w:style w:type="paragraph" w:customStyle="1" w:styleId="default">
    <w:name w:val="default"/>
    <w:basedOn w:val="Normal"/>
    <w:rsid w:val="00DF0932"/>
    <w:pPr>
      <w:spacing w:before="100" w:beforeAutospacing="1" w:after="100" w:afterAutospacing="1"/>
    </w:pPr>
    <w:rPr>
      <w:rFonts w:ascii="Times" w:hAnsi="Times"/>
      <w:sz w:val="20"/>
      <w:szCs w:val="20"/>
      <w:lang w:val="en-AU"/>
    </w:rPr>
  </w:style>
  <w:style w:type="character" w:styleId="Emphasis">
    <w:name w:val="Emphasis"/>
    <w:basedOn w:val="DefaultParagraphFont"/>
    <w:uiPriority w:val="20"/>
    <w:qFormat/>
    <w:rsid w:val="00DF0932"/>
    <w:rPr>
      <w:i/>
      <w:iCs/>
    </w:rPr>
  </w:style>
  <w:style w:type="paragraph" w:customStyle="1" w:styleId="proxyaustraliatext">
    <w:name w:val="proxyaustraliatext"/>
    <w:basedOn w:val="Normal"/>
    <w:rsid w:val="00DF0932"/>
    <w:pPr>
      <w:spacing w:before="100" w:beforeAutospacing="1" w:after="100" w:afterAutospacing="1"/>
    </w:pPr>
    <w:rPr>
      <w:rFonts w:ascii="Times" w:hAnsi="Times"/>
      <w:sz w:val="20"/>
      <w:szCs w:val="20"/>
      <w:lang w:val="en-AU"/>
    </w:rPr>
  </w:style>
  <w:style w:type="paragraph" w:styleId="PlainText">
    <w:name w:val="Plain Text"/>
    <w:basedOn w:val="Normal"/>
    <w:link w:val="Plain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PlainTextChar">
    <w:name w:val="Plain Text Char"/>
    <w:basedOn w:val="DefaultParagraphFont"/>
    <w:link w:val="PlainText"/>
    <w:uiPriority w:val="99"/>
    <w:semiHidden/>
    <w:rsid w:val="00DF0932"/>
    <w:rPr>
      <w:rFonts w:ascii="Times" w:hAnsi="Times"/>
      <w:sz w:val="20"/>
      <w:szCs w:val="20"/>
      <w:lang w:val="en-AU"/>
    </w:rPr>
  </w:style>
  <w:style w:type="paragraph" w:styleId="BodyText2">
    <w:name w:val="Body Text 2"/>
    <w:basedOn w:val="Normal"/>
    <w:link w:val="BodyText2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DF0932"/>
    <w:rPr>
      <w:rFonts w:ascii="Times" w:hAnsi="Times"/>
      <w:sz w:val="20"/>
      <w:szCs w:val="20"/>
      <w:lang w:val="en-AU"/>
    </w:rPr>
  </w:style>
  <w:style w:type="paragraph" w:styleId="ListBullet">
    <w:name w:val="List Bullet"/>
    <w:basedOn w:val="Normal"/>
    <w:uiPriority w:val="99"/>
    <w:semiHidden/>
    <w:unhideWhenUsed/>
    <w:rsid w:val="00DF0932"/>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DF0932"/>
    <w:pPr>
      <w:spacing w:before="100" w:beforeAutospacing="1" w:after="100" w:afterAutospacing="1"/>
    </w:pPr>
    <w:rPr>
      <w:rFonts w:ascii="Times" w:hAnsi="Times"/>
      <w:sz w:val="20"/>
      <w:szCs w:val="20"/>
      <w:lang w:val="en-AU"/>
    </w:rPr>
  </w:style>
  <w:style w:type="paragraph" w:styleId="BodyText">
    <w:name w:val="Body Text"/>
    <w:basedOn w:val="Normal"/>
    <w:link w:val="Body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
    <w:uiPriority w:val="99"/>
    <w:semiHidden/>
    <w:rsid w:val="00DF0932"/>
    <w:rPr>
      <w:rFonts w:ascii="Times" w:hAnsi="Times"/>
      <w:sz w:val="20"/>
      <w:szCs w:val="20"/>
      <w:lang w:val="en-AU"/>
    </w:rPr>
  </w:style>
  <w:style w:type="character" w:styleId="Strong">
    <w:name w:val="Strong"/>
    <w:basedOn w:val="DefaultParagraphFont"/>
    <w:uiPriority w:val="22"/>
    <w:qFormat/>
    <w:rsid w:val="0048351B"/>
    <w:rPr>
      <w:b/>
      <w:bCs/>
    </w:rPr>
  </w:style>
  <w:style w:type="character" w:customStyle="1" w:styleId="style7">
    <w:name w:val="style7"/>
    <w:basedOn w:val="DefaultParagraphFont"/>
    <w:rsid w:val="0048351B"/>
  </w:style>
  <w:style w:type="character" w:customStyle="1" w:styleId="style2">
    <w:name w:val="style2"/>
    <w:basedOn w:val="DefaultParagraphFont"/>
    <w:rsid w:val="0048351B"/>
  </w:style>
  <w:style w:type="character" w:customStyle="1" w:styleId="style1">
    <w:name w:val="style1"/>
    <w:basedOn w:val="DefaultParagraphFont"/>
    <w:rsid w:val="0048351B"/>
  </w:style>
  <w:style w:type="character" w:customStyle="1" w:styleId="style13">
    <w:name w:val="style13"/>
    <w:basedOn w:val="DefaultParagraphFont"/>
    <w:rsid w:val="0048351B"/>
  </w:style>
  <w:style w:type="character" w:customStyle="1" w:styleId="style3">
    <w:name w:val="style3"/>
    <w:basedOn w:val="DefaultParagraphFont"/>
    <w:rsid w:val="0048351B"/>
  </w:style>
  <w:style w:type="character" w:customStyle="1" w:styleId="style5">
    <w:name w:val="style5"/>
    <w:basedOn w:val="DefaultParagraphFont"/>
    <w:rsid w:val="0048351B"/>
  </w:style>
  <w:style w:type="character" w:customStyle="1" w:styleId="style4">
    <w:name w:val="style4"/>
    <w:basedOn w:val="DefaultParagraphFont"/>
    <w:rsid w:val="0048351B"/>
  </w:style>
  <w:style w:type="paragraph" w:customStyle="1" w:styleId="style12">
    <w:name w:val="style12"/>
    <w:basedOn w:val="Normal"/>
    <w:rsid w:val="0048351B"/>
    <w:pPr>
      <w:spacing w:before="100" w:beforeAutospacing="1" w:after="100" w:afterAutospacing="1"/>
    </w:pPr>
    <w:rPr>
      <w:rFonts w:ascii="Times" w:hAnsi="Times"/>
      <w:sz w:val="20"/>
      <w:szCs w:val="20"/>
      <w:lang w:val="en-AU"/>
    </w:rPr>
  </w:style>
  <w:style w:type="character" w:customStyle="1" w:styleId="style11">
    <w:name w:val="style11"/>
    <w:basedOn w:val="DefaultParagraphFont"/>
    <w:rsid w:val="0048351B"/>
  </w:style>
  <w:style w:type="paragraph" w:customStyle="1" w:styleId="style6">
    <w:name w:val="style6"/>
    <w:basedOn w:val="Normal"/>
    <w:rsid w:val="00C005A1"/>
    <w:pPr>
      <w:spacing w:before="100" w:beforeAutospacing="1" w:after="100" w:afterAutospacing="1"/>
    </w:pPr>
    <w:rPr>
      <w:rFonts w:ascii="Times" w:hAnsi="Times"/>
      <w:sz w:val="20"/>
      <w:szCs w:val="20"/>
      <w:lang w:val="en-AU"/>
    </w:rPr>
  </w:style>
  <w:style w:type="character" w:customStyle="1" w:styleId="style111">
    <w:name w:val="style111"/>
    <w:basedOn w:val="DefaultParagraphFont"/>
    <w:rsid w:val="00953F59"/>
  </w:style>
  <w:style w:type="character" w:customStyle="1" w:styleId="style71">
    <w:name w:val="style71"/>
    <w:basedOn w:val="DefaultParagraphFont"/>
    <w:rsid w:val="00BE2F24"/>
  </w:style>
  <w:style w:type="character" w:customStyle="1" w:styleId="style21">
    <w:name w:val="style21"/>
    <w:basedOn w:val="DefaultParagraphFont"/>
    <w:rsid w:val="00BE2F24"/>
  </w:style>
  <w:style w:type="character" w:customStyle="1" w:styleId="style14">
    <w:name w:val="style14"/>
    <w:basedOn w:val="DefaultParagraphFont"/>
    <w:rsid w:val="00BE2F24"/>
  </w:style>
  <w:style w:type="character" w:customStyle="1" w:styleId="style51">
    <w:name w:val="style51"/>
    <w:basedOn w:val="DefaultParagraphFont"/>
    <w:rsid w:val="00BE2F24"/>
  </w:style>
  <w:style w:type="character" w:customStyle="1" w:styleId="style41">
    <w:name w:val="style41"/>
    <w:basedOn w:val="DefaultParagraphFont"/>
    <w:rsid w:val="00BE2F24"/>
  </w:style>
  <w:style w:type="character" w:customStyle="1" w:styleId="style131">
    <w:name w:val="style131"/>
    <w:basedOn w:val="DefaultParagraphFont"/>
    <w:rsid w:val="00BE2F2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0932"/>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DF0932"/>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DF0932"/>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BE6083"/>
  </w:style>
  <w:style w:type="paragraph" w:styleId="NormalWeb">
    <w:name w:val="Normal (Web)"/>
    <w:basedOn w:val="Normal"/>
    <w:uiPriority w:val="99"/>
    <w:unhideWhenUsed/>
    <w:rsid w:val="00BE608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BE6083"/>
    <w:rPr>
      <w:color w:val="0000FF"/>
      <w:u w:val="single"/>
    </w:rPr>
  </w:style>
  <w:style w:type="character" w:styleId="FollowedHyperlink">
    <w:name w:val="FollowedHyperlink"/>
    <w:basedOn w:val="DefaultParagraphFont"/>
    <w:uiPriority w:val="99"/>
    <w:semiHidden/>
    <w:unhideWhenUsed/>
    <w:rsid w:val="00BE6083"/>
    <w:rPr>
      <w:color w:val="800080"/>
      <w:u w:val="single"/>
    </w:rPr>
  </w:style>
  <w:style w:type="paragraph" w:styleId="BalloonText">
    <w:name w:val="Balloon Text"/>
    <w:basedOn w:val="Normal"/>
    <w:link w:val="BalloonTextChar"/>
    <w:uiPriority w:val="99"/>
    <w:semiHidden/>
    <w:unhideWhenUsed/>
    <w:rsid w:val="00E51A7F"/>
    <w:rPr>
      <w:rFonts w:ascii="Lucida Grande" w:hAnsi="Lucida Grande"/>
      <w:sz w:val="18"/>
      <w:szCs w:val="18"/>
    </w:rPr>
  </w:style>
  <w:style w:type="character" w:customStyle="1" w:styleId="BalloonTextChar">
    <w:name w:val="Balloon Text Char"/>
    <w:basedOn w:val="DefaultParagraphFont"/>
    <w:link w:val="BalloonText"/>
    <w:uiPriority w:val="99"/>
    <w:semiHidden/>
    <w:rsid w:val="00E51A7F"/>
    <w:rPr>
      <w:rFonts w:ascii="Lucida Grande" w:hAnsi="Lucida Grande"/>
      <w:sz w:val="18"/>
      <w:szCs w:val="18"/>
    </w:rPr>
  </w:style>
  <w:style w:type="character" w:customStyle="1" w:styleId="Heading1Char">
    <w:name w:val="Heading 1 Char"/>
    <w:basedOn w:val="DefaultParagraphFont"/>
    <w:link w:val="Heading1"/>
    <w:uiPriority w:val="9"/>
    <w:rsid w:val="00DF0932"/>
    <w:rPr>
      <w:rFonts w:ascii="Times" w:hAnsi="Times"/>
      <w:b/>
      <w:bCs/>
      <w:kern w:val="36"/>
      <w:sz w:val="48"/>
      <w:szCs w:val="48"/>
      <w:lang w:val="en-AU"/>
    </w:rPr>
  </w:style>
  <w:style w:type="character" w:customStyle="1" w:styleId="Heading2Char">
    <w:name w:val="Heading 2 Char"/>
    <w:basedOn w:val="DefaultParagraphFont"/>
    <w:link w:val="Heading2"/>
    <w:uiPriority w:val="9"/>
    <w:rsid w:val="00DF0932"/>
    <w:rPr>
      <w:rFonts w:ascii="Times" w:hAnsi="Times"/>
      <w:b/>
      <w:bCs/>
      <w:sz w:val="36"/>
      <w:szCs w:val="36"/>
      <w:lang w:val="en-AU"/>
    </w:rPr>
  </w:style>
  <w:style w:type="character" w:customStyle="1" w:styleId="Heading3Char">
    <w:name w:val="Heading 3 Char"/>
    <w:basedOn w:val="DefaultParagraphFont"/>
    <w:link w:val="Heading3"/>
    <w:uiPriority w:val="9"/>
    <w:rsid w:val="00DF0932"/>
    <w:rPr>
      <w:rFonts w:ascii="Times" w:hAnsi="Times"/>
      <w:b/>
      <w:bCs/>
      <w:sz w:val="27"/>
      <w:szCs w:val="27"/>
      <w:lang w:val="en-AU"/>
    </w:rPr>
  </w:style>
  <w:style w:type="paragraph" w:customStyle="1" w:styleId="default">
    <w:name w:val="default"/>
    <w:basedOn w:val="Normal"/>
    <w:rsid w:val="00DF0932"/>
    <w:pPr>
      <w:spacing w:before="100" w:beforeAutospacing="1" w:after="100" w:afterAutospacing="1"/>
    </w:pPr>
    <w:rPr>
      <w:rFonts w:ascii="Times" w:hAnsi="Times"/>
      <w:sz w:val="20"/>
      <w:szCs w:val="20"/>
      <w:lang w:val="en-AU"/>
    </w:rPr>
  </w:style>
  <w:style w:type="character" w:styleId="Emphasis">
    <w:name w:val="Emphasis"/>
    <w:basedOn w:val="DefaultParagraphFont"/>
    <w:uiPriority w:val="20"/>
    <w:qFormat/>
    <w:rsid w:val="00DF0932"/>
    <w:rPr>
      <w:i/>
      <w:iCs/>
    </w:rPr>
  </w:style>
  <w:style w:type="paragraph" w:customStyle="1" w:styleId="proxyaustraliatext">
    <w:name w:val="proxyaustraliatext"/>
    <w:basedOn w:val="Normal"/>
    <w:rsid w:val="00DF0932"/>
    <w:pPr>
      <w:spacing w:before="100" w:beforeAutospacing="1" w:after="100" w:afterAutospacing="1"/>
    </w:pPr>
    <w:rPr>
      <w:rFonts w:ascii="Times" w:hAnsi="Times"/>
      <w:sz w:val="20"/>
      <w:szCs w:val="20"/>
      <w:lang w:val="en-AU"/>
    </w:rPr>
  </w:style>
  <w:style w:type="paragraph" w:styleId="PlainText">
    <w:name w:val="Plain Text"/>
    <w:basedOn w:val="Normal"/>
    <w:link w:val="Plain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PlainTextChar">
    <w:name w:val="Plain Text Char"/>
    <w:basedOn w:val="DefaultParagraphFont"/>
    <w:link w:val="PlainText"/>
    <w:uiPriority w:val="99"/>
    <w:semiHidden/>
    <w:rsid w:val="00DF0932"/>
    <w:rPr>
      <w:rFonts w:ascii="Times" w:hAnsi="Times"/>
      <w:sz w:val="20"/>
      <w:szCs w:val="20"/>
      <w:lang w:val="en-AU"/>
    </w:rPr>
  </w:style>
  <w:style w:type="paragraph" w:styleId="BodyText2">
    <w:name w:val="Body Text 2"/>
    <w:basedOn w:val="Normal"/>
    <w:link w:val="BodyText2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DF0932"/>
    <w:rPr>
      <w:rFonts w:ascii="Times" w:hAnsi="Times"/>
      <w:sz w:val="20"/>
      <w:szCs w:val="20"/>
      <w:lang w:val="en-AU"/>
    </w:rPr>
  </w:style>
  <w:style w:type="paragraph" w:styleId="ListBullet">
    <w:name w:val="List Bullet"/>
    <w:basedOn w:val="Normal"/>
    <w:uiPriority w:val="99"/>
    <w:semiHidden/>
    <w:unhideWhenUsed/>
    <w:rsid w:val="00DF0932"/>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DF0932"/>
    <w:pPr>
      <w:spacing w:before="100" w:beforeAutospacing="1" w:after="100" w:afterAutospacing="1"/>
    </w:pPr>
    <w:rPr>
      <w:rFonts w:ascii="Times" w:hAnsi="Times"/>
      <w:sz w:val="20"/>
      <w:szCs w:val="20"/>
      <w:lang w:val="en-AU"/>
    </w:rPr>
  </w:style>
  <w:style w:type="paragraph" w:styleId="BodyText">
    <w:name w:val="Body Text"/>
    <w:basedOn w:val="Normal"/>
    <w:link w:val="Body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
    <w:uiPriority w:val="99"/>
    <w:semiHidden/>
    <w:rsid w:val="00DF0932"/>
    <w:rPr>
      <w:rFonts w:ascii="Times" w:hAnsi="Times"/>
      <w:sz w:val="20"/>
      <w:szCs w:val="20"/>
      <w:lang w:val="en-AU"/>
    </w:rPr>
  </w:style>
  <w:style w:type="character" w:styleId="Strong">
    <w:name w:val="Strong"/>
    <w:basedOn w:val="DefaultParagraphFont"/>
    <w:uiPriority w:val="22"/>
    <w:qFormat/>
    <w:rsid w:val="0048351B"/>
    <w:rPr>
      <w:b/>
      <w:bCs/>
    </w:rPr>
  </w:style>
  <w:style w:type="character" w:customStyle="1" w:styleId="style7">
    <w:name w:val="style7"/>
    <w:basedOn w:val="DefaultParagraphFont"/>
    <w:rsid w:val="0048351B"/>
  </w:style>
  <w:style w:type="character" w:customStyle="1" w:styleId="style2">
    <w:name w:val="style2"/>
    <w:basedOn w:val="DefaultParagraphFont"/>
    <w:rsid w:val="0048351B"/>
  </w:style>
  <w:style w:type="character" w:customStyle="1" w:styleId="style1">
    <w:name w:val="style1"/>
    <w:basedOn w:val="DefaultParagraphFont"/>
    <w:rsid w:val="0048351B"/>
  </w:style>
  <w:style w:type="character" w:customStyle="1" w:styleId="style13">
    <w:name w:val="style13"/>
    <w:basedOn w:val="DefaultParagraphFont"/>
    <w:rsid w:val="0048351B"/>
  </w:style>
  <w:style w:type="character" w:customStyle="1" w:styleId="style3">
    <w:name w:val="style3"/>
    <w:basedOn w:val="DefaultParagraphFont"/>
    <w:rsid w:val="0048351B"/>
  </w:style>
  <w:style w:type="character" w:customStyle="1" w:styleId="style5">
    <w:name w:val="style5"/>
    <w:basedOn w:val="DefaultParagraphFont"/>
    <w:rsid w:val="0048351B"/>
  </w:style>
  <w:style w:type="character" w:customStyle="1" w:styleId="style4">
    <w:name w:val="style4"/>
    <w:basedOn w:val="DefaultParagraphFont"/>
    <w:rsid w:val="0048351B"/>
  </w:style>
  <w:style w:type="paragraph" w:customStyle="1" w:styleId="style12">
    <w:name w:val="style12"/>
    <w:basedOn w:val="Normal"/>
    <w:rsid w:val="0048351B"/>
    <w:pPr>
      <w:spacing w:before="100" w:beforeAutospacing="1" w:after="100" w:afterAutospacing="1"/>
    </w:pPr>
    <w:rPr>
      <w:rFonts w:ascii="Times" w:hAnsi="Times"/>
      <w:sz w:val="20"/>
      <w:szCs w:val="20"/>
      <w:lang w:val="en-AU"/>
    </w:rPr>
  </w:style>
  <w:style w:type="character" w:customStyle="1" w:styleId="style11">
    <w:name w:val="style11"/>
    <w:basedOn w:val="DefaultParagraphFont"/>
    <w:rsid w:val="0048351B"/>
  </w:style>
  <w:style w:type="paragraph" w:customStyle="1" w:styleId="style6">
    <w:name w:val="style6"/>
    <w:basedOn w:val="Normal"/>
    <w:rsid w:val="00C005A1"/>
    <w:pPr>
      <w:spacing w:before="100" w:beforeAutospacing="1" w:after="100" w:afterAutospacing="1"/>
    </w:pPr>
    <w:rPr>
      <w:rFonts w:ascii="Times" w:hAnsi="Times"/>
      <w:sz w:val="20"/>
      <w:szCs w:val="20"/>
      <w:lang w:val="en-AU"/>
    </w:rPr>
  </w:style>
  <w:style w:type="character" w:customStyle="1" w:styleId="style111">
    <w:name w:val="style111"/>
    <w:basedOn w:val="DefaultParagraphFont"/>
    <w:rsid w:val="00953F59"/>
  </w:style>
  <w:style w:type="character" w:customStyle="1" w:styleId="style71">
    <w:name w:val="style71"/>
    <w:basedOn w:val="DefaultParagraphFont"/>
    <w:rsid w:val="00BE2F24"/>
  </w:style>
  <w:style w:type="character" w:customStyle="1" w:styleId="style21">
    <w:name w:val="style21"/>
    <w:basedOn w:val="DefaultParagraphFont"/>
    <w:rsid w:val="00BE2F24"/>
  </w:style>
  <w:style w:type="character" w:customStyle="1" w:styleId="style14">
    <w:name w:val="style14"/>
    <w:basedOn w:val="DefaultParagraphFont"/>
    <w:rsid w:val="00BE2F24"/>
  </w:style>
  <w:style w:type="character" w:customStyle="1" w:styleId="style51">
    <w:name w:val="style51"/>
    <w:basedOn w:val="DefaultParagraphFont"/>
    <w:rsid w:val="00BE2F24"/>
  </w:style>
  <w:style w:type="character" w:customStyle="1" w:styleId="style41">
    <w:name w:val="style41"/>
    <w:basedOn w:val="DefaultParagraphFont"/>
    <w:rsid w:val="00BE2F24"/>
  </w:style>
  <w:style w:type="character" w:customStyle="1" w:styleId="style131">
    <w:name w:val="style131"/>
    <w:basedOn w:val="DefaultParagraphFont"/>
    <w:rsid w:val="00BE2F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48154">
      <w:bodyDiv w:val="1"/>
      <w:marLeft w:val="0"/>
      <w:marRight w:val="0"/>
      <w:marTop w:val="0"/>
      <w:marBottom w:val="0"/>
      <w:divBdr>
        <w:top w:val="none" w:sz="0" w:space="0" w:color="auto"/>
        <w:left w:val="none" w:sz="0" w:space="0" w:color="auto"/>
        <w:bottom w:val="none" w:sz="0" w:space="0" w:color="auto"/>
        <w:right w:val="none" w:sz="0" w:space="0" w:color="auto"/>
      </w:divBdr>
      <w:divsChild>
        <w:div w:id="406926463">
          <w:marLeft w:val="0"/>
          <w:marRight w:val="0"/>
          <w:marTop w:val="0"/>
          <w:marBottom w:val="0"/>
          <w:divBdr>
            <w:top w:val="none" w:sz="0" w:space="0" w:color="auto"/>
            <w:left w:val="none" w:sz="0" w:space="0" w:color="auto"/>
            <w:bottom w:val="none" w:sz="0" w:space="0" w:color="auto"/>
            <w:right w:val="none" w:sz="0" w:space="0" w:color="auto"/>
          </w:divBdr>
          <w:divsChild>
            <w:div w:id="2041005230">
              <w:marLeft w:val="0"/>
              <w:marRight w:val="0"/>
              <w:marTop w:val="0"/>
              <w:marBottom w:val="0"/>
              <w:divBdr>
                <w:top w:val="none" w:sz="0" w:space="0" w:color="auto"/>
                <w:left w:val="none" w:sz="0" w:space="0" w:color="auto"/>
                <w:bottom w:val="none" w:sz="0" w:space="0" w:color="auto"/>
                <w:right w:val="none" w:sz="0" w:space="0" w:color="auto"/>
              </w:divBdr>
            </w:div>
            <w:div w:id="957491898">
              <w:blockQuote w:val="1"/>
              <w:marLeft w:val="720"/>
              <w:marRight w:val="720"/>
              <w:marTop w:val="100"/>
              <w:marBottom w:val="100"/>
              <w:divBdr>
                <w:top w:val="none" w:sz="0" w:space="0" w:color="auto"/>
                <w:left w:val="none" w:sz="0" w:space="0" w:color="auto"/>
                <w:bottom w:val="none" w:sz="0" w:space="0" w:color="auto"/>
                <w:right w:val="none" w:sz="0" w:space="0" w:color="auto"/>
              </w:divBdr>
            </w:div>
            <w:div w:id="738213311">
              <w:blockQuote w:val="1"/>
              <w:marLeft w:val="720"/>
              <w:marRight w:val="720"/>
              <w:marTop w:val="100"/>
              <w:marBottom w:val="100"/>
              <w:divBdr>
                <w:top w:val="none" w:sz="0" w:space="0" w:color="auto"/>
                <w:left w:val="none" w:sz="0" w:space="0" w:color="auto"/>
                <w:bottom w:val="none" w:sz="0" w:space="0" w:color="auto"/>
                <w:right w:val="none" w:sz="0" w:space="0" w:color="auto"/>
              </w:divBdr>
            </w:div>
            <w:div w:id="1576237682">
              <w:blockQuote w:val="1"/>
              <w:marLeft w:val="720"/>
              <w:marRight w:val="720"/>
              <w:marTop w:val="100"/>
              <w:marBottom w:val="100"/>
              <w:divBdr>
                <w:top w:val="none" w:sz="0" w:space="0" w:color="auto"/>
                <w:left w:val="none" w:sz="0" w:space="0" w:color="auto"/>
                <w:bottom w:val="none" w:sz="0" w:space="0" w:color="auto"/>
                <w:right w:val="none" w:sz="0" w:space="0" w:color="auto"/>
              </w:divBdr>
            </w:div>
            <w:div w:id="2192474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77101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4550367">
      <w:bodyDiv w:val="1"/>
      <w:marLeft w:val="0"/>
      <w:marRight w:val="0"/>
      <w:marTop w:val="0"/>
      <w:marBottom w:val="0"/>
      <w:divBdr>
        <w:top w:val="none" w:sz="0" w:space="0" w:color="auto"/>
        <w:left w:val="none" w:sz="0" w:space="0" w:color="auto"/>
        <w:bottom w:val="none" w:sz="0" w:space="0" w:color="auto"/>
        <w:right w:val="none" w:sz="0" w:space="0" w:color="auto"/>
      </w:divBdr>
      <w:divsChild>
        <w:div w:id="1855025587">
          <w:marLeft w:val="0"/>
          <w:marRight w:val="0"/>
          <w:marTop w:val="0"/>
          <w:marBottom w:val="0"/>
          <w:divBdr>
            <w:top w:val="none" w:sz="0" w:space="0" w:color="auto"/>
            <w:left w:val="none" w:sz="0" w:space="0" w:color="auto"/>
            <w:bottom w:val="none" w:sz="0" w:space="0" w:color="auto"/>
            <w:right w:val="none" w:sz="0" w:space="0" w:color="auto"/>
          </w:divBdr>
          <w:divsChild>
            <w:div w:id="199516422">
              <w:blockQuote w:val="1"/>
              <w:marLeft w:val="720"/>
              <w:marRight w:val="720"/>
              <w:marTop w:val="100"/>
              <w:marBottom w:val="100"/>
              <w:divBdr>
                <w:top w:val="none" w:sz="0" w:space="0" w:color="auto"/>
                <w:left w:val="none" w:sz="0" w:space="0" w:color="auto"/>
                <w:bottom w:val="none" w:sz="0" w:space="0" w:color="auto"/>
                <w:right w:val="none" w:sz="0" w:space="0" w:color="auto"/>
              </w:divBdr>
            </w:div>
            <w:div w:id="939681035">
              <w:blockQuote w:val="1"/>
              <w:marLeft w:val="720"/>
              <w:marRight w:val="720"/>
              <w:marTop w:val="100"/>
              <w:marBottom w:val="100"/>
              <w:divBdr>
                <w:top w:val="none" w:sz="0" w:space="0" w:color="auto"/>
                <w:left w:val="none" w:sz="0" w:space="0" w:color="auto"/>
                <w:bottom w:val="none" w:sz="0" w:space="0" w:color="auto"/>
                <w:right w:val="none" w:sz="0" w:space="0" w:color="auto"/>
              </w:divBdr>
            </w:div>
            <w:div w:id="534321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706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830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897402705">
              <w:blockQuote w:val="1"/>
              <w:marLeft w:val="720"/>
              <w:marRight w:val="720"/>
              <w:marTop w:val="100"/>
              <w:marBottom w:val="100"/>
              <w:divBdr>
                <w:top w:val="none" w:sz="0" w:space="0" w:color="auto"/>
                <w:left w:val="none" w:sz="0" w:space="0" w:color="auto"/>
                <w:bottom w:val="none" w:sz="0" w:space="0" w:color="auto"/>
                <w:right w:val="none" w:sz="0" w:space="0" w:color="auto"/>
              </w:divBdr>
            </w:div>
            <w:div w:id="839005620">
              <w:blockQuote w:val="1"/>
              <w:marLeft w:val="720"/>
              <w:marRight w:val="720"/>
              <w:marTop w:val="100"/>
              <w:marBottom w:val="100"/>
              <w:divBdr>
                <w:top w:val="none" w:sz="0" w:space="0" w:color="auto"/>
                <w:left w:val="none" w:sz="0" w:space="0" w:color="auto"/>
                <w:bottom w:val="none" w:sz="0" w:space="0" w:color="auto"/>
                <w:right w:val="none" w:sz="0" w:space="0" w:color="auto"/>
              </w:divBdr>
            </w:div>
            <w:div w:id="932863768">
              <w:blockQuote w:val="1"/>
              <w:marLeft w:val="720"/>
              <w:marRight w:val="720"/>
              <w:marTop w:val="100"/>
              <w:marBottom w:val="100"/>
              <w:divBdr>
                <w:top w:val="none" w:sz="0" w:space="0" w:color="auto"/>
                <w:left w:val="none" w:sz="0" w:space="0" w:color="auto"/>
                <w:bottom w:val="none" w:sz="0" w:space="0" w:color="auto"/>
                <w:right w:val="none" w:sz="0" w:space="0" w:color="auto"/>
              </w:divBdr>
            </w:div>
            <w:div w:id="916787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324945">
      <w:bodyDiv w:val="1"/>
      <w:marLeft w:val="0"/>
      <w:marRight w:val="0"/>
      <w:marTop w:val="0"/>
      <w:marBottom w:val="0"/>
      <w:divBdr>
        <w:top w:val="none" w:sz="0" w:space="0" w:color="auto"/>
        <w:left w:val="none" w:sz="0" w:space="0" w:color="auto"/>
        <w:bottom w:val="none" w:sz="0" w:space="0" w:color="auto"/>
        <w:right w:val="none" w:sz="0" w:space="0" w:color="auto"/>
      </w:divBdr>
      <w:divsChild>
        <w:div w:id="2016104676">
          <w:blockQuote w:val="1"/>
          <w:marLeft w:val="720"/>
          <w:marRight w:val="720"/>
          <w:marTop w:val="100"/>
          <w:marBottom w:val="100"/>
          <w:divBdr>
            <w:top w:val="none" w:sz="0" w:space="0" w:color="auto"/>
            <w:left w:val="none" w:sz="0" w:space="0" w:color="auto"/>
            <w:bottom w:val="none" w:sz="0" w:space="0" w:color="auto"/>
            <w:right w:val="none" w:sz="0" w:space="0" w:color="auto"/>
          </w:divBdr>
        </w:div>
        <w:div w:id="1625884236">
          <w:blockQuote w:val="1"/>
          <w:marLeft w:val="720"/>
          <w:marRight w:val="720"/>
          <w:marTop w:val="100"/>
          <w:marBottom w:val="100"/>
          <w:divBdr>
            <w:top w:val="none" w:sz="0" w:space="0" w:color="auto"/>
            <w:left w:val="none" w:sz="0" w:space="0" w:color="auto"/>
            <w:bottom w:val="none" w:sz="0" w:space="0" w:color="auto"/>
            <w:right w:val="none" w:sz="0" w:space="0" w:color="auto"/>
          </w:divBdr>
        </w:div>
        <w:div w:id="385878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378119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313832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444158">
      <w:bodyDiv w:val="1"/>
      <w:marLeft w:val="0"/>
      <w:marRight w:val="0"/>
      <w:marTop w:val="0"/>
      <w:marBottom w:val="0"/>
      <w:divBdr>
        <w:top w:val="none" w:sz="0" w:space="0" w:color="auto"/>
        <w:left w:val="none" w:sz="0" w:space="0" w:color="auto"/>
        <w:bottom w:val="none" w:sz="0" w:space="0" w:color="auto"/>
        <w:right w:val="none" w:sz="0" w:space="0" w:color="auto"/>
      </w:divBdr>
      <w:divsChild>
        <w:div w:id="394403018">
          <w:marLeft w:val="0"/>
          <w:marRight w:val="0"/>
          <w:marTop w:val="0"/>
          <w:marBottom w:val="0"/>
          <w:divBdr>
            <w:top w:val="none" w:sz="0" w:space="0" w:color="auto"/>
            <w:left w:val="none" w:sz="0" w:space="0" w:color="auto"/>
            <w:bottom w:val="none" w:sz="0" w:space="0" w:color="auto"/>
            <w:right w:val="none" w:sz="0" w:space="0" w:color="auto"/>
          </w:divBdr>
          <w:divsChild>
            <w:div w:id="17587747">
              <w:blockQuote w:val="1"/>
              <w:marLeft w:val="720"/>
              <w:marRight w:val="720"/>
              <w:marTop w:val="100"/>
              <w:marBottom w:val="100"/>
              <w:divBdr>
                <w:top w:val="none" w:sz="0" w:space="0" w:color="auto"/>
                <w:left w:val="none" w:sz="0" w:space="0" w:color="auto"/>
                <w:bottom w:val="none" w:sz="0" w:space="0" w:color="auto"/>
                <w:right w:val="none" w:sz="0" w:space="0" w:color="auto"/>
              </w:divBdr>
            </w:div>
            <w:div w:id="268587945">
              <w:blockQuote w:val="1"/>
              <w:marLeft w:val="720"/>
              <w:marRight w:val="720"/>
              <w:marTop w:val="100"/>
              <w:marBottom w:val="100"/>
              <w:divBdr>
                <w:top w:val="none" w:sz="0" w:space="0" w:color="auto"/>
                <w:left w:val="none" w:sz="0" w:space="0" w:color="auto"/>
                <w:bottom w:val="none" w:sz="0" w:space="0" w:color="auto"/>
                <w:right w:val="none" w:sz="0" w:space="0" w:color="auto"/>
              </w:divBdr>
            </w:div>
            <w:div w:id="73918284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8213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255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5090976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51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129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3606908">
              <w:blockQuote w:val="1"/>
              <w:marLeft w:val="720"/>
              <w:marRight w:val="720"/>
              <w:marTop w:val="100"/>
              <w:marBottom w:val="100"/>
              <w:divBdr>
                <w:top w:val="none" w:sz="0" w:space="0" w:color="auto"/>
                <w:left w:val="none" w:sz="0" w:space="0" w:color="auto"/>
                <w:bottom w:val="none" w:sz="0" w:space="0" w:color="auto"/>
                <w:right w:val="none" w:sz="0" w:space="0" w:color="auto"/>
              </w:divBdr>
            </w:div>
            <w:div w:id="87388598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4292269">
              <w:blockQuote w:val="1"/>
              <w:marLeft w:val="720"/>
              <w:marRight w:val="720"/>
              <w:marTop w:val="100"/>
              <w:marBottom w:val="100"/>
              <w:divBdr>
                <w:top w:val="none" w:sz="0" w:space="0" w:color="auto"/>
                <w:left w:val="none" w:sz="0" w:space="0" w:color="auto"/>
                <w:bottom w:val="none" w:sz="0" w:space="0" w:color="auto"/>
                <w:right w:val="none" w:sz="0" w:space="0" w:color="auto"/>
              </w:divBdr>
            </w:div>
            <w:div w:id="801120109">
              <w:blockQuote w:val="1"/>
              <w:marLeft w:val="720"/>
              <w:marRight w:val="720"/>
              <w:marTop w:val="100"/>
              <w:marBottom w:val="100"/>
              <w:divBdr>
                <w:top w:val="none" w:sz="0" w:space="0" w:color="auto"/>
                <w:left w:val="none" w:sz="0" w:space="0" w:color="auto"/>
                <w:bottom w:val="none" w:sz="0" w:space="0" w:color="auto"/>
                <w:right w:val="none" w:sz="0" w:space="0" w:color="auto"/>
              </w:divBdr>
            </w:div>
            <w:div w:id="796026230">
              <w:blockQuote w:val="1"/>
              <w:marLeft w:val="720"/>
              <w:marRight w:val="720"/>
              <w:marTop w:val="100"/>
              <w:marBottom w:val="100"/>
              <w:divBdr>
                <w:top w:val="none" w:sz="0" w:space="0" w:color="auto"/>
                <w:left w:val="none" w:sz="0" w:space="0" w:color="auto"/>
                <w:bottom w:val="none" w:sz="0" w:space="0" w:color="auto"/>
                <w:right w:val="none" w:sz="0" w:space="0" w:color="auto"/>
              </w:divBdr>
            </w:div>
            <w:div w:id="170998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48269907">
      <w:bodyDiv w:val="1"/>
      <w:marLeft w:val="0"/>
      <w:marRight w:val="0"/>
      <w:marTop w:val="0"/>
      <w:marBottom w:val="0"/>
      <w:divBdr>
        <w:top w:val="none" w:sz="0" w:space="0" w:color="auto"/>
        <w:left w:val="none" w:sz="0" w:space="0" w:color="auto"/>
        <w:bottom w:val="none" w:sz="0" w:space="0" w:color="auto"/>
        <w:right w:val="none" w:sz="0" w:space="0" w:color="auto"/>
      </w:divBdr>
      <w:divsChild>
        <w:div w:id="973873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485900">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176157">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875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114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1499755">
      <w:bodyDiv w:val="1"/>
      <w:marLeft w:val="0"/>
      <w:marRight w:val="0"/>
      <w:marTop w:val="0"/>
      <w:marBottom w:val="0"/>
      <w:divBdr>
        <w:top w:val="none" w:sz="0" w:space="0" w:color="auto"/>
        <w:left w:val="none" w:sz="0" w:space="0" w:color="auto"/>
        <w:bottom w:val="none" w:sz="0" w:space="0" w:color="auto"/>
        <w:right w:val="none" w:sz="0" w:space="0" w:color="auto"/>
      </w:divBdr>
      <w:divsChild>
        <w:div w:id="470024719">
          <w:marLeft w:val="0"/>
          <w:marRight w:val="0"/>
          <w:marTop w:val="0"/>
          <w:marBottom w:val="0"/>
          <w:divBdr>
            <w:top w:val="none" w:sz="0" w:space="0" w:color="auto"/>
            <w:left w:val="none" w:sz="0" w:space="0" w:color="auto"/>
            <w:bottom w:val="none" w:sz="0" w:space="0" w:color="auto"/>
            <w:right w:val="none" w:sz="0" w:space="0" w:color="auto"/>
          </w:divBdr>
          <w:divsChild>
            <w:div w:id="15734699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869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871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777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46263742">
              <w:blockQuote w:val="1"/>
              <w:marLeft w:val="720"/>
              <w:marRight w:val="720"/>
              <w:marTop w:val="100"/>
              <w:marBottom w:val="100"/>
              <w:divBdr>
                <w:top w:val="none" w:sz="0" w:space="0" w:color="auto"/>
                <w:left w:val="none" w:sz="0" w:space="0" w:color="auto"/>
                <w:bottom w:val="none" w:sz="0" w:space="0" w:color="auto"/>
                <w:right w:val="none" w:sz="0" w:space="0" w:color="auto"/>
              </w:divBdr>
            </w:div>
            <w:div w:id="47055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2290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324579694">
              <w:blockQuote w:val="1"/>
              <w:marLeft w:val="720"/>
              <w:marRight w:val="720"/>
              <w:marTop w:val="100"/>
              <w:marBottom w:val="100"/>
              <w:divBdr>
                <w:top w:val="none" w:sz="0" w:space="0" w:color="auto"/>
                <w:left w:val="none" w:sz="0" w:space="0" w:color="auto"/>
                <w:bottom w:val="none" w:sz="0" w:space="0" w:color="auto"/>
                <w:right w:val="none" w:sz="0" w:space="0" w:color="auto"/>
              </w:divBdr>
            </w:div>
            <w:div w:id="1518154281">
              <w:blockQuote w:val="1"/>
              <w:marLeft w:val="720"/>
              <w:marRight w:val="720"/>
              <w:marTop w:val="100"/>
              <w:marBottom w:val="100"/>
              <w:divBdr>
                <w:top w:val="none" w:sz="0" w:space="0" w:color="auto"/>
                <w:left w:val="none" w:sz="0" w:space="0" w:color="auto"/>
                <w:bottom w:val="none" w:sz="0" w:space="0" w:color="auto"/>
                <w:right w:val="none" w:sz="0" w:space="0" w:color="auto"/>
              </w:divBdr>
            </w:div>
            <w:div w:id="8849473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643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3487220">
      <w:bodyDiv w:val="1"/>
      <w:marLeft w:val="0"/>
      <w:marRight w:val="0"/>
      <w:marTop w:val="0"/>
      <w:marBottom w:val="0"/>
      <w:divBdr>
        <w:top w:val="none" w:sz="0" w:space="0" w:color="auto"/>
        <w:left w:val="none" w:sz="0" w:space="0" w:color="auto"/>
        <w:bottom w:val="none" w:sz="0" w:space="0" w:color="auto"/>
        <w:right w:val="none" w:sz="0" w:space="0" w:color="auto"/>
      </w:divBdr>
      <w:divsChild>
        <w:div w:id="1113668606">
          <w:marLeft w:val="0"/>
          <w:marRight w:val="0"/>
          <w:marTop w:val="0"/>
          <w:marBottom w:val="0"/>
          <w:divBdr>
            <w:top w:val="none" w:sz="0" w:space="0" w:color="auto"/>
            <w:left w:val="none" w:sz="0" w:space="0" w:color="auto"/>
            <w:bottom w:val="none" w:sz="0" w:space="0" w:color="auto"/>
            <w:right w:val="none" w:sz="0" w:space="0" w:color="auto"/>
          </w:divBdr>
          <w:divsChild>
            <w:div w:id="708575875">
              <w:blockQuote w:val="1"/>
              <w:marLeft w:val="720"/>
              <w:marRight w:val="720"/>
              <w:marTop w:val="100"/>
              <w:marBottom w:val="100"/>
              <w:divBdr>
                <w:top w:val="none" w:sz="0" w:space="0" w:color="auto"/>
                <w:left w:val="none" w:sz="0" w:space="0" w:color="auto"/>
                <w:bottom w:val="none" w:sz="0" w:space="0" w:color="auto"/>
                <w:right w:val="none" w:sz="0" w:space="0" w:color="auto"/>
              </w:divBdr>
            </w:div>
            <w:div w:id="1360202009">
              <w:blockQuote w:val="1"/>
              <w:marLeft w:val="720"/>
              <w:marRight w:val="720"/>
              <w:marTop w:val="100"/>
              <w:marBottom w:val="100"/>
              <w:divBdr>
                <w:top w:val="none" w:sz="0" w:space="0" w:color="auto"/>
                <w:left w:val="none" w:sz="0" w:space="0" w:color="auto"/>
                <w:bottom w:val="none" w:sz="0" w:space="0" w:color="auto"/>
                <w:right w:val="none" w:sz="0" w:space="0" w:color="auto"/>
              </w:divBdr>
            </w:div>
            <w:div w:id="4121187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6787272">
              <w:blockQuote w:val="1"/>
              <w:marLeft w:val="720"/>
              <w:marRight w:val="720"/>
              <w:marTop w:val="100"/>
              <w:marBottom w:val="100"/>
              <w:divBdr>
                <w:top w:val="none" w:sz="0" w:space="0" w:color="auto"/>
                <w:left w:val="none" w:sz="0" w:space="0" w:color="auto"/>
                <w:bottom w:val="none" w:sz="0" w:space="0" w:color="auto"/>
                <w:right w:val="none" w:sz="0" w:space="0" w:color="auto"/>
              </w:divBdr>
            </w:div>
            <w:div w:id="9239586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347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810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027647">
              <w:blockQuote w:val="1"/>
              <w:marLeft w:val="720"/>
              <w:marRight w:val="720"/>
              <w:marTop w:val="100"/>
              <w:marBottom w:val="100"/>
              <w:divBdr>
                <w:top w:val="none" w:sz="0" w:space="0" w:color="auto"/>
                <w:left w:val="none" w:sz="0" w:space="0" w:color="auto"/>
                <w:bottom w:val="none" w:sz="0" w:space="0" w:color="auto"/>
                <w:right w:val="none" w:sz="0" w:space="0" w:color="auto"/>
              </w:divBdr>
            </w:div>
            <w:div w:id="48497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91517844">
      <w:bodyDiv w:val="1"/>
      <w:marLeft w:val="0"/>
      <w:marRight w:val="0"/>
      <w:marTop w:val="0"/>
      <w:marBottom w:val="0"/>
      <w:divBdr>
        <w:top w:val="none" w:sz="0" w:space="0" w:color="auto"/>
        <w:left w:val="none" w:sz="0" w:space="0" w:color="auto"/>
        <w:bottom w:val="none" w:sz="0" w:space="0" w:color="auto"/>
        <w:right w:val="none" w:sz="0" w:space="0" w:color="auto"/>
      </w:divBdr>
      <w:divsChild>
        <w:div w:id="297999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7773344">
          <w:blockQuote w:val="1"/>
          <w:marLeft w:val="720"/>
          <w:marRight w:val="720"/>
          <w:marTop w:val="100"/>
          <w:marBottom w:val="100"/>
          <w:divBdr>
            <w:top w:val="none" w:sz="0" w:space="0" w:color="auto"/>
            <w:left w:val="none" w:sz="0" w:space="0" w:color="auto"/>
            <w:bottom w:val="none" w:sz="0" w:space="0" w:color="auto"/>
            <w:right w:val="none" w:sz="0" w:space="0" w:color="auto"/>
          </w:divBdr>
        </w:div>
        <w:div w:id="619609962">
          <w:blockQuote w:val="1"/>
          <w:marLeft w:val="720"/>
          <w:marRight w:val="720"/>
          <w:marTop w:val="100"/>
          <w:marBottom w:val="100"/>
          <w:divBdr>
            <w:top w:val="none" w:sz="0" w:space="0" w:color="auto"/>
            <w:left w:val="none" w:sz="0" w:space="0" w:color="auto"/>
            <w:bottom w:val="none" w:sz="0" w:space="0" w:color="auto"/>
            <w:right w:val="none" w:sz="0" w:space="0" w:color="auto"/>
          </w:divBdr>
        </w:div>
        <w:div w:id="774983889">
          <w:blockQuote w:val="1"/>
          <w:marLeft w:val="720"/>
          <w:marRight w:val="720"/>
          <w:marTop w:val="100"/>
          <w:marBottom w:val="100"/>
          <w:divBdr>
            <w:top w:val="none" w:sz="0" w:space="0" w:color="auto"/>
            <w:left w:val="none" w:sz="0" w:space="0" w:color="auto"/>
            <w:bottom w:val="none" w:sz="0" w:space="0" w:color="auto"/>
            <w:right w:val="none" w:sz="0" w:space="0" w:color="auto"/>
          </w:divBdr>
        </w:div>
        <w:div w:id="3298737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8849929">
      <w:bodyDiv w:val="1"/>
      <w:marLeft w:val="0"/>
      <w:marRight w:val="0"/>
      <w:marTop w:val="0"/>
      <w:marBottom w:val="0"/>
      <w:divBdr>
        <w:top w:val="none" w:sz="0" w:space="0" w:color="auto"/>
        <w:left w:val="none" w:sz="0" w:space="0" w:color="auto"/>
        <w:bottom w:val="none" w:sz="0" w:space="0" w:color="auto"/>
        <w:right w:val="none" w:sz="0" w:space="0" w:color="auto"/>
      </w:divBdr>
      <w:divsChild>
        <w:div w:id="1933972879">
          <w:blockQuote w:val="1"/>
          <w:marLeft w:val="720"/>
          <w:marRight w:val="720"/>
          <w:marTop w:val="100"/>
          <w:marBottom w:val="100"/>
          <w:divBdr>
            <w:top w:val="none" w:sz="0" w:space="0" w:color="auto"/>
            <w:left w:val="none" w:sz="0" w:space="0" w:color="auto"/>
            <w:bottom w:val="none" w:sz="0" w:space="0" w:color="auto"/>
            <w:right w:val="none" w:sz="0" w:space="0" w:color="auto"/>
          </w:divBdr>
        </w:div>
        <w:div w:id="487131027">
          <w:blockQuote w:val="1"/>
          <w:marLeft w:val="720"/>
          <w:marRight w:val="720"/>
          <w:marTop w:val="100"/>
          <w:marBottom w:val="100"/>
          <w:divBdr>
            <w:top w:val="none" w:sz="0" w:space="0" w:color="auto"/>
            <w:left w:val="none" w:sz="0" w:space="0" w:color="auto"/>
            <w:bottom w:val="none" w:sz="0" w:space="0" w:color="auto"/>
            <w:right w:val="none" w:sz="0" w:space="0" w:color="auto"/>
          </w:divBdr>
        </w:div>
        <w:div w:id="7496946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93753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1905960">
      <w:bodyDiv w:val="1"/>
      <w:marLeft w:val="0"/>
      <w:marRight w:val="0"/>
      <w:marTop w:val="0"/>
      <w:marBottom w:val="0"/>
      <w:divBdr>
        <w:top w:val="none" w:sz="0" w:space="0" w:color="auto"/>
        <w:left w:val="none" w:sz="0" w:space="0" w:color="auto"/>
        <w:bottom w:val="none" w:sz="0" w:space="0" w:color="auto"/>
        <w:right w:val="none" w:sz="0" w:space="0" w:color="auto"/>
      </w:divBdr>
      <w:divsChild>
        <w:div w:id="1114401420">
          <w:marLeft w:val="0"/>
          <w:marRight w:val="0"/>
          <w:marTop w:val="0"/>
          <w:marBottom w:val="0"/>
          <w:divBdr>
            <w:top w:val="none" w:sz="0" w:space="0" w:color="auto"/>
            <w:left w:val="none" w:sz="0" w:space="0" w:color="auto"/>
            <w:bottom w:val="none" w:sz="0" w:space="0" w:color="auto"/>
            <w:right w:val="none" w:sz="0" w:space="0" w:color="auto"/>
          </w:divBdr>
          <w:divsChild>
            <w:div w:id="1746874301">
              <w:marLeft w:val="0"/>
              <w:marRight w:val="0"/>
              <w:marTop w:val="0"/>
              <w:marBottom w:val="0"/>
              <w:divBdr>
                <w:top w:val="none" w:sz="0" w:space="0" w:color="auto"/>
                <w:left w:val="none" w:sz="0" w:space="0" w:color="auto"/>
                <w:bottom w:val="none" w:sz="0" w:space="0" w:color="auto"/>
                <w:right w:val="none" w:sz="0" w:space="0" w:color="auto"/>
              </w:divBdr>
            </w:div>
            <w:div w:id="574362819">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84431">
              <w:blockQuote w:val="1"/>
              <w:marLeft w:val="720"/>
              <w:marRight w:val="720"/>
              <w:marTop w:val="100"/>
              <w:marBottom w:val="100"/>
              <w:divBdr>
                <w:top w:val="none" w:sz="0" w:space="0" w:color="auto"/>
                <w:left w:val="none" w:sz="0" w:space="0" w:color="auto"/>
                <w:bottom w:val="none" w:sz="0" w:space="0" w:color="auto"/>
                <w:right w:val="none" w:sz="0" w:space="0" w:color="auto"/>
              </w:divBdr>
            </w:div>
            <w:div w:id="587006979">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23243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1579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96316926">
      <w:bodyDiv w:val="1"/>
      <w:marLeft w:val="0"/>
      <w:marRight w:val="0"/>
      <w:marTop w:val="0"/>
      <w:marBottom w:val="0"/>
      <w:divBdr>
        <w:top w:val="none" w:sz="0" w:space="0" w:color="auto"/>
        <w:left w:val="none" w:sz="0" w:space="0" w:color="auto"/>
        <w:bottom w:val="none" w:sz="0" w:space="0" w:color="auto"/>
        <w:right w:val="none" w:sz="0" w:space="0" w:color="auto"/>
      </w:divBdr>
      <w:divsChild>
        <w:div w:id="306470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335247">
          <w:blockQuote w:val="1"/>
          <w:marLeft w:val="720"/>
          <w:marRight w:val="720"/>
          <w:marTop w:val="100"/>
          <w:marBottom w:val="100"/>
          <w:divBdr>
            <w:top w:val="none" w:sz="0" w:space="0" w:color="auto"/>
            <w:left w:val="none" w:sz="0" w:space="0" w:color="auto"/>
            <w:bottom w:val="none" w:sz="0" w:space="0" w:color="auto"/>
            <w:right w:val="none" w:sz="0" w:space="0" w:color="auto"/>
          </w:divBdr>
        </w:div>
        <w:div w:id="1441994644">
          <w:blockQuote w:val="1"/>
          <w:marLeft w:val="720"/>
          <w:marRight w:val="720"/>
          <w:marTop w:val="100"/>
          <w:marBottom w:val="100"/>
          <w:divBdr>
            <w:top w:val="none" w:sz="0" w:space="0" w:color="auto"/>
            <w:left w:val="none" w:sz="0" w:space="0" w:color="auto"/>
            <w:bottom w:val="none" w:sz="0" w:space="0" w:color="auto"/>
            <w:right w:val="none" w:sz="0" w:space="0" w:color="auto"/>
          </w:divBdr>
        </w:div>
        <w:div w:id="606426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8116363">
      <w:bodyDiv w:val="1"/>
      <w:marLeft w:val="0"/>
      <w:marRight w:val="0"/>
      <w:marTop w:val="0"/>
      <w:marBottom w:val="0"/>
      <w:divBdr>
        <w:top w:val="none" w:sz="0" w:space="0" w:color="auto"/>
        <w:left w:val="none" w:sz="0" w:space="0" w:color="auto"/>
        <w:bottom w:val="none" w:sz="0" w:space="0" w:color="auto"/>
        <w:right w:val="none" w:sz="0" w:space="0" w:color="auto"/>
      </w:divBdr>
      <w:divsChild>
        <w:div w:id="1497459366">
          <w:marLeft w:val="0"/>
          <w:marRight w:val="0"/>
          <w:marTop w:val="0"/>
          <w:marBottom w:val="0"/>
          <w:divBdr>
            <w:top w:val="none" w:sz="0" w:space="0" w:color="auto"/>
            <w:left w:val="none" w:sz="0" w:space="0" w:color="auto"/>
            <w:bottom w:val="none" w:sz="0" w:space="0" w:color="auto"/>
            <w:right w:val="none" w:sz="0" w:space="0" w:color="auto"/>
          </w:divBdr>
          <w:divsChild>
            <w:div w:id="2147382961">
              <w:blockQuote w:val="1"/>
              <w:marLeft w:val="720"/>
              <w:marRight w:val="720"/>
              <w:marTop w:val="100"/>
              <w:marBottom w:val="100"/>
              <w:divBdr>
                <w:top w:val="none" w:sz="0" w:space="0" w:color="auto"/>
                <w:left w:val="none" w:sz="0" w:space="0" w:color="auto"/>
                <w:bottom w:val="none" w:sz="0" w:space="0" w:color="auto"/>
                <w:right w:val="none" w:sz="0" w:space="0" w:color="auto"/>
              </w:divBdr>
            </w:div>
            <w:div w:id="557715147">
              <w:blockQuote w:val="1"/>
              <w:marLeft w:val="720"/>
              <w:marRight w:val="720"/>
              <w:marTop w:val="100"/>
              <w:marBottom w:val="100"/>
              <w:divBdr>
                <w:top w:val="none" w:sz="0" w:space="0" w:color="auto"/>
                <w:left w:val="none" w:sz="0" w:space="0" w:color="auto"/>
                <w:bottom w:val="none" w:sz="0" w:space="0" w:color="auto"/>
                <w:right w:val="none" w:sz="0" w:space="0" w:color="auto"/>
              </w:divBdr>
            </w:div>
            <w:div w:id="4112456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34637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10004895">
      <w:bodyDiv w:val="1"/>
      <w:marLeft w:val="0"/>
      <w:marRight w:val="0"/>
      <w:marTop w:val="0"/>
      <w:marBottom w:val="0"/>
      <w:divBdr>
        <w:top w:val="none" w:sz="0" w:space="0" w:color="auto"/>
        <w:left w:val="none" w:sz="0" w:space="0" w:color="auto"/>
        <w:bottom w:val="none" w:sz="0" w:space="0" w:color="auto"/>
        <w:right w:val="none" w:sz="0" w:space="0" w:color="auto"/>
      </w:divBdr>
      <w:divsChild>
        <w:div w:id="1025794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637241">
          <w:blockQuote w:val="1"/>
          <w:marLeft w:val="720"/>
          <w:marRight w:val="720"/>
          <w:marTop w:val="100"/>
          <w:marBottom w:val="100"/>
          <w:divBdr>
            <w:top w:val="none" w:sz="0" w:space="0" w:color="auto"/>
            <w:left w:val="none" w:sz="0" w:space="0" w:color="auto"/>
            <w:bottom w:val="none" w:sz="0" w:space="0" w:color="auto"/>
            <w:right w:val="none" w:sz="0" w:space="0" w:color="auto"/>
          </w:divBdr>
        </w:div>
        <w:div w:id="256182085">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525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3578315">
      <w:bodyDiv w:val="1"/>
      <w:marLeft w:val="0"/>
      <w:marRight w:val="0"/>
      <w:marTop w:val="0"/>
      <w:marBottom w:val="0"/>
      <w:divBdr>
        <w:top w:val="none" w:sz="0" w:space="0" w:color="auto"/>
        <w:left w:val="none" w:sz="0" w:space="0" w:color="auto"/>
        <w:bottom w:val="none" w:sz="0" w:space="0" w:color="auto"/>
        <w:right w:val="none" w:sz="0" w:space="0" w:color="auto"/>
      </w:divBdr>
      <w:divsChild>
        <w:div w:id="1569416282">
          <w:blockQuote w:val="1"/>
          <w:marLeft w:val="720"/>
          <w:marRight w:val="720"/>
          <w:marTop w:val="100"/>
          <w:marBottom w:val="100"/>
          <w:divBdr>
            <w:top w:val="none" w:sz="0" w:space="0" w:color="auto"/>
            <w:left w:val="none" w:sz="0" w:space="0" w:color="auto"/>
            <w:bottom w:val="none" w:sz="0" w:space="0" w:color="auto"/>
            <w:right w:val="none" w:sz="0" w:space="0" w:color="auto"/>
          </w:divBdr>
        </w:div>
        <w:div w:id="1961186287">
          <w:blockQuote w:val="1"/>
          <w:marLeft w:val="720"/>
          <w:marRight w:val="720"/>
          <w:marTop w:val="100"/>
          <w:marBottom w:val="100"/>
          <w:divBdr>
            <w:top w:val="none" w:sz="0" w:space="0" w:color="auto"/>
            <w:left w:val="none" w:sz="0" w:space="0" w:color="auto"/>
            <w:bottom w:val="none" w:sz="0" w:space="0" w:color="auto"/>
            <w:right w:val="none" w:sz="0" w:space="0" w:color="auto"/>
          </w:divBdr>
        </w:div>
        <w:div w:id="500898529">
          <w:blockQuote w:val="1"/>
          <w:marLeft w:val="720"/>
          <w:marRight w:val="720"/>
          <w:marTop w:val="100"/>
          <w:marBottom w:val="100"/>
          <w:divBdr>
            <w:top w:val="none" w:sz="0" w:space="0" w:color="auto"/>
            <w:left w:val="none" w:sz="0" w:space="0" w:color="auto"/>
            <w:bottom w:val="none" w:sz="0" w:space="0" w:color="auto"/>
            <w:right w:val="none" w:sz="0" w:space="0" w:color="auto"/>
          </w:divBdr>
        </w:div>
        <w:div w:id="937367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010811">
          <w:blockQuote w:val="1"/>
          <w:marLeft w:val="720"/>
          <w:marRight w:val="720"/>
          <w:marTop w:val="100"/>
          <w:marBottom w:val="100"/>
          <w:divBdr>
            <w:top w:val="none" w:sz="0" w:space="0" w:color="auto"/>
            <w:left w:val="none" w:sz="0" w:space="0" w:color="auto"/>
            <w:bottom w:val="none" w:sz="0" w:space="0" w:color="auto"/>
            <w:right w:val="none" w:sz="0" w:space="0" w:color="auto"/>
          </w:divBdr>
        </w:div>
        <w:div w:id="990059169">
          <w:blockQuote w:val="1"/>
          <w:marLeft w:val="720"/>
          <w:marRight w:val="720"/>
          <w:marTop w:val="100"/>
          <w:marBottom w:val="100"/>
          <w:divBdr>
            <w:top w:val="none" w:sz="0" w:space="0" w:color="auto"/>
            <w:left w:val="none" w:sz="0" w:space="0" w:color="auto"/>
            <w:bottom w:val="none" w:sz="0" w:space="0" w:color="auto"/>
            <w:right w:val="none" w:sz="0" w:space="0" w:color="auto"/>
          </w:divBdr>
        </w:div>
        <w:div w:id="5596798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9854167">
          <w:blockQuote w:val="1"/>
          <w:marLeft w:val="720"/>
          <w:marRight w:val="720"/>
          <w:marTop w:val="100"/>
          <w:marBottom w:val="100"/>
          <w:divBdr>
            <w:top w:val="none" w:sz="0" w:space="0" w:color="auto"/>
            <w:left w:val="none" w:sz="0" w:space="0" w:color="auto"/>
            <w:bottom w:val="none" w:sz="0" w:space="0" w:color="auto"/>
            <w:right w:val="none" w:sz="0" w:space="0" w:color="auto"/>
          </w:divBdr>
        </w:div>
        <w:div w:id="4043779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16469473">
          <w:blockQuote w:val="1"/>
          <w:marLeft w:val="720"/>
          <w:marRight w:val="720"/>
          <w:marTop w:val="100"/>
          <w:marBottom w:val="100"/>
          <w:divBdr>
            <w:top w:val="none" w:sz="0" w:space="0" w:color="auto"/>
            <w:left w:val="none" w:sz="0" w:space="0" w:color="auto"/>
            <w:bottom w:val="none" w:sz="0" w:space="0" w:color="auto"/>
            <w:right w:val="none" w:sz="0" w:space="0" w:color="auto"/>
          </w:divBdr>
        </w:div>
        <w:div w:id="674959373">
          <w:blockQuote w:val="1"/>
          <w:marLeft w:val="720"/>
          <w:marRight w:val="720"/>
          <w:marTop w:val="100"/>
          <w:marBottom w:val="100"/>
          <w:divBdr>
            <w:top w:val="none" w:sz="0" w:space="0" w:color="auto"/>
            <w:left w:val="none" w:sz="0" w:space="0" w:color="auto"/>
            <w:bottom w:val="none" w:sz="0" w:space="0" w:color="auto"/>
            <w:right w:val="none" w:sz="0" w:space="0" w:color="auto"/>
          </w:divBdr>
        </w:div>
        <w:div w:id="1084954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1845449">
      <w:bodyDiv w:val="1"/>
      <w:marLeft w:val="0"/>
      <w:marRight w:val="0"/>
      <w:marTop w:val="0"/>
      <w:marBottom w:val="0"/>
      <w:divBdr>
        <w:top w:val="none" w:sz="0" w:space="0" w:color="auto"/>
        <w:left w:val="none" w:sz="0" w:space="0" w:color="auto"/>
        <w:bottom w:val="none" w:sz="0" w:space="0" w:color="auto"/>
        <w:right w:val="none" w:sz="0" w:space="0" w:color="auto"/>
      </w:divBdr>
      <w:divsChild>
        <w:div w:id="1856269270">
          <w:blockQuote w:val="1"/>
          <w:marLeft w:val="720"/>
          <w:marRight w:val="720"/>
          <w:marTop w:val="100"/>
          <w:marBottom w:val="100"/>
          <w:divBdr>
            <w:top w:val="none" w:sz="0" w:space="0" w:color="auto"/>
            <w:left w:val="none" w:sz="0" w:space="0" w:color="auto"/>
            <w:bottom w:val="none" w:sz="0" w:space="0" w:color="auto"/>
            <w:right w:val="none" w:sz="0" w:space="0" w:color="auto"/>
          </w:divBdr>
        </w:div>
        <w:div w:id="277493049">
          <w:blockQuote w:val="1"/>
          <w:marLeft w:val="720"/>
          <w:marRight w:val="720"/>
          <w:marTop w:val="100"/>
          <w:marBottom w:val="100"/>
          <w:divBdr>
            <w:top w:val="none" w:sz="0" w:space="0" w:color="auto"/>
            <w:left w:val="none" w:sz="0" w:space="0" w:color="auto"/>
            <w:bottom w:val="none" w:sz="0" w:space="0" w:color="auto"/>
            <w:right w:val="none" w:sz="0" w:space="0" w:color="auto"/>
          </w:divBdr>
        </w:div>
        <w:div w:id="189596791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3292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2858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9858712">
      <w:bodyDiv w:val="1"/>
      <w:marLeft w:val="0"/>
      <w:marRight w:val="0"/>
      <w:marTop w:val="0"/>
      <w:marBottom w:val="0"/>
      <w:divBdr>
        <w:top w:val="none" w:sz="0" w:space="0" w:color="auto"/>
        <w:left w:val="none" w:sz="0" w:space="0" w:color="auto"/>
        <w:bottom w:val="none" w:sz="0" w:space="0" w:color="auto"/>
        <w:right w:val="none" w:sz="0" w:space="0" w:color="auto"/>
      </w:divBdr>
      <w:divsChild>
        <w:div w:id="325280906">
          <w:blockQuote w:val="1"/>
          <w:marLeft w:val="720"/>
          <w:marRight w:val="720"/>
          <w:marTop w:val="100"/>
          <w:marBottom w:val="100"/>
          <w:divBdr>
            <w:top w:val="none" w:sz="0" w:space="0" w:color="auto"/>
            <w:left w:val="none" w:sz="0" w:space="0" w:color="auto"/>
            <w:bottom w:val="none" w:sz="0" w:space="0" w:color="auto"/>
            <w:right w:val="none" w:sz="0" w:space="0" w:color="auto"/>
          </w:divBdr>
        </w:div>
        <w:div w:id="513306355">
          <w:blockQuote w:val="1"/>
          <w:marLeft w:val="720"/>
          <w:marRight w:val="720"/>
          <w:marTop w:val="100"/>
          <w:marBottom w:val="100"/>
          <w:divBdr>
            <w:top w:val="none" w:sz="0" w:space="0" w:color="auto"/>
            <w:left w:val="none" w:sz="0" w:space="0" w:color="auto"/>
            <w:bottom w:val="none" w:sz="0" w:space="0" w:color="auto"/>
            <w:right w:val="none" w:sz="0" w:space="0" w:color="auto"/>
          </w:divBdr>
        </w:div>
        <w:div w:id="187572004">
          <w:blockQuote w:val="1"/>
          <w:marLeft w:val="720"/>
          <w:marRight w:val="720"/>
          <w:marTop w:val="100"/>
          <w:marBottom w:val="100"/>
          <w:divBdr>
            <w:top w:val="none" w:sz="0" w:space="0" w:color="auto"/>
            <w:left w:val="none" w:sz="0" w:space="0" w:color="auto"/>
            <w:bottom w:val="none" w:sz="0" w:space="0" w:color="auto"/>
            <w:right w:val="none" w:sz="0" w:space="0" w:color="auto"/>
          </w:divBdr>
        </w:div>
        <w:div w:id="767165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4880055">
      <w:bodyDiv w:val="1"/>
      <w:marLeft w:val="0"/>
      <w:marRight w:val="0"/>
      <w:marTop w:val="0"/>
      <w:marBottom w:val="0"/>
      <w:divBdr>
        <w:top w:val="none" w:sz="0" w:space="0" w:color="auto"/>
        <w:left w:val="none" w:sz="0" w:space="0" w:color="auto"/>
        <w:bottom w:val="none" w:sz="0" w:space="0" w:color="auto"/>
        <w:right w:val="none" w:sz="0" w:space="0" w:color="auto"/>
      </w:divBdr>
      <w:divsChild>
        <w:div w:id="1088965635">
          <w:blockQuote w:val="1"/>
          <w:marLeft w:val="720"/>
          <w:marRight w:val="720"/>
          <w:marTop w:val="100"/>
          <w:marBottom w:val="100"/>
          <w:divBdr>
            <w:top w:val="none" w:sz="0" w:space="0" w:color="auto"/>
            <w:left w:val="none" w:sz="0" w:space="0" w:color="auto"/>
            <w:bottom w:val="none" w:sz="0" w:space="0" w:color="auto"/>
            <w:right w:val="none" w:sz="0" w:space="0" w:color="auto"/>
          </w:divBdr>
        </w:div>
        <w:div w:id="7046457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764583">
          <w:blockQuote w:val="1"/>
          <w:marLeft w:val="720"/>
          <w:marRight w:val="720"/>
          <w:marTop w:val="100"/>
          <w:marBottom w:val="100"/>
          <w:divBdr>
            <w:top w:val="none" w:sz="0" w:space="0" w:color="auto"/>
            <w:left w:val="none" w:sz="0" w:space="0" w:color="auto"/>
            <w:bottom w:val="none" w:sz="0" w:space="0" w:color="auto"/>
            <w:right w:val="none" w:sz="0" w:space="0" w:color="auto"/>
          </w:divBdr>
        </w:div>
        <w:div w:id="499319656">
          <w:blockQuote w:val="1"/>
          <w:marLeft w:val="720"/>
          <w:marRight w:val="720"/>
          <w:marTop w:val="100"/>
          <w:marBottom w:val="100"/>
          <w:divBdr>
            <w:top w:val="none" w:sz="0" w:space="0" w:color="auto"/>
            <w:left w:val="none" w:sz="0" w:space="0" w:color="auto"/>
            <w:bottom w:val="none" w:sz="0" w:space="0" w:color="auto"/>
            <w:right w:val="none" w:sz="0" w:space="0" w:color="auto"/>
          </w:divBdr>
        </w:div>
        <w:div w:id="9318159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8172313">
      <w:bodyDiv w:val="1"/>
      <w:marLeft w:val="0"/>
      <w:marRight w:val="0"/>
      <w:marTop w:val="0"/>
      <w:marBottom w:val="0"/>
      <w:divBdr>
        <w:top w:val="none" w:sz="0" w:space="0" w:color="auto"/>
        <w:left w:val="none" w:sz="0" w:space="0" w:color="auto"/>
        <w:bottom w:val="none" w:sz="0" w:space="0" w:color="auto"/>
        <w:right w:val="none" w:sz="0" w:space="0" w:color="auto"/>
      </w:divBdr>
      <w:divsChild>
        <w:div w:id="770246247">
          <w:marLeft w:val="0"/>
          <w:marRight w:val="0"/>
          <w:marTop w:val="0"/>
          <w:marBottom w:val="0"/>
          <w:divBdr>
            <w:top w:val="none" w:sz="0" w:space="0" w:color="auto"/>
            <w:left w:val="none" w:sz="0" w:space="0" w:color="auto"/>
            <w:bottom w:val="none" w:sz="0" w:space="0" w:color="auto"/>
            <w:right w:val="none" w:sz="0" w:space="0" w:color="auto"/>
          </w:divBdr>
          <w:divsChild>
            <w:div w:id="2026396448">
              <w:blockQuote w:val="1"/>
              <w:marLeft w:val="720"/>
              <w:marRight w:val="720"/>
              <w:marTop w:val="100"/>
              <w:marBottom w:val="100"/>
              <w:divBdr>
                <w:top w:val="none" w:sz="0" w:space="0" w:color="auto"/>
                <w:left w:val="none" w:sz="0" w:space="0" w:color="auto"/>
                <w:bottom w:val="none" w:sz="0" w:space="0" w:color="auto"/>
                <w:right w:val="none" w:sz="0" w:space="0" w:color="auto"/>
              </w:divBdr>
            </w:div>
            <w:div w:id="96561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679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6915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8442744">
              <w:blockQuote w:val="1"/>
              <w:marLeft w:val="720"/>
              <w:marRight w:val="720"/>
              <w:marTop w:val="100"/>
              <w:marBottom w:val="100"/>
              <w:divBdr>
                <w:top w:val="none" w:sz="0" w:space="0" w:color="auto"/>
                <w:left w:val="none" w:sz="0" w:space="0" w:color="auto"/>
                <w:bottom w:val="none" w:sz="0" w:space="0" w:color="auto"/>
                <w:right w:val="none" w:sz="0" w:space="0" w:color="auto"/>
              </w:divBdr>
            </w:div>
            <w:div w:id="438181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29395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107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0839836">
              <w:blockQuote w:val="1"/>
              <w:marLeft w:val="720"/>
              <w:marRight w:val="720"/>
              <w:marTop w:val="100"/>
              <w:marBottom w:val="100"/>
              <w:divBdr>
                <w:top w:val="none" w:sz="0" w:space="0" w:color="auto"/>
                <w:left w:val="none" w:sz="0" w:space="0" w:color="auto"/>
                <w:bottom w:val="none" w:sz="0" w:space="0" w:color="auto"/>
                <w:right w:val="none" w:sz="0" w:space="0" w:color="auto"/>
              </w:divBdr>
            </w:div>
            <w:div w:id="773790838">
              <w:blockQuote w:val="1"/>
              <w:marLeft w:val="720"/>
              <w:marRight w:val="720"/>
              <w:marTop w:val="100"/>
              <w:marBottom w:val="100"/>
              <w:divBdr>
                <w:top w:val="none" w:sz="0" w:space="0" w:color="auto"/>
                <w:left w:val="none" w:sz="0" w:space="0" w:color="auto"/>
                <w:bottom w:val="none" w:sz="0" w:space="0" w:color="auto"/>
                <w:right w:val="none" w:sz="0" w:space="0" w:color="auto"/>
              </w:divBdr>
            </w:div>
            <w:div w:id="664406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72006280">
      <w:bodyDiv w:val="1"/>
      <w:marLeft w:val="0"/>
      <w:marRight w:val="0"/>
      <w:marTop w:val="0"/>
      <w:marBottom w:val="0"/>
      <w:divBdr>
        <w:top w:val="none" w:sz="0" w:space="0" w:color="auto"/>
        <w:left w:val="none" w:sz="0" w:space="0" w:color="auto"/>
        <w:bottom w:val="none" w:sz="0" w:space="0" w:color="auto"/>
        <w:right w:val="none" w:sz="0" w:space="0" w:color="auto"/>
      </w:divBdr>
      <w:divsChild>
        <w:div w:id="6515669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17058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536230">
          <w:blockQuote w:val="1"/>
          <w:marLeft w:val="720"/>
          <w:marRight w:val="720"/>
          <w:marTop w:val="100"/>
          <w:marBottom w:val="100"/>
          <w:divBdr>
            <w:top w:val="none" w:sz="0" w:space="0" w:color="auto"/>
            <w:left w:val="none" w:sz="0" w:space="0" w:color="auto"/>
            <w:bottom w:val="none" w:sz="0" w:space="0" w:color="auto"/>
            <w:right w:val="none" w:sz="0" w:space="0" w:color="auto"/>
          </w:divBdr>
        </w:div>
        <w:div w:id="557056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4920111">
      <w:bodyDiv w:val="1"/>
      <w:marLeft w:val="0"/>
      <w:marRight w:val="0"/>
      <w:marTop w:val="0"/>
      <w:marBottom w:val="0"/>
      <w:divBdr>
        <w:top w:val="none" w:sz="0" w:space="0" w:color="auto"/>
        <w:left w:val="none" w:sz="0" w:space="0" w:color="auto"/>
        <w:bottom w:val="none" w:sz="0" w:space="0" w:color="auto"/>
        <w:right w:val="none" w:sz="0" w:space="0" w:color="auto"/>
      </w:divBdr>
      <w:divsChild>
        <w:div w:id="1234468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342506357">
          <w:blockQuote w:val="1"/>
          <w:marLeft w:val="720"/>
          <w:marRight w:val="720"/>
          <w:marTop w:val="100"/>
          <w:marBottom w:val="100"/>
          <w:divBdr>
            <w:top w:val="none" w:sz="0" w:space="0" w:color="auto"/>
            <w:left w:val="none" w:sz="0" w:space="0" w:color="auto"/>
            <w:bottom w:val="none" w:sz="0" w:space="0" w:color="auto"/>
            <w:right w:val="none" w:sz="0" w:space="0" w:color="auto"/>
          </w:divBdr>
        </w:div>
        <w:div w:id="1491601289">
          <w:blockQuote w:val="1"/>
          <w:marLeft w:val="720"/>
          <w:marRight w:val="720"/>
          <w:marTop w:val="100"/>
          <w:marBottom w:val="100"/>
          <w:divBdr>
            <w:top w:val="none" w:sz="0" w:space="0" w:color="auto"/>
            <w:left w:val="none" w:sz="0" w:space="0" w:color="auto"/>
            <w:bottom w:val="none" w:sz="0" w:space="0" w:color="auto"/>
            <w:right w:val="none" w:sz="0" w:space="0" w:color="auto"/>
          </w:divBdr>
        </w:div>
        <w:div w:id="713388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36954948">
          <w:blockQuote w:val="1"/>
          <w:marLeft w:val="720"/>
          <w:marRight w:val="720"/>
          <w:marTop w:val="100"/>
          <w:marBottom w:val="100"/>
          <w:divBdr>
            <w:top w:val="none" w:sz="0" w:space="0" w:color="auto"/>
            <w:left w:val="none" w:sz="0" w:space="0" w:color="auto"/>
            <w:bottom w:val="none" w:sz="0" w:space="0" w:color="auto"/>
            <w:right w:val="none" w:sz="0" w:space="0" w:color="auto"/>
          </w:divBdr>
        </w:div>
        <w:div w:id="981926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55928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4758503">
          <w:blockQuote w:val="1"/>
          <w:marLeft w:val="720"/>
          <w:marRight w:val="720"/>
          <w:marTop w:val="100"/>
          <w:marBottom w:val="100"/>
          <w:divBdr>
            <w:top w:val="none" w:sz="0" w:space="0" w:color="auto"/>
            <w:left w:val="none" w:sz="0" w:space="0" w:color="auto"/>
            <w:bottom w:val="none" w:sz="0" w:space="0" w:color="auto"/>
            <w:right w:val="none" w:sz="0" w:space="0" w:color="auto"/>
          </w:divBdr>
        </w:div>
        <w:div w:id="1363046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40623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88076967">
      <w:bodyDiv w:val="1"/>
      <w:marLeft w:val="0"/>
      <w:marRight w:val="0"/>
      <w:marTop w:val="0"/>
      <w:marBottom w:val="0"/>
      <w:divBdr>
        <w:top w:val="none" w:sz="0" w:space="0" w:color="auto"/>
        <w:left w:val="none" w:sz="0" w:space="0" w:color="auto"/>
        <w:bottom w:val="none" w:sz="0" w:space="0" w:color="auto"/>
        <w:right w:val="none" w:sz="0" w:space="0" w:color="auto"/>
      </w:divBdr>
      <w:divsChild>
        <w:div w:id="994993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2107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3879078">
          <w:blockQuote w:val="1"/>
          <w:marLeft w:val="720"/>
          <w:marRight w:val="720"/>
          <w:marTop w:val="100"/>
          <w:marBottom w:val="100"/>
          <w:divBdr>
            <w:top w:val="none" w:sz="0" w:space="0" w:color="auto"/>
            <w:left w:val="none" w:sz="0" w:space="0" w:color="auto"/>
            <w:bottom w:val="none" w:sz="0" w:space="0" w:color="auto"/>
            <w:right w:val="none" w:sz="0" w:space="0" w:color="auto"/>
          </w:divBdr>
        </w:div>
        <w:div w:id="412898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3442146">
      <w:bodyDiv w:val="1"/>
      <w:marLeft w:val="0"/>
      <w:marRight w:val="0"/>
      <w:marTop w:val="0"/>
      <w:marBottom w:val="0"/>
      <w:divBdr>
        <w:top w:val="none" w:sz="0" w:space="0" w:color="auto"/>
        <w:left w:val="none" w:sz="0" w:space="0" w:color="auto"/>
        <w:bottom w:val="none" w:sz="0" w:space="0" w:color="auto"/>
        <w:right w:val="none" w:sz="0" w:space="0" w:color="auto"/>
      </w:divBdr>
      <w:divsChild>
        <w:div w:id="62921081">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408676">
          <w:blockQuote w:val="1"/>
          <w:marLeft w:val="720"/>
          <w:marRight w:val="720"/>
          <w:marTop w:val="100"/>
          <w:marBottom w:val="100"/>
          <w:divBdr>
            <w:top w:val="none" w:sz="0" w:space="0" w:color="auto"/>
            <w:left w:val="none" w:sz="0" w:space="0" w:color="auto"/>
            <w:bottom w:val="none" w:sz="0" w:space="0" w:color="auto"/>
            <w:right w:val="none" w:sz="0" w:space="0" w:color="auto"/>
          </w:divBdr>
        </w:div>
        <w:div w:id="677269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2811924">
      <w:bodyDiv w:val="1"/>
      <w:marLeft w:val="0"/>
      <w:marRight w:val="0"/>
      <w:marTop w:val="0"/>
      <w:marBottom w:val="0"/>
      <w:divBdr>
        <w:top w:val="none" w:sz="0" w:space="0" w:color="auto"/>
        <w:left w:val="none" w:sz="0" w:space="0" w:color="auto"/>
        <w:bottom w:val="none" w:sz="0" w:space="0" w:color="auto"/>
        <w:right w:val="none" w:sz="0" w:space="0" w:color="auto"/>
      </w:divBdr>
      <w:divsChild>
        <w:div w:id="2106538906">
          <w:marLeft w:val="0"/>
          <w:marRight w:val="0"/>
          <w:marTop w:val="0"/>
          <w:marBottom w:val="0"/>
          <w:divBdr>
            <w:top w:val="none" w:sz="0" w:space="0" w:color="auto"/>
            <w:left w:val="none" w:sz="0" w:space="0" w:color="auto"/>
            <w:bottom w:val="none" w:sz="0" w:space="0" w:color="auto"/>
            <w:right w:val="none" w:sz="0" w:space="0" w:color="auto"/>
          </w:divBdr>
          <w:divsChild>
            <w:div w:id="377245402">
              <w:blockQuote w:val="1"/>
              <w:marLeft w:val="720"/>
              <w:marRight w:val="720"/>
              <w:marTop w:val="100"/>
              <w:marBottom w:val="100"/>
              <w:divBdr>
                <w:top w:val="none" w:sz="0" w:space="0" w:color="auto"/>
                <w:left w:val="none" w:sz="0" w:space="0" w:color="auto"/>
                <w:bottom w:val="none" w:sz="0" w:space="0" w:color="auto"/>
                <w:right w:val="none" w:sz="0" w:space="0" w:color="auto"/>
              </w:divBdr>
            </w:div>
            <w:div w:id="749040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08740945">
              <w:blockQuote w:val="1"/>
              <w:marLeft w:val="720"/>
              <w:marRight w:val="720"/>
              <w:marTop w:val="100"/>
              <w:marBottom w:val="100"/>
              <w:divBdr>
                <w:top w:val="none" w:sz="0" w:space="0" w:color="auto"/>
                <w:left w:val="none" w:sz="0" w:space="0" w:color="auto"/>
                <w:bottom w:val="none" w:sz="0" w:space="0" w:color="auto"/>
                <w:right w:val="none" w:sz="0" w:space="0" w:color="auto"/>
              </w:divBdr>
            </w:div>
            <w:div w:id="1450660751">
              <w:blockQuote w:val="1"/>
              <w:marLeft w:val="720"/>
              <w:marRight w:val="720"/>
              <w:marTop w:val="100"/>
              <w:marBottom w:val="100"/>
              <w:divBdr>
                <w:top w:val="none" w:sz="0" w:space="0" w:color="auto"/>
                <w:left w:val="none" w:sz="0" w:space="0" w:color="auto"/>
                <w:bottom w:val="none" w:sz="0" w:space="0" w:color="auto"/>
                <w:right w:val="none" w:sz="0" w:space="0" w:color="auto"/>
              </w:divBdr>
            </w:div>
            <w:div w:id="813452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9469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371245">
              <w:blockQuote w:val="1"/>
              <w:marLeft w:val="720"/>
              <w:marRight w:val="720"/>
              <w:marTop w:val="100"/>
              <w:marBottom w:val="100"/>
              <w:divBdr>
                <w:top w:val="none" w:sz="0" w:space="0" w:color="auto"/>
                <w:left w:val="none" w:sz="0" w:space="0" w:color="auto"/>
                <w:bottom w:val="none" w:sz="0" w:space="0" w:color="auto"/>
                <w:right w:val="none" w:sz="0" w:space="0" w:color="auto"/>
              </w:divBdr>
            </w:div>
            <w:div w:id="12858481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26547732">
      <w:bodyDiv w:val="1"/>
      <w:marLeft w:val="0"/>
      <w:marRight w:val="0"/>
      <w:marTop w:val="0"/>
      <w:marBottom w:val="0"/>
      <w:divBdr>
        <w:top w:val="none" w:sz="0" w:space="0" w:color="auto"/>
        <w:left w:val="none" w:sz="0" w:space="0" w:color="auto"/>
        <w:bottom w:val="none" w:sz="0" w:space="0" w:color="auto"/>
        <w:right w:val="none" w:sz="0" w:space="0" w:color="auto"/>
      </w:divBdr>
      <w:divsChild>
        <w:div w:id="9775354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848935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3234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9751955">
      <w:bodyDiv w:val="1"/>
      <w:marLeft w:val="0"/>
      <w:marRight w:val="0"/>
      <w:marTop w:val="0"/>
      <w:marBottom w:val="0"/>
      <w:divBdr>
        <w:top w:val="none" w:sz="0" w:space="0" w:color="auto"/>
        <w:left w:val="none" w:sz="0" w:space="0" w:color="auto"/>
        <w:bottom w:val="none" w:sz="0" w:space="0" w:color="auto"/>
        <w:right w:val="none" w:sz="0" w:space="0" w:color="auto"/>
      </w:divBdr>
      <w:divsChild>
        <w:div w:id="263727491">
          <w:marLeft w:val="0"/>
          <w:marRight w:val="0"/>
          <w:marTop w:val="0"/>
          <w:marBottom w:val="0"/>
          <w:divBdr>
            <w:top w:val="none" w:sz="0" w:space="0" w:color="auto"/>
            <w:left w:val="none" w:sz="0" w:space="0" w:color="auto"/>
            <w:bottom w:val="none" w:sz="0" w:space="0" w:color="auto"/>
            <w:right w:val="none" w:sz="0" w:space="0" w:color="auto"/>
          </w:divBdr>
          <w:divsChild>
            <w:div w:id="1210268796">
              <w:marLeft w:val="0"/>
              <w:marRight w:val="0"/>
              <w:marTop w:val="0"/>
              <w:marBottom w:val="0"/>
              <w:divBdr>
                <w:top w:val="none" w:sz="0" w:space="0" w:color="auto"/>
                <w:left w:val="none" w:sz="0" w:space="0" w:color="auto"/>
                <w:bottom w:val="none" w:sz="0" w:space="0" w:color="auto"/>
                <w:right w:val="none" w:sz="0" w:space="0" w:color="auto"/>
              </w:divBdr>
            </w:div>
            <w:div w:id="656344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905068721">
              <w:blockQuote w:val="1"/>
              <w:marLeft w:val="720"/>
              <w:marRight w:val="720"/>
              <w:marTop w:val="100"/>
              <w:marBottom w:val="100"/>
              <w:divBdr>
                <w:top w:val="none" w:sz="0" w:space="0" w:color="auto"/>
                <w:left w:val="none" w:sz="0" w:space="0" w:color="auto"/>
                <w:bottom w:val="none" w:sz="0" w:space="0" w:color="auto"/>
                <w:right w:val="none" w:sz="0" w:space="0" w:color="auto"/>
              </w:divBdr>
            </w:div>
            <w:div w:id="598097333">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6817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84651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66205294">
      <w:bodyDiv w:val="1"/>
      <w:marLeft w:val="0"/>
      <w:marRight w:val="0"/>
      <w:marTop w:val="0"/>
      <w:marBottom w:val="0"/>
      <w:divBdr>
        <w:top w:val="none" w:sz="0" w:space="0" w:color="auto"/>
        <w:left w:val="none" w:sz="0" w:space="0" w:color="auto"/>
        <w:bottom w:val="none" w:sz="0" w:space="0" w:color="auto"/>
        <w:right w:val="none" w:sz="0" w:space="0" w:color="auto"/>
      </w:divBdr>
      <w:divsChild>
        <w:div w:id="3952492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90272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98313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2592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4267050">
      <w:bodyDiv w:val="1"/>
      <w:marLeft w:val="0"/>
      <w:marRight w:val="0"/>
      <w:marTop w:val="0"/>
      <w:marBottom w:val="0"/>
      <w:divBdr>
        <w:top w:val="none" w:sz="0" w:space="0" w:color="auto"/>
        <w:left w:val="none" w:sz="0" w:space="0" w:color="auto"/>
        <w:bottom w:val="none" w:sz="0" w:space="0" w:color="auto"/>
        <w:right w:val="none" w:sz="0" w:space="0" w:color="auto"/>
      </w:divBdr>
      <w:divsChild>
        <w:div w:id="275676079">
          <w:marLeft w:val="0"/>
          <w:marRight w:val="0"/>
          <w:marTop w:val="0"/>
          <w:marBottom w:val="0"/>
          <w:divBdr>
            <w:top w:val="none" w:sz="0" w:space="0" w:color="auto"/>
            <w:left w:val="none" w:sz="0" w:space="0" w:color="auto"/>
            <w:bottom w:val="none" w:sz="0" w:space="0" w:color="auto"/>
            <w:right w:val="none" w:sz="0" w:space="0" w:color="auto"/>
          </w:divBdr>
          <w:divsChild>
            <w:div w:id="879787438">
              <w:blockQuote w:val="1"/>
              <w:marLeft w:val="720"/>
              <w:marRight w:val="720"/>
              <w:marTop w:val="100"/>
              <w:marBottom w:val="100"/>
              <w:divBdr>
                <w:top w:val="none" w:sz="0" w:space="0" w:color="auto"/>
                <w:left w:val="none" w:sz="0" w:space="0" w:color="auto"/>
                <w:bottom w:val="none" w:sz="0" w:space="0" w:color="auto"/>
                <w:right w:val="none" w:sz="0" w:space="0" w:color="auto"/>
              </w:divBdr>
            </w:div>
            <w:div w:id="543324996">
              <w:blockQuote w:val="1"/>
              <w:marLeft w:val="720"/>
              <w:marRight w:val="720"/>
              <w:marTop w:val="100"/>
              <w:marBottom w:val="100"/>
              <w:divBdr>
                <w:top w:val="none" w:sz="0" w:space="0" w:color="auto"/>
                <w:left w:val="none" w:sz="0" w:space="0" w:color="auto"/>
                <w:bottom w:val="none" w:sz="0" w:space="0" w:color="auto"/>
                <w:right w:val="none" w:sz="0" w:space="0" w:color="auto"/>
              </w:divBdr>
            </w:div>
            <w:div w:id="421607578">
              <w:blockQuote w:val="1"/>
              <w:marLeft w:val="720"/>
              <w:marRight w:val="720"/>
              <w:marTop w:val="100"/>
              <w:marBottom w:val="100"/>
              <w:divBdr>
                <w:top w:val="none" w:sz="0" w:space="0" w:color="auto"/>
                <w:left w:val="none" w:sz="0" w:space="0" w:color="auto"/>
                <w:bottom w:val="none" w:sz="0" w:space="0" w:color="auto"/>
                <w:right w:val="none" w:sz="0" w:space="0" w:color="auto"/>
              </w:divBdr>
            </w:div>
            <w:div w:id="42533331">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582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838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0928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95207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6117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8352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576793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842141">
              <w:blockQuote w:val="1"/>
              <w:marLeft w:val="720"/>
              <w:marRight w:val="720"/>
              <w:marTop w:val="100"/>
              <w:marBottom w:val="100"/>
              <w:divBdr>
                <w:top w:val="none" w:sz="0" w:space="0" w:color="auto"/>
                <w:left w:val="none" w:sz="0" w:space="0" w:color="auto"/>
                <w:bottom w:val="none" w:sz="0" w:space="0" w:color="auto"/>
                <w:right w:val="none" w:sz="0" w:space="0" w:color="auto"/>
              </w:divBdr>
            </w:div>
            <w:div w:id="19333170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779259">
      <w:bodyDiv w:val="1"/>
      <w:marLeft w:val="0"/>
      <w:marRight w:val="0"/>
      <w:marTop w:val="0"/>
      <w:marBottom w:val="0"/>
      <w:divBdr>
        <w:top w:val="none" w:sz="0" w:space="0" w:color="auto"/>
        <w:left w:val="none" w:sz="0" w:space="0" w:color="auto"/>
        <w:bottom w:val="none" w:sz="0" w:space="0" w:color="auto"/>
        <w:right w:val="none" w:sz="0" w:space="0" w:color="auto"/>
      </w:divBdr>
      <w:divsChild>
        <w:div w:id="670833222">
          <w:blockQuote w:val="1"/>
          <w:marLeft w:val="720"/>
          <w:marRight w:val="720"/>
          <w:marTop w:val="100"/>
          <w:marBottom w:val="100"/>
          <w:divBdr>
            <w:top w:val="none" w:sz="0" w:space="0" w:color="auto"/>
            <w:left w:val="none" w:sz="0" w:space="0" w:color="auto"/>
            <w:bottom w:val="none" w:sz="0" w:space="0" w:color="auto"/>
            <w:right w:val="none" w:sz="0" w:space="0" w:color="auto"/>
          </w:divBdr>
        </w:div>
        <w:div w:id="87971379">
          <w:blockQuote w:val="1"/>
          <w:marLeft w:val="720"/>
          <w:marRight w:val="720"/>
          <w:marTop w:val="100"/>
          <w:marBottom w:val="100"/>
          <w:divBdr>
            <w:top w:val="none" w:sz="0" w:space="0" w:color="auto"/>
            <w:left w:val="none" w:sz="0" w:space="0" w:color="auto"/>
            <w:bottom w:val="none" w:sz="0" w:space="0" w:color="auto"/>
            <w:right w:val="none" w:sz="0" w:space="0" w:color="auto"/>
          </w:divBdr>
        </w:div>
        <w:div w:id="361368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054855">
          <w:blockQuote w:val="1"/>
          <w:marLeft w:val="720"/>
          <w:marRight w:val="720"/>
          <w:marTop w:val="100"/>
          <w:marBottom w:val="100"/>
          <w:divBdr>
            <w:top w:val="none" w:sz="0" w:space="0" w:color="auto"/>
            <w:left w:val="none" w:sz="0" w:space="0" w:color="auto"/>
            <w:bottom w:val="none" w:sz="0" w:space="0" w:color="auto"/>
            <w:right w:val="none" w:sz="0" w:space="0" w:color="auto"/>
          </w:divBdr>
        </w:div>
        <w:div w:id="20838682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4327604">
      <w:bodyDiv w:val="1"/>
      <w:marLeft w:val="0"/>
      <w:marRight w:val="0"/>
      <w:marTop w:val="0"/>
      <w:marBottom w:val="0"/>
      <w:divBdr>
        <w:top w:val="none" w:sz="0" w:space="0" w:color="auto"/>
        <w:left w:val="none" w:sz="0" w:space="0" w:color="auto"/>
        <w:bottom w:val="none" w:sz="0" w:space="0" w:color="auto"/>
        <w:right w:val="none" w:sz="0" w:space="0" w:color="auto"/>
      </w:divBdr>
      <w:divsChild>
        <w:div w:id="590968669">
          <w:blockQuote w:val="1"/>
          <w:marLeft w:val="720"/>
          <w:marRight w:val="720"/>
          <w:marTop w:val="100"/>
          <w:marBottom w:val="100"/>
          <w:divBdr>
            <w:top w:val="none" w:sz="0" w:space="0" w:color="auto"/>
            <w:left w:val="none" w:sz="0" w:space="0" w:color="auto"/>
            <w:bottom w:val="none" w:sz="0" w:space="0" w:color="auto"/>
            <w:right w:val="none" w:sz="0" w:space="0" w:color="auto"/>
          </w:divBdr>
        </w:div>
        <w:div w:id="144168192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11630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614544">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384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1393916">
      <w:bodyDiv w:val="1"/>
      <w:marLeft w:val="0"/>
      <w:marRight w:val="0"/>
      <w:marTop w:val="0"/>
      <w:marBottom w:val="0"/>
      <w:divBdr>
        <w:top w:val="none" w:sz="0" w:space="0" w:color="auto"/>
        <w:left w:val="none" w:sz="0" w:space="0" w:color="auto"/>
        <w:bottom w:val="none" w:sz="0" w:space="0" w:color="auto"/>
        <w:right w:val="none" w:sz="0" w:space="0" w:color="auto"/>
      </w:divBdr>
      <w:divsChild>
        <w:div w:id="1412388357">
          <w:marLeft w:val="0"/>
          <w:marRight w:val="0"/>
          <w:marTop w:val="0"/>
          <w:marBottom w:val="0"/>
          <w:divBdr>
            <w:top w:val="none" w:sz="0" w:space="0" w:color="auto"/>
            <w:left w:val="none" w:sz="0" w:space="0" w:color="auto"/>
            <w:bottom w:val="none" w:sz="0" w:space="0" w:color="auto"/>
            <w:right w:val="none" w:sz="0" w:space="0" w:color="auto"/>
          </w:divBdr>
          <w:divsChild>
            <w:div w:id="1512641646">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998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116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608076484">
              <w:blockQuote w:val="1"/>
              <w:marLeft w:val="720"/>
              <w:marRight w:val="720"/>
              <w:marTop w:val="100"/>
              <w:marBottom w:val="100"/>
              <w:divBdr>
                <w:top w:val="none" w:sz="0" w:space="0" w:color="auto"/>
                <w:left w:val="none" w:sz="0" w:space="0" w:color="auto"/>
                <w:bottom w:val="none" w:sz="0" w:space="0" w:color="auto"/>
                <w:right w:val="none" w:sz="0" w:space="0" w:color="auto"/>
              </w:divBdr>
            </w:div>
            <w:div w:id="595335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188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06315717">
      <w:bodyDiv w:val="1"/>
      <w:marLeft w:val="0"/>
      <w:marRight w:val="0"/>
      <w:marTop w:val="0"/>
      <w:marBottom w:val="0"/>
      <w:divBdr>
        <w:top w:val="none" w:sz="0" w:space="0" w:color="auto"/>
        <w:left w:val="none" w:sz="0" w:space="0" w:color="auto"/>
        <w:bottom w:val="none" w:sz="0" w:space="0" w:color="auto"/>
        <w:right w:val="none" w:sz="0" w:space="0" w:color="auto"/>
      </w:divBdr>
      <w:divsChild>
        <w:div w:id="468017437">
          <w:marLeft w:val="0"/>
          <w:marRight w:val="0"/>
          <w:marTop w:val="0"/>
          <w:marBottom w:val="0"/>
          <w:divBdr>
            <w:top w:val="none" w:sz="0" w:space="0" w:color="auto"/>
            <w:left w:val="none" w:sz="0" w:space="0" w:color="auto"/>
            <w:bottom w:val="none" w:sz="0" w:space="0" w:color="auto"/>
            <w:right w:val="none" w:sz="0" w:space="0" w:color="auto"/>
          </w:divBdr>
          <w:divsChild>
            <w:div w:id="1391541330">
              <w:marLeft w:val="0"/>
              <w:marRight w:val="0"/>
              <w:marTop w:val="0"/>
              <w:marBottom w:val="0"/>
              <w:divBdr>
                <w:top w:val="none" w:sz="0" w:space="0" w:color="auto"/>
                <w:left w:val="none" w:sz="0" w:space="0" w:color="auto"/>
                <w:bottom w:val="none" w:sz="0" w:space="0" w:color="auto"/>
                <w:right w:val="none" w:sz="0" w:space="0" w:color="auto"/>
              </w:divBdr>
            </w:div>
            <w:div w:id="348020994">
              <w:blockQuote w:val="1"/>
              <w:marLeft w:val="720"/>
              <w:marRight w:val="720"/>
              <w:marTop w:val="100"/>
              <w:marBottom w:val="100"/>
              <w:divBdr>
                <w:top w:val="none" w:sz="0" w:space="0" w:color="auto"/>
                <w:left w:val="none" w:sz="0" w:space="0" w:color="auto"/>
                <w:bottom w:val="none" w:sz="0" w:space="0" w:color="auto"/>
                <w:right w:val="none" w:sz="0" w:space="0" w:color="auto"/>
              </w:divBdr>
            </w:div>
            <w:div w:id="1046028801">
              <w:blockQuote w:val="1"/>
              <w:marLeft w:val="720"/>
              <w:marRight w:val="720"/>
              <w:marTop w:val="100"/>
              <w:marBottom w:val="100"/>
              <w:divBdr>
                <w:top w:val="none" w:sz="0" w:space="0" w:color="auto"/>
                <w:left w:val="none" w:sz="0" w:space="0" w:color="auto"/>
                <w:bottom w:val="none" w:sz="0" w:space="0" w:color="auto"/>
                <w:right w:val="none" w:sz="0" w:space="0" w:color="auto"/>
              </w:divBdr>
            </w:div>
            <w:div w:id="4309043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072951">
              <w:blockQuote w:val="1"/>
              <w:marLeft w:val="720"/>
              <w:marRight w:val="720"/>
              <w:marTop w:val="100"/>
              <w:marBottom w:val="100"/>
              <w:divBdr>
                <w:top w:val="none" w:sz="0" w:space="0" w:color="auto"/>
                <w:left w:val="none" w:sz="0" w:space="0" w:color="auto"/>
                <w:bottom w:val="none" w:sz="0" w:space="0" w:color="auto"/>
                <w:right w:val="none" w:sz="0" w:space="0" w:color="auto"/>
              </w:divBdr>
            </w:div>
            <w:div w:id="14937129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25822237">
      <w:bodyDiv w:val="1"/>
      <w:marLeft w:val="0"/>
      <w:marRight w:val="0"/>
      <w:marTop w:val="0"/>
      <w:marBottom w:val="0"/>
      <w:divBdr>
        <w:top w:val="none" w:sz="0" w:space="0" w:color="auto"/>
        <w:left w:val="none" w:sz="0" w:space="0" w:color="auto"/>
        <w:bottom w:val="none" w:sz="0" w:space="0" w:color="auto"/>
        <w:right w:val="none" w:sz="0" w:space="0" w:color="auto"/>
      </w:divBdr>
      <w:divsChild>
        <w:div w:id="1127700607">
          <w:marLeft w:val="0"/>
          <w:marRight w:val="0"/>
          <w:marTop w:val="0"/>
          <w:marBottom w:val="0"/>
          <w:divBdr>
            <w:top w:val="none" w:sz="0" w:space="0" w:color="auto"/>
            <w:left w:val="none" w:sz="0" w:space="0" w:color="auto"/>
            <w:bottom w:val="none" w:sz="0" w:space="0" w:color="auto"/>
            <w:right w:val="none" w:sz="0" w:space="0" w:color="auto"/>
          </w:divBdr>
          <w:divsChild>
            <w:div w:id="1548372703">
              <w:marLeft w:val="0"/>
              <w:marRight w:val="0"/>
              <w:marTop w:val="0"/>
              <w:marBottom w:val="0"/>
              <w:divBdr>
                <w:top w:val="none" w:sz="0" w:space="0" w:color="auto"/>
                <w:left w:val="none" w:sz="0" w:space="0" w:color="auto"/>
                <w:bottom w:val="none" w:sz="0" w:space="0" w:color="auto"/>
                <w:right w:val="none" w:sz="0" w:space="0" w:color="auto"/>
              </w:divBdr>
            </w:div>
            <w:div w:id="1068303604">
              <w:blockQuote w:val="1"/>
              <w:marLeft w:val="720"/>
              <w:marRight w:val="720"/>
              <w:marTop w:val="100"/>
              <w:marBottom w:val="100"/>
              <w:divBdr>
                <w:top w:val="none" w:sz="0" w:space="0" w:color="auto"/>
                <w:left w:val="none" w:sz="0" w:space="0" w:color="auto"/>
                <w:bottom w:val="none" w:sz="0" w:space="0" w:color="auto"/>
                <w:right w:val="none" w:sz="0" w:space="0" w:color="auto"/>
              </w:divBdr>
            </w:div>
            <w:div w:id="3550401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187907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0442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46872161">
      <w:bodyDiv w:val="1"/>
      <w:marLeft w:val="0"/>
      <w:marRight w:val="0"/>
      <w:marTop w:val="0"/>
      <w:marBottom w:val="0"/>
      <w:divBdr>
        <w:top w:val="none" w:sz="0" w:space="0" w:color="auto"/>
        <w:left w:val="none" w:sz="0" w:space="0" w:color="auto"/>
        <w:bottom w:val="none" w:sz="0" w:space="0" w:color="auto"/>
        <w:right w:val="none" w:sz="0" w:space="0" w:color="auto"/>
      </w:divBdr>
      <w:divsChild>
        <w:div w:id="1772970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162798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673803">
          <w:blockQuote w:val="1"/>
          <w:marLeft w:val="720"/>
          <w:marRight w:val="720"/>
          <w:marTop w:val="100"/>
          <w:marBottom w:val="100"/>
          <w:divBdr>
            <w:top w:val="none" w:sz="0" w:space="0" w:color="auto"/>
            <w:left w:val="none" w:sz="0" w:space="0" w:color="auto"/>
            <w:bottom w:val="none" w:sz="0" w:space="0" w:color="auto"/>
            <w:right w:val="none" w:sz="0" w:space="0" w:color="auto"/>
          </w:divBdr>
        </w:div>
        <w:div w:id="39747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0915243">
      <w:bodyDiv w:val="1"/>
      <w:marLeft w:val="0"/>
      <w:marRight w:val="0"/>
      <w:marTop w:val="0"/>
      <w:marBottom w:val="0"/>
      <w:divBdr>
        <w:top w:val="none" w:sz="0" w:space="0" w:color="auto"/>
        <w:left w:val="none" w:sz="0" w:space="0" w:color="auto"/>
        <w:bottom w:val="none" w:sz="0" w:space="0" w:color="auto"/>
        <w:right w:val="none" w:sz="0" w:space="0" w:color="auto"/>
      </w:divBdr>
      <w:divsChild>
        <w:div w:id="1875574915">
          <w:marLeft w:val="0"/>
          <w:marRight w:val="0"/>
          <w:marTop w:val="0"/>
          <w:marBottom w:val="0"/>
          <w:divBdr>
            <w:top w:val="none" w:sz="0" w:space="0" w:color="auto"/>
            <w:left w:val="none" w:sz="0" w:space="0" w:color="auto"/>
            <w:bottom w:val="none" w:sz="0" w:space="0" w:color="auto"/>
            <w:right w:val="none" w:sz="0" w:space="0" w:color="auto"/>
          </w:divBdr>
          <w:divsChild>
            <w:div w:id="235364032">
              <w:marLeft w:val="0"/>
              <w:marRight w:val="0"/>
              <w:marTop w:val="0"/>
              <w:marBottom w:val="0"/>
              <w:divBdr>
                <w:top w:val="none" w:sz="0" w:space="0" w:color="auto"/>
                <w:left w:val="none" w:sz="0" w:space="0" w:color="auto"/>
                <w:bottom w:val="none" w:sz="0" w:space="0" w:color="auto"/>
                <w:right w:val="none" w:sz="0" w:space="0" w:color="auto"/>
              </w:divBdr>
            </w:div>
            <w:div w:id="120556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894779681">
              <w:blockQuote w:val="1"/>
              <w:marLeft w:val="720"/>
              <w:marRight w:val="720"/>
              <w:marTop w:val="100"/>
              <w:marBottom w:val="100"/>
              <w:divBdr>
                <w:top w:val="none" w:sz="0" w:space="0" w:color="auto"/>
                <w:left w:val="none" w:sz="0" w:space="0" w:color="auto"/>
                <w:bottom w:val="none" w:sz="0" w:space="0" w:color="auto"/>
                <w:right w:val="none" w:sz="0" w:space="0" w:color="auto"/>
              </w:divBdr>
            </w:div>
            <w:div w:id="878665534">
              <w:blockQuote w:val="1"/>
              <w:marLeft w:val="720"/>
              <w:marRight w:val="720"/>
              <w:marTop w:val="100"/>
              <w:marBottom w:val="100"/>
              <w:divBdr>
                <w:top w:val="none" w:sz="0" w:space="0" w:color="auto"/>
                <w:left w:val="none" w:sz="0" w:space="0" w:color="auto"/>
                <w:bottom w:val="none" w:sz="0" w:space="0" w:color="auto"/>
                <w:right w:val="none" w:sz="0" w:space="0" w:color="auto"/>
              </w:divBdr>
            </w:div>
            <w:div w:id="19957192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65256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7816849">
      <w:bodyDiv w:val="1"/>
      <w:marLeft w:val="0"/>
      <w:marRight w:val="0"/>
      <w:marTop w:val="0"/>
      <w:marBottom w:val="0"/>
      <w:divBdr>
        <w:top w:val="none" w:sz="0" w:space="0" w:color="auto"/>
        <w:left w:val="none" w:sz="0" w:space="0" w:color="auto"/>
        <w:bottom w:val="none" w:sz="0" w:space="0" w:color="auto"/>
        <w:right w:val="none" w:sz="0" w:space="0" w:color="auto"/>
      </w:divBdr>
      <w:divsChild>
        <w:div w:id="204954994">
          <w:blockQuote w:val="1"/>
          <w:marLeft w:val="720"/>
          <w:marRight w:val="720"/>
          <w:marTop w:val="100"/>
          <w:marBottom w:val="100"/>
          <w:divBdr>
            <w:top w:val="none" w:sz="0" w:space="0" w:color="auto"/>
            <w:left w:val="none" w:sz="0" w:space="0" w:color="auto"/>
            <w:bottom w:val="none" w:sz="0" w:space="0" w:color="auto"/>
            <w:right w:val="none" w:sz="0" w:space="0" w:color="auto"/>
          </w:divBdr>
        </w:div>
        <w:div w:id="281692666">
          <w:blockQuote w:val="1"/>
          <w:marLeft w:val="720"/>
          <w:marRight w:val="720"/>
          <w:marTop w:val="100"/>
          <w:marBottom w:val="100"/>
          <w:divBdr>
            <w:top w:val="none" w:sz="0" w:space="0" w:color="auto"/>
            <w:left w:val="none" w:sz="0" w:space="0" w:color="auto"/>
            <w:bottom w:val="none" w:sz="0" w:space="0" w:color="auto"/>
            <w:right w:val="none" w:sz="0" w:space="0" w:color="auto"/>
          </w:divBdr>
        </w:div>
        <w:div w:id="654377874">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20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367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4607417">
      <w:bodyDiv w:val="1"/>
      <w:marLeft w:val="0"/>
      <w:marRight w:val="0"/>
      <w:marTop w:val="0"/>
      <w:marBottom w:val="0"/>
      <w:divBdr>
        <w:top w:val="none" w:sz="0" w:space="0" w:color="auto"/>
        <w:left w:val="none" w:sz="0" w:space="0" w:color="auto"/>
        <w:bottom w:val="none" w:sz="0" w:space="0" w:color="auto"/>
        <w:right w:val="none" w:sz="0" w:space="0" w:color="auto"/>
      </w:divBdr>
      <w:divsChild>
        <w:div w:id="847862782">
          <w:marLeft w:val="0"/>
          <w:marRight w:val="0"/>
          <w:marTop w:val="0"/>
          <w:marBottom w:val="0"/>
          <w:divBdr>
            <w:top w:val="none" w:sz="0" w:space="0" w:color="auto"/>
            <w:left w:val="none" w:sz="0" w:space="0" w:color="auto"/>
            <w:bottom w:val="none" w:sz="0" w:space="0" w:color="auto"/>
            <w:right w:val="none" w:sz="0" w:space="0" w:color="auto"/>
          </w:divBdr>
          <w:divsChild>
            <w:div w:id="169636893">
              <w:marLeft w:val="0"/>
              <w:marRight w:val="0"/>
              <w:marTop w:val="0"/>
              <w:marBottom w:val="0"/>
              <w:divBdr>
                <w:top w:val="none" w:sz="0" w:space="0" w:color="auto"/>
                <w:left w:val="none" w:sz="0" w:space="0" w:color="auto"/>
                <w:bottom w:val="none" w:sz="0" w:space="0" w:color="auto"/>
                <w:right w:val="none" w:sz="0" w:space="0" w:color="auto"/>
              </w:divBdr>
            </w:div>
            <w:div w:id="2035185220">
              <w:blockQuote w:val="1"/>
              <w:marLeft w:val="720"/>
              <w:marRight w:val="720"/>
              <w:marTop w:val="100"/>
              <w:marBottom w:val="100"/>
              <w:divBdr>
                <w:top w:val="none" w:sz="0" w:space="0" w:color="auto"/>
                <w:left w:val="none" w:sz="0" w:space="0" w:color="auto"/>
                <w:bottom w:val="none" w:sz="0" w:space="0" w:color="auto"/>
                <w:right w:val="none" w:sz="0" w:space="0" w:color="auto"/>
              </w:divBdr>
            </w:div>
            <w:div w:id="128503697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1474267">
              <w:blockQuote w:val="1"/>
              <w:marLeft w:val="720"/>
              <w:marRight w:val="720"/>
              <w:marTop w:val="100"/>
              <w:marBottom w:val="100"/>
              <w:divBdr>
                <w:top w:val="none" w:sz="0" w:space="0" w:color="auto"/>
                <w:left w:val="none" w:sz="0" w:space="0" w:color="auto"/>
                <w:bottom w:val="none" w:sz="0" w:space="0" w:color="auto"/>
                <w:right w:val="none" w:sz="0" w:space="0" w:color="auto"/>
              </w:divBdr>
            </w:div>
            <w:div w:id="1732387966">
              <w:blockQuote w:val="1"/>
              <w:marLeft w:val="720"/>
              <w:marRight w:val="720"/>
              <w:marTop w:val="100"/>
              <w:marBottom w:val="100"/>
              <w:divBdr>
                <w:top w:val="none" w:sz="0" w:space="0" w:color="auto"/>
                <w:left w:val="none" w:sz="0" w:space="0" w:color="auto"/>
                <w:bottom w:val="none" w:sz="0" w:space="0" w:color="auto"/>
                <w:right w:val="none" w:sz="0" w:space="0" w:color="auto"/>
              </w:divBdr>
            </w:div>
            <w:div w:id="511251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24668571">
      <w:bodyDiv w:val="1"/>
      <w:marLeft w:val="0"/>
      <w:marRight w:val="0"/>
      <w:marTop w:val="0"/>
      <w:marBottom w:val="0"/>
      <w:divBdr>
        <w:top w:val="none" w:sz="0" w:space="0" w:color="auto"/>
        <w:left w:val="none" w:sz="0" w:space="0" w:color="auto"/>
        <w:bottom w:val="none" w:sz="0" w:space="0" w:color="auto"/>
        <w:right w:val="none" w:sz="0" w:space="0" w:color="auto"/>
      </w:divBdr>
      <w:divsChild>
        <w:div w:id="2145654392">
          <w:blockQuote w:val="1"/>
          <w:marLeft w:val="720"/>
          <w:marRight w:val="720"/>
          <w:marTop w:val="100"/>
          <w:marBottom w:val="100"/>
          <w:divBdr>
            <w:top w:val="none" w:sz="0" w:space="0" w:color="auto"/>
            <w:left w:val="none" w:sz="0" w:space="0" w:color="auto"/>
            <w:bottom w:val="none" w:sz="0" w:space="0" w:color="auto"/>
            <w:right w:val="none" w:sz="0" w:space="0" w:color="auto"/>
          </w:divBdr>
        </w:div>
        <w:div w:id="449587343">
          <w:blockQuote w:val="1"/>
          <w:marLeft w:val="720"/>
          <w:marRight w:val="720"/>
          <w:marTop w:val="100"/>
          <w:marBottom w:val="100"/>
          <w:divBdr>
            <w:top w:val="none" w:sz="0" w:space="0" w:color="auto"/>
            <w:left w:val="none" w:sz="0" w:space="0" w:color="auto"/>
            <w:bottom w:val="none" w:sz="0" w:space="0" w:color="auto"/>
            <w:right w:val="none" w:sz="0" w:space="0" w:color="auto"/>
          </w:divBdr>
        </w:div>
        <w:div w:id="444423726">
          <w:blockQuote w:val="1"/>
          <w:marLeft w:val="720"/>
          <w:marRight w:val="720"/>
          <w:marTop w:val="100"/>
          <w:marBottom w:val="100"/>
          <w:divBdr>
            <w:top w:val="none" w:sz="0" w:space="0" w:color="auto"/>
            <w:left w:val="none" w:sz="0" w:space="0" w:color="auto"/>
            <w:bottom w:val="none" w:sz="0" w:space="0" w:color="auto"/>
            <w:right w:val="none" w:sz="0" w:space="0" w:color="auto"/>
          </w:divBdr>
        </w:div>
        <w:div w:id="918639305">
          <w:blockQuote w:val="1"/>
          <w:marLeft w:val="720"/>
          <w:marRight w:val="720"/>
          <w:marTop w:val="100"/>
          <w:marBottom w:val="100"/>
          <w:divBdr>
            <w:top w:val="none" w:sz="0" w:space="0" w:color="auto"/>
            <w:left w:val="none" w:sz="0" w:space="0" w:color="auto"/>
            <w:bottom w:val="none" w:sz="0" w:space="0" w:color="auto"/>
            <w:right w:val="none" w:sz="0" w:space="0" w:color="auto"/>
          </w:divBdr>
        </w:div>
        <w:div w:id="377628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6880723">
      <w:bodyDiv w:val="1"/>
      <w:marLeft w:val="0"/>
      <w:marRight w:val="0"/>
      <w:marTop w:val="0"/>
      <w:marBottom w:val="0"/>
      <w:divBdr>
        <w:top w:val="none" w:sz="0" w:space="0" w:color="auto"/>
        <w:left w:val="none" w:sz="0" w:space="0" w:color="auto"/>
        <w:bottom w:val="none" w:sz="0" w:space="0" w:color="auto"/>
        <w:right w:val="none" w:sz="0" w:space="0" w:color="auto"/>
      </w:divBdr>
      <w:divsChild>
        <w:div w:id="957564704">
          <w:marLeft w:val="0"/>
          <w:marRight w:val="0"/>
          <w:marTop w:val="0"/>
          <w:marBottom w:val="0"/>
          <w:divBdr>
            <w:top w:val="none" w:sz="0" w:space="0" w:color="auto"/>
            <w:left w:val="none" w:sz="0" w:space="0" w:color="auto"/>
            <w:bottom w:val="none" w:sz="0" w:space="0" w:color="auto"/>
            <w:right w:val="none" w:sz="0" w:space="0" w:color="auto"/>
          </w:divBdr>
          <w:divsChild>
            <w:div w:id="1717895781">
              <w:marLeft w:val="0"/>
              <w:marRight w:val="0"/>
              <w:marTop w:val="0"/>
              <w:marBottom w:val="0"/>
              <w:divBdr>
                <w:top w:val="none" w:sz="0" w:space="0" w:color="auto"/>
                <w:left w:val="none" w:sz="0" w:space="0" w:color="auto"/>
                <w:bottom w:val="none" w:sz="0" w:space="0" w:color="auto"/>
                <w:right w:val="none" w:sz="0" w:space="0" w:color="auto"/>
              </w:divBdr>
            </w:div>
            <w:div w:id="1024406068">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623997">
              <w:blockQuote w:val="1"/>
              <w:marLeft w:val="720"/>
              <w:marRight w:val="720"/>
              <w:marTop w:val="100"/>
              <w:marBottom w:val="100"/>
              <w:divBdr>
                <w:top w:val="none" w:sz="0" w:space="0" w:color="auto"/>
                <w:left w:val="none" w:sz="0" w:space="0" w:color="auto"/>
                <w:bottom w:val="none" w:sz="0" w:space="0" w:color="auto"/>
                <w:right w:val="none" w:sz="0" w:space="0" w:color="auto"/>
              </w:divBdr>
            </w:div>
            <w:div w:id="89591960">
              <w:blockQuote w:val="1"/>
              <w:marLeft w:val="720"/>
              <w:marRight w:val="720"/>
              <w:marTop w:val="100"/>
              <w:marBottom w:val="100"/>
              <w:divBdr>
                <w:top w:val="none" w:sz="0" w:space="0" w:color="auto"/>
                <w:left w:val="none" w:sz="0" w:space="0" w:color="auto"/>
                <w:bottom w:val="none" w:sz="0" w:space="0" w:color="auto"/>
                <w:right w:val="none" w:sz="0" w:space="0" w:color="auto"/>
              </w:divBdr>
            </w:div>
            <w:div w:id="318847217">
              <w:blockQuote w:val="1"/>
              <w:marLeft w:val="720"/>
              <w:marRight w:val="720"/>
              <w:marTop w:val="100"/>
              <w:marBottom w:val="100"/>
              <w:divBdr>
                <w:top w:val="none" w:sz="0" w:space="0" w:color="auto"/>
                <w:left w:val="none" w:sz="0" w:space="0" w:color="auto"/>
                <w:bottom w:val="none" w:sz="0" w:space="0" w:color="auto"/>
                <w:right w:val="none" w:sz="0" w:space="0" w:color="auto"/>
              </w:divBdr>
            </w:div>
            <w:div w:id="1084797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64373727">
      <w:bodyDiv w:val="1"/>
      <w:marLeft w:val="0"/>
      <w:marRight w:val="0"/>
      <w:marTop w:val="0"/>
      <w:marBottom w:val="0"/>
      <w:divBdr>
        <w:top w:val="none" w:sz="0" w:space="0" w:color="auto"/>
        <w:left w:val="none" w:sz="0" w:space="0" w:color="auto"/>
        <w:bottom w:val="none" w:sz="0" w:space="0" w:color="auto"/>
        <w:right w:val="none" w:sz="0" w:space="0" w:color="auto"/>
      </w:divBdr>
      <w:divsChild>
        <w:div w:id="19103394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8834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89850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2336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3457183">
      <w:bodyDiv w:val="1"/>
      <w:marLeft w:val="0"/>
      <w:marRight w:val="0"/>
      <w:marTop w:val="0"/>
      <w:marBottom w:val="0"/>
      <w:divBdr>
        <w:top w:val="none" w:sz="0" w:space="0" w:color="auto"/>
        <w:left w:val="none" w:sz="0" w:space="0" w:color="auto"/>
        <w:bottom w:val="none" w:sz="0" w:space="0" w:color="auto"/>
        <w:right w:val="none" w:sz="0" w:space="0" w:color="auto"/>
      </w:divBdr>
      <w:divsChild>
        <w:div w:id="411784476">
          <w:marLeft w:val="0"/>
          <w:marRight w:val="0"/>
          <w:marTop w:val="0"/>
          <w:marBottom w:val="0"/>
          <w:divBdr>
            <w:top w:val="none" w:sz="0" w:space="0" w:color="auto"/>
            <w:left w:val="none" w:sz="0" w:space="0" w:color="auto"/>
            <w:bottom w:val="none" w:sz="0" w:space="0" w:color="auto"/>
            <w:right w:val="none" w:sz="0" w:space="0" w:color="auto"/>
          </w:divBdr>
          <w:divsChild>
            <w:div w:id="337004019">
              <w:blockQuote w:val="1"/>
              <w:marLeft w:val="720"/>
              <w:marRight w:val="720"/>
              <w:marTop w:val="100"/>
              <w:marBottom w:val="100"/>
              <w:divBdr>
                <w:top w:val="none" w:sz="0" w:space="0" w:color="auto"/>
                <w:left w:val="none" w:sz="0" w:space="0" w:color="auto"/>
                <w:bottom w:val="none" w:sz="0" w:space="0" w:color="auto"/>
                <w:right w:val="none" w:sz="0" w:space="0" w:color="auto"/>
              </w:divBdr>
            </w:div>
            <w:div w:id="373893520">
              <w:blockQuote w:val="1"/>
              <w:marLeft w:val="720"/>
              <w:marRight w:val="720"/>
              <w:marTop w:val="100"/>
              <w:marBottom w:val="100"/>
              <w:divBdr>
                <w:top w:val="none" w:sz="0" w:space="0" w:color="auto"/>
                <w:left w:val="none" w:sz="0" w:space="0" w:color="auto"/>
                <w:bottom w:val="none" w:sz="0" w:space="0" w:color="auto"/>
                <w:right w:val="none" w:sz="0" w:space="0" w:color="auto"/>
              </w:divBdr>
            </w:div>
            <w:div w:id="4442352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6776712">
              <w:blockQuote w:val="1"/>
              <w:marLeft w:val="720"/>
              <w:marRight w:val="720"/>
              <w:marTop w:val="100"/>
              <w:marBottom w:val="100"/>
              <w:divBdr>
                <w:top w:val="none" w:sz="0" w:space="0" w:color="auto"/>
                <w:left w:val="none" w:sz="0" w:space="0" w:color="auto"/>
                <w:bottom w:val="none" w:sz="0" w:space="0" w:color="auto"/>
                <w:right w:val="none" w:sz="0" w:space="0" w:color="auto"/>
              </w:divBdr>
            </w:div>
            <w:div w:id="36274795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402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4661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623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17676">
              <w:blockQuote w:val="1"/>
              <w:marLeft w:val="720"/>
              <w:marRight w:val="720"/>
              <w:marTop w:val="100"/>
              <w:marBottom w:val="100"/>
              <w:divBdr>
                <w:top w:val="none" w:sz="0" w:space="0" w:color="auto"/>
                <w:left w:val="none" w:sz="0" w:space="0" w:color="auto"/>
                <w:bottom w:val="none" w:sz="0" w:space="0" w:color="auto"/>
                <w:right w:val="none" w:sz="0" w:space="0" w:color="auto"/>
              </w:divBdr>
            </w:div>
            <w:div w:id="343897858">
              <w:blockQuote w:val="1"/>
              <w:marLeft w:val="720"/>
              <w:marRight w:val="720"/>
              <w:marTop w:val="100"/>
              <w:marBottom w:val="100"/>
              <w:divBdr>
                <w:top w:val="none" w:sz="0" w:space="0" w:color="auto"/>
                <w:left w:val="none" w:sz="0" w:space="0" w:color="auto"/>
                <w:bottom w:val="none" w:sz="0" w:space="0" w:color="auto"/>
                <w:right w:val="none" w:sz="0" w:space="0" w:color="auto"/>
              </w:divBdr>
            </w:div>
            <w:div w:id="990912358">
              <w:blockQuote w:val="1"/>
              <w:marLeft w:val="720"/>
              <w:marRight w:val="720"/>
              <w:marTop w:val="100"/>
              <w:marBottom w:val="100"/>
              <w:divBdr>
                <w:top w:val="none" w:sz="0" w:space="0" w:color="auto"/>
                <w:left w:val="none" w:sz="0" w:space="0" w:color="auto"/>
                <w:bottom w:val="none" w:sz="0" w:space="0" w:color="auto"/>
                <w:right w:val="none" w:sz="0" w:space="0" w:color="auto"/>
              </w:divBdr>
            </w:div>
            <w:div w:id="976228888">
              <w:blockQuote w:val="1"/>
              <w:marLeft w:val="720"/>
              <w:marRight w:val="720"/>
              <w:marTop w:val="100"/>
              <w:marBottom w:val="100"/>
              <w:divBdr>
                <w:top w:val="none" w:sz="0" w:space="0" w:color="auto"/>
                <w:left w:val="none" w:sz="0" w:space="0" w:color="auto"/>
                <w:bottom w:val="none" w:sz="0" w:space="0" w:color="auto"/>
                <w:right w:val="none" w:sz="0" w:space="0" w:color="auto"/>
              </w:divBdr>
            </w:div>
            <w:div w:id="78789456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7191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9397042">
      <w:bodyDiv w:val="1"/>
      <w:marLeft w:val="0"/>
      <w:marRight w:val="0"/>
      <w:marTop w:val="0"/>
      <w:marBottom w:val="0"/>
      <w:divBdr>
        <w:top w:val="none" w:sz="0" w:space="0" w:color="auto"/>
        <w:left w:val="none" w:sz="0" w:space="0" w:color="auto"/>
        <w:bottom w:val="none" w:sz="0" w:space="0" w:color="auto"/>
        <w:right w:val="none" w:sz="0" w:space="0" w:color="auto"/>
      </w:divBdr>
      <w:divsChild>
        <w:div w:id="194032766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3799250">
          <w:blockQuote w:val="1"/>
          <w:marLeft w:val="720"/>
          <w:marRight w:val="720"/>
          <w:marTop w:val="100"/>
          <w:marBottom w:val="100"/>
          <w:divBdr>
            <w:top w:val="none" w:sz="0" w:space="0" w:color="auto"/>
            <w:left w:val="none" w:sz="0" w:space="0" w:color="auto"/>
            <w:bottom w:val="none" w:sz="0" w:space="0" w:color="auto"/>
            <w:right w:val="none" w:sz="0" w:space="0" w:color="auto"/>
          </w:divBdr>
        </w:div>
        <w:div w:id="232784213">
          <w:blockQuote w:val="1"/>
          <w:marLeft w:val="720"/>
          <w:marRight w:val="720"/>
          <w:marTop w:val="100"/>
          <w:marBottom w:val="100"/>
          <w:divBdr>
            <w:top w:val="none" w:sz="0" w:space="0" w:color="auto"/>
            <w:left w:val="none" w:sz="0" w:space="0" w:color="auto"/>
            <w:bottom w:val="none" w:sz="0" w:space="0" w:color="auto"/>
            <w:right w:val="none" w:sz="0" w:space="0" w:color="auto"/>
          </w:divBdr>
        </w:div>
        <w:div w:id="275842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5507225">
      <w:bodyDiv w:val="1"/>
      <w:marLeft w:val="0"/>
      <w:marRight w:val="0"/>
      <w:marTop w:val="0"/>
      <w:marBottom w:val="0"/>
      <w:divBdr>
        <w:top w:val="none" w:sz="0" w:space="0" w:color="auto"/>
        <w:left w:val="none" w:sz="0" w:space="0" w:color="auto"/>
        <w:bottom w:val="none" w:sz="0" w:space="0" w:color="auto"/>
        <w:right w:val="none" w:sz="0" w:space="0" w:color="auto"/>
      </w:divBdr>
      <w:divsChild>
        <w:div w:id="749500850">
          <w:marLeft w:val="0"/>
          <w:marRight w:val="0"/>
          <w:marTop w:val="0"/>
          <w:marBottom w:val="0"/>
          <w:divBdr>
            <w:top w:val="none" w:sz="0" w:space="0" w:color="auto"/>
            <w:left w:val="none" w:sz="0" w:space="0" w:color="auto"/>
            <w:bottom w:val="none" w:sz="0" w:space="0" w:color="auto"/>
            <w:right w:val="none" w:sz="0" w:space="0" w:color="auto"/>
          </w:divBdr>
          <w:divsChild>
            <w:div w:id="208595703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868924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424040">
              <w:blockQuote w:val="1"/>
              <w:marLeft w:val="720"/>
              <w:marRight w:val="720"/>
              <w:marTop w:val="100"/>
              <w:marBottom w:val="100"/>
              <w:divBdr>
                <w:top w:val="none" w:sz="0" w:space="0" w:color="auto"/>
                <w:left w:val="none" w:sz="0" w:space="0" w:color="auto"/>
                <w:bottom w:val="none" w:sz="0" w:space="0" w:color="auto"/>
                <w:right w:val="none" w:sz="0" w:space="0" w:color="auto"/>
              </w:divBdr>
            </w:div>
            <w:div w:id="814491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105292">
              <w:blockQuote w:val="1"/>
              <w:marLeft w:val="720"/>
              <w:marRight w:val="720"/>
              <w:marTop w:val="100"/>
              <w:marBottom w:val="100"/>
              <w:divBdr>
                <w:top w:val="none" w:sz="0" w:space="0" w:color="auto"/>
                <w:left w:val="none" w:sz="0" w:space="0" w:color="auto"/>
                <w:bottom w:val="none" w:sz="0" w:space="0" w:color="auto"/>
                <w:right w:val="none" w:sz="0" w:space="0" w:color="auto"/>
              </w:divBdr>
            </w:div>
            <w:div w:id="606079666">
              <w:blockQuote w:val="1"/>
              <w:marLeft w:val="720"/>
              <w:marRight w:val="720"/>
              <w:marTop w:val="100"/>
              <w:marBottom w:val="100"/>
              <w:divBdr>
                <w:top w:val="none" w:sz="0" w:space="0" w:color="auto"/>
                <w:left w:val="none" w:sz="0" w:space="0" w:color="auto"/>
                <w:bottom w:val="none" w:sz="0" w:space="0" w:color="auto"/>
                <w:right w:val="none" w:sz="0" w:space="0" w:color="auto"/>
              </w:divBdr>
            </w:div>
            <w:div w:id="484708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925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53203227">
      <w:bodyDiv w:val="1"/>
      <w:marLeft w:val="0"/>
      <w:marRight w:val="0"/>
      <w:marTop w:val="0"/>
      <w:marBottom w:val="0"/>
      <w:divBdr>
        <w:top w:val="none" w:sz="0" w:space="0" w:color="auto"/>
        <w:left w:val="none" w:sz="0" w:space="0" w:color="auto"/>
        <w:bottom w:val="none" w:sz="0" w:space="0" w:color="auto"/>
        <w:right w:val="none" w:sz="0" w:space="0" w:color="auto"/>
      </w:divBdr>
      <w:divsChild>
        <w:div w:id="298000724">
          <w:blockQuote w:val="1"/>
          <w:marLeft w:val="720"/>
          <w:marRight w:val="720"/>
          <w:marTop w:val="100"/>
          <w:marBottom w:val="100"/>
          <w:divBdr>
            <w:top w:val="none" w:sz="0" w:space="0" w:color="auto"/>
            <w:left w:val="none" w:sz="0" w:space="0" w:color="auto"/>
            <w:bottom w:val="none" w:sz="0" w:space="0" w:color="auto"/>
            <w:right w:val="none" w:sz="0" w:space="0" w:color="auto"/>
          </w:divBdr>
        </w:div>
        <w:div w:id="616450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825706">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744700">
          <w:blockQuote w:val="1"/>
          <w:marLeft w:val="720"/>
          <w:marRight w:val="720"/>
          <w:marTop w:val="100"/>
          <w:marBottom w:val="100"/>
          <w:divBdr>
            <w:top w:val="none" w:sz="0" w:space="0" w:color="auto"/>
            <w:left w:val="none" w:sz="0" w:space="0" w:color="auto"/>
            <w:bottom w:val="none" w:sz="0" w:space="0" w:color="auto"/>
            <w:right w:val="none" w:sz="0" w:space="0" w:color="auto"/>
          </w:divBdr>
        </w:div>
        <w:div w:id="661278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6305629">
      <w:bodyDiv w:val="1"/>
      <w:marLeft w:val="0"/>
      <w:marRight w:val="0"/>
      <w:marTop w:val="0"/>
      <w:marBottom w:val="0"/>
      <w:divBdr>
        <w:top w:val="none" w:sz="0" w:space="0" w:color="auto"/>
        <w:left w:val="none" w:sz="0" w:space="0" w:color="auto"/>
        <w:bottom w:val="none" w:sz="0" w:space="0" w:color="auto"/>
        <w:right w:val="none" w:sz="0" w:space="0" w:color="auto"/>
      </w:divBdr>
      <w:divsChild>
        <w:div w:id="1398867410">
          <w:marLeft w:val="0"/>
          <w:marRight w:val="0"/>
          <w:marTop w:val="0"/>
          <w:marBottom w:val="0"/>
          <w:divBdr>
            <w:top w:val="none" w:sz="0" w:space="0" w:color="auto"/>
            <w:left w:val="none" w:sz="0" w:space="0" w:color="auto"/>
            <w:bottom w:val="none" w:sz="0" w:space="0" w:color="auto"/>
            <w:right w:val="none" w:sz="0" w:space="0" w:color="auto"/>
          </w:divBdr>
          <w:divsChild>
            <w:div w:id="199904980">
              <w:blockQuote w:val="1"/>
              <w:marLeft w:val="720"/>
              <w:marRight w:val="720"/>
              <w:marTop w:val="100"/>
              <w:marBottom w:val="100"/>
              <w:divBdr>
                <w:top w:val="none" w:sz="0" w:space="0" w:color="auto"/>
                <w:left w:val="none" w:sz="0" w:space="0" w:color="auto"/>
                <w:bottom w:val="none" w:sz="0" w:space="0" w:color="auto"/>
                <w:right w:val="none" w:sz="0" w:space="0" w:color="auto"/>
              </w:divBdr>
            </w:div>
            <w:div w:id="774447675">
              <w:blockQuote w:val="1"/>
              <w:marLeft w:val="720"/>
              <w:marRight w:val="720"/>
              <w:marTop w:val="100"/>
              <w:marBottom w:val="100"/>
              <w:divBdr>
                <w:top w:val="none" w:sz="0" w:space="0" w:color="auto"/>
                <w:left w:val="none" w:sz="0" w:space="0" w:color="auto"/>
                <w:bottom w:val="none" w:sz="0" w:space="0" w:color="auto"/>
                <w:right w:val="none" w:sz="0" w:space="0" w:color="auto"/>
              </w:divBdr>
            </w:div>
            <w:div w:id="823012309">
              <w:blockQuote w:val="1"/>
              <w:marLeft w:val="720"/>
              <w:marRight w:val="720"/>
              <w:marTop w:val="100"/>
              <w:marBottom w:val="100"/>
              <w:divBdr>
                <w:top w:val="none" w:sz="0" w:space="0" w:color="auto"/>
                <w:left w:val="none" w:sz="0" w:space="0" w:color="auto"/>
                <w:bottom w:val="none" w:sz="0" w:space="0" w:color="auto"/>
                <w:right w:val="none" w:sz="0" w:space="0" w:color="auto"/>
              </w:divBdr>
            </w:div>
            <w:div w:id="390542963">
              <w:blockQuote w:val="1"/>
              <w:marLeft w:val="720"/>
              <w:marRight w:val="720"/>
              <w:marTop w:val="100"/>
              <w:marBottom w:val="100"/>
              <w:divBdr>
                <w:top w:val="none" w:sz="0" w:space="0" w:color="auto"/>
                <w:left w:val="none" w:sz="0" w:space="0" w:color="auto"/>
                <w:bottom w:val="none" w:sz="0" w:space="0" w:color="auto"/>
                <w:right w:val="none" w:sz="0" w:space="0" w:color="auto"/>
              </w:divBdr>
            </w:div>
            <w:div w:id="42221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187725">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572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644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633511">
              <w:blockQuote w:val="1"/>
              <w:marLeft w:val="720"/>
              <w:marRight w:val="720"/>
              <w:marTop w:val="100"/>
              <w:marBottom w:val="100"/>
              <w:divBdr>
                <w:top w:val="none" w:sz="0" w:space="0" w:color="auto"/>
                <w:left w:val="none" w:sz="0" w:space="0" w:color="auto"/>
                <w:bottom w:val="none" w:sz="0" w:space="0" w:color="auto"/>
                <w:right w:val="none" w:sz="0" w:space="0" w:color="auto"/>
              </w:divBdr>
            </w:div>
            <w:div w:id="674310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68580539">
      <w:bodyDiv w:val="1"/>
      <w:marLeft w:val="0"/>
      <w:marRight w:val="0"/>
      <w:marTop w:val="0"/>
      <w:marBottom w:val="0"/>
      <w:divBdr>
        <w:top w:val="none" w:sz="0" w:space="0" w:color="auto"/>
        <w:left w:val="none" w:sz="0" w:space="0" w:color="auto"/>
        <w:bottom w:val="none" w:sz="0" w:space="0" w:color="auto"/>
        <w:right w:val="none" w:sz="0" w:space="0" w:color="auto"/>
      </w:divBdr>
      <w:divsChild>
        <w:div w:id="4768399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40234765">
          <w:blockQuote w:val="1"/>
          <w:marLeft w:val="720"/>
          <w:marRight w:val="720"/>
          <w:marTop w:val="100"/>
          <w:marBottom w:val="100"/>
          <w:divBdr>
            <w:top w:val="none" w:sz="0" w:space="0" w:color="auto"/>
            <w:left w:val="none" w:sz="0" w:space="0" w:color="auto"/>
            <w:bottom w:val="none" w:sz="0" w:space="0" w:color="auto"/>
            <w:right w:val="none" w:sz="0" w:space="0" w:color="auto"/>
          </w:divBdr>
        </w:div>
        <w:div w:id="197739925">
          <w:blockQuote w:val="1"/>
          <w:marLeft w:val="720"/>
          <w:marRight w:val="720"/>
          <w:marTop w:val="100"/>
          <w:marBottom w:val="100"/>
          <w:divBdr>
            <w:top w:val="none" w:sz="0" w:space="0" w:color="auto"/>
            <w:left w:val="none" w:sz="0" w:space="0" w:color="auto"/>
            <w:bottom w:val="none" w:sz="0" w:space="0" w:color="auto"/>
            <w:right w:val="none" w:sz="0" w:space="0" w:color="auto"/>
          </w:divBdr>
        </w:div>
        <w:div w:id="315426126">
          <w:blockQuote w:val="1"/>
          <w:marLeft w:val="720"/>
          <w:marRight w:val="720"/>
          <w:marTop w:val="100"/>
          <w:marBottom w:val="100"/>
          <w:divBdr>
            <w:top w:val="none" w:sz="0" w:space="0" w:color="auto"/>
            <w:left w:val="none" w:sz="0" w:space="0" w:color="auto"/>
            <w:bottom w:val="none" w:sz="0" w:space="0" w:color="auto"/>
            <w:right w:val="none" w:sz="0" w:space="0" w:color="auto"/>
          </w:divBdr>
        </w:div>
        <w:div w:id="317541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206055">
      <w:bodyDiv w:val="1"/>
      <w:marLeft w:val="0"/>
      <w:marRight w:val="0"/>
      <w:marTop w:val="0"/>
      <w:marBottom w:val="0"/>
      <w:divBdr>
        <w:top w:val="none" w:sz="0" w:space="0" w:color="auto"/>
        <w:left w:val="none" w:sz="0" w:space="0" w:color="auto"/>
        <w:bottom w:val="none" w:sz="0" w:space="0" w:color="auto"/>
        <w:right w:val="none" w:sz="0" w:space="0" w:color="auto"/>
      </w:divBdr>
      <w:divsChild>
        <w:div w:id="1496606662">
          <w:marLeft w:val="0"/>
          <w:marRight w:val="0"/>
          <w:marTop w:val="0"/>
          <w:marBottom w:val="0"/>
          <w:divBdr>
            <w:top w:val="none" w:sz="0" w:space="0" w:color="auto"/>
            <w:left w:val="none" w:sz="0" w:space="0" w:color="auto"/>
            <w:bottom w:val="none" w:sz="0" w:space="0" w:color="auto"/>
            <w:right w:val="none" w:sz="0" w:space="0" w:color="auto"/>
          </w:divBdr>
          <w:divsChild>
            <w:div w:id="327369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245386">
              <w:blockQuote w:val="1"/>
              <w:marLeft w:val="720"/>
              <w:marRight w:val="720"/>
              <w:marTop w:val="100"/>
              <w:marBottom w:val="100"/>
              <w:divBdr>
                <w:top w:val="none" w:sz="0" w:space="0" w:color="auto"/>
                <w:left w:val="none" w:sz="0" w:space="0" w:color="auto"/>
                <w:bottom w:val="none" w:sz="0" w:space="0" w:color="auto"/>
                <w:right w:val="none" w:sz="0" w:space="0" w:color="auto"/>
              </w:divBdr>
            </w:div>
            <w:div w:id="237446072">
              <w:blockQuote w:val="1"/>
              <w:marLeft w:val="720"/>
              <w:marRight w:val="720"/>
              <w:marTop w:val="100"/>
              <w:marBottom w:val="100"/>
              <w:divBdr>
                <w:top w:val="none" w:sz="0" w:space="0" w:color="auto"/>
                <w:left w:val="none" w:sz="0" w:space="0" w:color="auto"/>
                <w:bottom w:val="none" w:sz="0" w:space="0" w:color="auto"/>
                <w:right w:val="none" w:sz="0" w:space="0" w:color="auto"/>
              </w:divBdr>
            </w:div>
            <w:div w:id="1289511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809206">
      <w:bodyDiv w:val="1"/>
      <w:marLeft w:val="0"/>
      <w:marRight w:val="0"/>
      <w:marTop w:val="0"/>
      <w:marBottom w:val="0"/>
      <w:divBdr>
        <w:top w:val="none" w:sz="0" w:space="0" w:color="auto"/>
        <w:left w:val="none" w:sz="0" w:space="0" w:color="auto"/>
        <w:bottom w:val="none" w:sz="0" w:space="0" w:color="auto"/>
        <w:right w:val="none" w:sz="0" w:space="0" w:color="auto"/>
      </w:divBdr>
      <w:divsChild>
        <w:div w:id="1306544428">
          <w:blockQuote w:val="1"/>
          <w:marLeft w:val="720"/>
          <w:marRight w:val="720"/>
          <w:marTop w:val="100"/>
          <w:marBottom w:val="100"/>
          <w:divBdr>
            <w:top w:val="none" w:sz="0" w:space="0" w:color="auto"/>
            <w:left w:val="none" w:sz="0" w:space="0" w:color="auto"/>
            <w:bottom w:val="none" w:sz="0" w:space="0" w:color="auto"/>
            <w:right w:val="none" w:sz="0" w:space="0" w:color="auto"/>
          </w:divBdr>
        </w:div>
        <w:div w:id="882405097">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8470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6485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48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8987499">
      <w:bodyDiv w:val="1"/>
      <w:marLeft w:val="0"/>
      <w:marRight w:val="0"/>
      <w:marTop w:val="0"/>
      <w:marBottom w:val="0"/>
      <w:divBdr>
        <w:top w:val="none" w:sz="0" w:space="0" w:color="auto"/>
        <w:left w:val="none" w:sz="0" w:space="0" w:color="auto"/>
        <w:bottom w:val="none" w:sz="0" w:space="0" w:color="auto"/>
        <w:right w:val="none" w:sz="0" w:space="0" w:color="auto"/>
      </w:divBdr>
      <w:divsChild>
        <w:div w:id="750079567">
          <w:marLeft w:val="0"/>
          <w:marRight w:val="0"/>
          <w:marTop w:val="0"/>
          <w:marBottom w:val="0"/>
          <w:divBdr>
            <w:top w:val="none" w:sz="0" w:space="0" w:color="auto"/>
            <w:left w:val="none" w:sz="0" w:space="0" w:color="auto"/>
            <w:bottom w:val="none" w:sz="0" w:space="0" w:color="auto"/>
            <w:right w:val="none" w:sz="0" w:space="0" w:color="auto"/>
          </w:divBdr>
          <w:divsChild>
            <w:div w:id="921371621">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822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897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67165697">
              <w:blockQuote w:val="1"/>
              <w:marLeft w:val="720"/>
              <w:marRight w:val="720"/>
              <w:marTop w:val="100"/>
              <w:marBottom w:val="100"/>
              <w:divBdr>
                <w:top w:val="none" w:sz="0" w:space="0" w:color="auto"/>
                <w:left w:val="none" w:sz="0" w:space="0" w:color="auto"/>
                <w:bottom w:val="none" w:sz="0" w:space="0" w:color="auto"/>
                <w:right w:val="none" w:sz="0" w:space="0" w:color="auto"/>
              </w:divBdr>
            </w:div>
            <w:div w:id="717166454">
              <w:blockQuote w:val="1"/>
              <w:marLeft w:val="720"/>
              <w:marRight w:val="720"/>
              <w:marTop w:val="100"/>
              <w:marBottom w:val="100"/>
              <w:divBdr>
                <w:top w:val="none" w:sz="0" w:space="0" w:color="auto"/>
                <w:left w:val="none" w:sz="0" w:space="0" w:color="auto"/>
                <w:bottom w:val="none" w:sz="0" w:space="0" w:color="auto"/>
                <w:right w:val="none" w:sz="0" w:space="0" w:color="auto"/>
              </w:divBdr>
            </w:div>
            <w:div w:id="616801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6183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5749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24497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80733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940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2263612">
      <w:bodyDiv w:val="1"/>
      <w:marLeft w:val="0"/>
      <w:marRight w:val="0"/>
      <w:marTop w:val="0"/>
      <w:marBottom w:val="0"/>
      <w:divBdr>
        <w:top w:val="none" w:sz="0" w:space="0" w:color="auto"/>
        <w:left w:val="none" w:sz="0" w:space="0" w:color="auto"/>
        <w:bottom w:val="none" w:sz="0" w:space="0" w:color="auto"/>
        <w:right w:val="none" w:sz="0" w:space="0" w:color="auto"/>
      </w:divBdr>
      <w:divsChild>
        <w:div w:id="1150947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090732141">
          <w:blockQuote w:val="1"/>
          <w:marLeft w:val="720"/>
          <w:marRight w:val="720"/>
          <w:marTop w:val="100"/>
          <w:marBottom w:val="100"/>
          <w:divBdr>
            <w:top w:val="none" w:sz="0" w:space="0" w:color="auto"/>
            <w:left w:val="none" w:sz="0" w:space="0" w:color="auto"/>
            <w:bottom w:val="none" w:sz="0" w:space="0" w:color="auto"/>
            <w:right w:val="none" w:sz="0" w:space="0" w:color="auto"/>
          </w:divBdr>
        </w:div>
        <w:div w:id="519319998">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599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0590268">
      <w:bodyDiv w:val="1"/>
      <w:marLeft w:val="0"/>
      <w:marRight w:val="0"/>
      <w:marTop w:val="0"/>
      <w:marBottom w:val="0"/>
      <w:divBdr>
        <w:top w:val="none" w:sz="0" w:space="0" w:color="auto"/>
        <w:left w:val="none" w:sz="0" w:space="0" w:color="auto"/>
        <w:bottom w:val="none" w:sz="0" w:space="0" w:color="auto"/>
        <w:right w:val="none" w:sz="0" w:space="0" w:color="auto"/>
      </w:divBdr>
      <w:divsChild>
        <w:div w:id="950942483">
          <w:marLeft w:val="0"/>
          <w:marRight w:val="0"/>
          <w:marTop w:val="0"/>
          <w:marBottom w:val="0"/>
          <w:divBdr>
            <w:top w:val="none" w:sz="0" w:space="0" w:color="auto"/>
            <w:left w:val="none" w:sz="0" w:space="0" w:color="auto"/>
            <w:bottom w:val="none" w:sz="0" w:space="0" w:color="auto"/>
            <w:right w:val="none" w:sz="0" w:space="0" w:color="auto"/>
          </w:divBdr>
          <w:divsChild>
            <w:div w:id="349185524">
              <w:marLeft w:val="0"/>
              <w:marRight w:val="0"/>
              <w:marTop w:val="0"/>
              <w:marBottom w:val="0"/>
              <w:divBdr>
                <w:top w:val="none" w:sz="0" w:space="0" w:color="auto"/>
                <w:left w:val="none" w:sz="0" w:space="0" w:color="auto"/>
                <w:bottom w:val="none" w:sz="0" w:space="0" w:color="auto"/>
                <w:right w:val="none" w:sz="0" w:space="0" w:color="auto"/>
              </w:divBdr>
            </w:div>
            <w:div w:id="163278913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91947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18594672">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771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695885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4523905">
      <w:bodyDiv w:val="1"/>
      <w:marLeft w:val="0"/>
      <w:marRight w:val="0"/>
      <w:marTop w:val="0"/>
      <w:marBottom w:val="0"/>
      <w:divBdr>
        <w:top w:val="none" w:sz="0" w:space="0" w:color="auto"/>
        <w:left w:val="none" w:sz="0" w:space="0" w:color="auto"/>
        <w:bottom w:val="none" w:sz="0" w:space="0" w:color="auto"/>
        <w:right w:val="none" w:sz="0" w:space="0" w:color="auto"/>
      </w:divBdr>
      <w:divsChild>
        <w:div w:id="733623174">
          <w:blockQuote w:val="1"/>
          <w:marLeft w:val="720"/>
          <w:marRight w:val="720"/>
          <w:marTop w:val="100"/>
          <w:marBottom w:val="100"/>
          <w:divBdr>
            <w:top w:val="none" w:sz="0" w:space="0" w:color="auto"/>
            <w:left w:val="none" w:sz="0" w:space="0" w:color="auto"/>
            <w:bottom w:val="none" w:sz="0" w:space="0" w:color="auto"/>
            <w:right w:val="none" w:sz="0" w:space="0" w:color="auto"/>
          </w:divBdr>
        </w:div>
        <w:div w:id="10516594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7356271">
          <w:blockQuote w:val="1"/>
          <w:marLeft w:val="720"/>
          <w:marRight w:val="720"/>
          <w:marTop w:val="100"/>
          <w:marBottom w:val="100"/>
          <w:divBdr>
            <w:top w:val="none" w:sz="0" w:space="0" w:color="auto"/>
            <w:left w:val="none" w:sz="0" w:space="0" w:color="auto"/>
            <w:bottom w:val="none" w:sz="0" w:space="0" w:color="auto"/>
            <w:right w:val="none" w:sz="0" w:space="0" w:color="auto"/>
          </w:divBdr>
        </w:div>
        <w:div w:id="65761219">
          <w:blockQuote w:val="1"/>
          <w:marLeft w:val="720"/>
          <w:marRight w:val="720"/>
          <w:marTop w:val="100"/>
          <w:marBottom w:val="100"/>
          <w:divBdr>
            <w:top w:val="none" w:sz="0" w:space="0" w:color="auto"/>
            <w:left w:val="none" w:sz="0" w:space="0" w:color="auto"/>
            <w:bottom w:val="none" w:sz="0" w:space="0" w:color="auto"/>
            <w:right w:val="none" w:sz="0" w:space="0" w:color="auto"/>
          </w:divBdr>
        </w:div>
        <w:div w:id="726564229">
          <w:blockQuote w:val="1"/>
          <w:marLeft w:val="720"/>
          <w:marRight w:val="720"/>
          <w:marTop w:val="100"/>
          <w:marBottom w:val="100"/>
          <w:divBdr>
            <w:top w:val="none" w:sz="0" w:space="0" w:color="auto"/>
            <w:left w:val="none" w:sz="0" w:space="0" w:color="auto"/>
            <w:bottom w:val="none" w:sz="0" w:space="0" w:color="auto"/>
            <w:right w:val="none" w:sz="0" w:space="0" w:color="auto"/>
          </w:divBdr>
        </w:div>
        <w:div w:id="1517229605">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365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0592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7871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3152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399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55126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428775">
          <w:blockQuote w:val="1"/>
          <w:marLeft w:val="720"/>
          <w:marRight w:val="720"/>
          <w:marTop w:val="100"/>
          <w:marBottom w:val="100"/>
          <w:divBdr>
            <w:top w:val="none" w:sz="0" w:space="0" w:color="auto"/>
            <w:left w:val="none" w:sz="0" w:space="0" w:color="auto"/>
            <w:bottom w:val="none" w:sz="0" w:space="0" w:color="auto"/>
            <w:right w:val="none" w:sz="0" w:space="0" w:color="auto"/>
          </w:divBdr>
        </w:div>
        <w:div w:id="97133117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2034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449931">
          <w:blockQuote w:val="1"/>
          <w:marLeft w:val="720"/>
          <w:marRight w:val="720"/>
          <w:marTop w:val="100"/>
          <w:marBottom w:val="100"/>
          <w:divBdr>
            <w:top w:val="none" w:sz="0" w:space="0" w:color="auto"/>
            <w:left w:val="none" w:sz="0" w:space="0" w:color="auto"/>
            <w:bottom w:val="none" w:sz="0" w:space="0" w:color="auto"/>
            <w:right w:val="none" w:sz="0" w:space="0" w:color="auto"/>
          </w:divBdr>
        </w:div>
        <w:div w:id="3555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0867282">
      <w:bodyDiv w:val="1"/>
      <w:marLeft w:val="0"/>
      <w:marRight w:val="0"/>
      <w:marTop w:val="0"/>
      <w:marBottom w:val="0"/>
      <w:divBdr>
        <w:top w:val="none" w:sz="0" w:space="0" w:color="auto"/>
        <w:left w:val="none" w:sz="0" w:space="0" w:color="auto"/>
        <w:bottom w:val="none" w:sz="0" w:space="0" w:color="auto"/>
        <w:right w:val="none" w:sz="0" w:space="0" w:color="auto"/>
      </w:divBdr>
      <w:divsChild>
        <w:div w:id="158036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98793972">
          <w:blockQuote w:val="1"/>
          <w:marLeft w:val="720"/>
          <w:marRight w:val="720"/>
          <w:marTop w:val="100"/>
          <w:marBottom w:val="100"/>
          <w:divBdr>
            <w:top w:val="none" w:sz="0" w:space="0" w:color="auto"/>
            <w:left w:val="none" w:sz="0" w:space="0" w:color="auto"/>
            <w:bottom w:val="none" w:sz="0" w:space="0" w:color="auto"/>
            <w:right w:val="none" w:sz="0" w:space="0" w:color="auto"/>
          </w:divBdr>
        </w:div>
        <w:div w:id="685985144">
          <w:blockQuote w:val="1"/>
          <w:marLeft w:val="720"/>
          <w:marRight w:val="720"/>
          <w:marTop w:val="100"/>
          <w:marBottom w:val="100"/>
          <w:divBdr>
            <w:top w:val="none" w:sz="0" w:space="0" w:color="auto"/>
            <w:left w:val="none" w:sz="0" w:space="0" w:color="auto"/>
            <w:bottom w:val="none" w:sz="0" w:space="0" w:color="auto"/>
            <w:right w:val="none" w:sz="0" w:space="0" w:color="auto"/>
          </w:divBdr>
        </w:div>
        <w:div w:id="353926875">
          <w:blockQuote w:val="1"/>
          <w:marLeft w:val="720"/>
          <w:marRight w:val="720"/>
          <w:marTop w:val="100"/>
          <w:marBottom w:val="100"/>
          <w:divBdr>
            <w:top w:val="none" w:sz="0" w:space="0" w:color="auto"/>
            <w:left w:val="none" w:sz="0" w:space="0" w:color="auto"/>
            <w:bottom w:val="none" w:sz="0" w:space="0" w:color="auto"/>
            <w:right w:val="none" w:sz="0" w:space="0" w:color="auto"/>
          </w:divBdr>
        </w:div>
        <w:div w:id="901137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5239699">
      <w:bodyDiv w:val="1"/>
      <w:marLeft w:val="0"/>
      <w:marRight w:val="0"/>
      <w:marTop w:val="0"/>
      <w:marBottom w:val="0"/>
      <w:divBdr>
        <w:top w:val="none" w:sz="0" w:space="0" w:color="auto"/>
        <w:left w:val="none" w:sz="0" w:space="0" w:color="auto"/>
        <w:bottom w:val="none" w:sz="0" w:space="0" w:color="auto"/>
        <w:right w:val="none" w:sz="0" w:space="0" w:color="auto"/>
      </w:divBdr>
      <w:divsChild>
        <w:div w:id="1576469595">
          <w:blockQuote w:val="1"/>
          <w:marLeft w:val="720"/>
          <w:marRight w:val="720"/>
          <w:marTop w:val="100"/>
          <w:marBottom w:val="100"/>
          <w:divBdr>
            <w:top w:val="none" w:sz="0" w:space="0" w:color="auto"/>
            <w:left w:val="none" w:sz="0" w:space="0" w:color="auto"/>
            <w:bottom w:val="none" w:sz="0" w:space="0" w:color="auto"/>
            <w:right w:val="none" w:sz="0" w:space="0" w:color="auto"/>
          </w:divBdr>
        </w:div>
        <w:div w:id="42697112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1431162">
          <w:blockQuote w:val="1"/>
          <w:marLeft w:val="720"/>
          <w:marRight w:val="720"/>
          <w:marTop w:val="100"/>
          <w:marBottom w:val="100"/>
          <w:divBdr>
            <w:top w:val="none" w:sz="0" w:space="0" w:color="auto"/>
            <w:left w:val="none" w:sz="0" w:space="0" w:color="auto"/>
            <w:bottom w:val="none" w:sz="0" w:space="0" w:color="auto"/>
            <w:right w:val="none" w:sz="0" w:space="0" w:color="auto"/>
          </w:divBdr>
        </w:div>
        <w:div w:id="264732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4679735">
      <w:bodyDiv w:val="1"/>
      <w:marLeft w:val="0"/>
      <w:marRight w:val="0"/>
      <w:marTop w:val="0"/>
      <w:marBottom w:val="0"/>
      <w:divBdr>
        <w:top w:val="none" w:sz="0" w:space="0" w:color="auto"/>
        <w:left w:val="none" w:sz="0" w:space="0" w:color="auto"/>
        <w:bottom w:val="none" w:sz="0" w:space="0" w:color="auto"/>
        <w:right w:val="none" w:sz="0" w:space="0" w:color="auto"/>
      </w:divBdr>
      <w:divsChild>
        <w:div w:id="345061221">
          <w:blockQuote w:val="1"/>
          <w:marLeft w:val="720"/>
          <w:marRight w:val="720"/>
          <w:marTop w:val="100"/>
          <w:marBottom w:val="100"/>
          <w:divBdr>
            <w:top w:val="none" w:sz="0" w:space="0" w:color="auto"/>
            <w:left w:val="none" w:sz="0" w:space="0" w:color="auto"/>
            <w:bottom w:val="none" w:sz="0" w:space="0" w:color="auto"/>
            <w:right w:val="none" w:sz="0" w:space="0" w:color="auto"/>
          </w:divBdr>
        </w:div>
        <w:div w:id="63625449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876238">
          <w:blockQuote w:val="1"/>
          <w:marLeft w:val="720"/>
          <w:marRight w:val="720"/>
          <w:marTop w:val="100"/>
          <w:marBottom w:val="100"/>
          <w:divBdr>
            <w:top w:val="none" w:sz="0" w:space="0" w:color="auto"/>
            <w:left w:val="none" w:sz="0" w:space="0" w:color="auto"/>
            <w:bottom w:val="none" w:sz="0" w:space="0" w:color="auto"/>
            <w:right w:val="none" w:sz="0" w:space="0" w:color="auto"/>
          </w:divBdr>
        </w:div>
        <w:div w:id="29591528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4637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8876034">
      <w:bodyDiv w:val="1"/>
      <w:marLeft w:val="0"/>
      <w:marRight w:val="0"/>
      <w:marTop w:val="0"/>
      <w:marBottom w:val="0"/>
      <w:divBdr>
        <w:top w:val="none" w:sz="0" w:space="0" w:color="auto"/>
        <w:left w:val="none" w:sz="0" w:space="0" w:color="auto"/>
        <w:bottom w:val="none" w:sz="0" w:space="0" w:color="auto"/>
        <w:right w:val="none" w:sz="0" w:space="0" w:color="auto"/>
      </w:divBdr>
      <w:divsChild>
        <w:div w:id="6887977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6456593">
          <w:blockQuote w:val="1"/>
          <w:marLeft w:val="720"/>
          <w:marRight w:val="720"/>
          <w:marTop w:val="100"/>
          <w:marBottom w:val="100"/>
          <w:divBdr>
            <w:top w:val="none" w:sz="0" w:space="0" w:color="auto"/>
            <w:left w:val="none" w:sz="0" w:space="0" w:color="auto"/>
            <w:bottom w:val="none" w:sz="0" w:space="0" w:color="auto"/>
            <w:right w:val="none" w:sz="0" w:space="0" w:color="auto"/>
          </w:divBdr>
        </w:div>
        <w:div w:id="21524196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1387872">
          <w:blockQuote w:val="1"/>
          <w:marLeft w:val="720"/>
          <w:marRight w:val="720"/>
          <w:marTop w:val="100"/>
          <w:marBottom w:val="100"/>
          <w:divBdr>
            <w:top w:val="none" w:sz="0" w:space="0" w:color="auto"/>
            <w:left w:val="none" w:sz="0" w:space="0" w:color="auto"/>
            <w:bottom w:val="none" w:sz="0" w:space="0" w:color="auto"/>
            <w:right w:val="none" w:sz="0" w:space="0" w:color="auto"/>
          </w:divBdr>
        </w:div>
        <w:div w:id="1460876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4364795">
      <w:bodyDiv w:val="1"/>
      <w:marLeft w:val="0"/>
      <w:marRight w:val="0"/>
      <w:marTop w:val="0"/>
      <w:marBottom w:val="0"/>
      <w:divBdr>
        <w:top w:val="none" w:sz="0" w:space="0" w:color="auto"/>
        <w:left w:val="none" w:sz="0" w:space="0" w:color="auto"/>
        <w:bottom w:val="none" w:sz="0" w:space="0" w:color="auto"/>
        <w:right w:val="none" w:sz="0" w:space="0" w:color="auto"/>
      </w:divBdr>
      <w:divsChild>
        <w:div w:id="569076568">
          <w:blockQuote w:val="1"/>
          <w:marLeft w:val="720"/>
          <w:marRight w:val="720"/>
          <w:marTop w:val="100"/>
          <w:marBottom w:val="100"/>
          <w:divBdr>
            <w:top w:val="none" w:sz="0" w:space="0" w:color="auto"/>
            <w:left w:val="none" w:sz="0" w:space="0" w:color="auto"/>
            <w:bottom w:val="none" w:sz="0" w:space="0" w:color="auto"/>
            <w:right w:val="none" w:sz="0" w:space="0" w:color="auto"/>
          </w:divBdr>
        </w:div>
        <w:div w:id="662273433">
          <w:blockQuote w:val="1"/>
          <w:marLeft w:val="720"/>
          <w:marRight w:val="720"/>
          <w:marTop w:val="100"/>
          <w:marBottom w:val="100"/>
          <w:divBdr>
            <w:top w:val="none" w:sz="0" w:space="0" w:color="auto"/>
            <w:left w:val="none" w:sz="0" w:space="0" w:color="auto"/>
            <w:bottom w:val="none" w:sz="0" w:space="0" w:color="auto"/>
            <w:right w:val="none" w:sz="0" w:space="0" w:color="auto"/>
          </w:divBdr>
        </w:div>
        <w:div w:id="315916007">
          <w:blockQuote w:val="1"/>
          <w:marLeft w:val="720"/>
          <w:marRight w:val="720"/>
          <w:marTop w:val="100"/>
          <w:marBottom w:val="100"/>
          <w:divBdr>
            <w:top w:val="none" w:sz="0" w:space="0" w:color="auto"/>
            <w:left w:val="none" w:sz="0" w:space="0" w:color="auto"/>
            <w:bottom w:val="none" w:sz="0" w:space="0" w:color="auto"/>
            <w:right w:val="none" w:sz="0" w:space="0" w:color="auto"/>
          </w:divBdr>
        </w:div>
        <w:div w:id="492910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915970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300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4892211">
      <w:bodyDiv w:val="1"/>
      <w:marLeft w:val="0"/>
      <w:marRight w:val="0"/>
      <w:marTop w:val="0"/>
      <w:marBottom w:val="0"/>
      <w:divBdr>
        <w:top w:val="none" w:sz="0" w:space="0" w:color="auto"/>
        <w:left w:val="none" w:sz="0" w:space="0" w:color="auto"/>
        <w:bottom w:val="none" w:sz="0" w:space="0" w:color="auto"/>
        <w:right w:val="none" w:sz="0" w:space="0" w:color="auto"/>
      </w:divBdr>
      <w:divsChild>
        <w:div w:id="825972634">
          <w:marLeft w:val="0"/>
          <w:marRight w:val="0"/>
          <w:marTop w:val="0"/>
          <w:marBottom w:val="0"/>
          <w:divBdr>
            <w:top w:val="none" w:sz="0" w:space="0" w:color="auto"/>
            <w:left w:val="none" w:sz="0" w:space="0" w:color="auto"/>
            <w:bottom w:val="none" w:sz="0" w:space="0" w:color="auto"/>
            <w:right w:val="none" w:sz="0" w:space="0" w:color="auto"/>
          </w:divBdr>
          <w:divsChild>
            <w:div w:id="1137451971">
              <w:blockQuote w:val="1"/>
              <w:marLeft w:val="720"/>
              <w:marRight w:val="720"/>
              <w:marTop w:val="100"/>
              <w:marBottom w:val="100"/>
              <w:divBdr>
                <w:top w:val="none" w:sz="0" w:space="0" w:color="auto"/>
                <w:left w:val="none" w:sz="0" w:space="0" w:color="auto"/>
                <w:bottom w:val="none" w:sz="0" w:space="0" w:color="auto"/>
                <w:right w:val="none" w:sz="0" w:space="0" w:color="auto"/>
              </w:divBdr>
            </w:div>
            <w:div w:id="2770306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355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149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5247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594223">
              <w:blockQuote w:val="1"/>
              <w:marLeft w:val="720"/>
              <w:marRight w:val="720"/>
              <w:marTop w:val="100"/>
              <w:marBottom w:val="100"/>
              <w:divBdr>
                <w:top w:val="none" w:sz="0" w:space="0" w:color="auto"/>
                <w:left w:val="none" w:sz="0" w:space="0" w:color="auto"/>
                <w:bottom w:val="none" w:sz="0" w:space="0" w:color="auto"/>
                <w:right w:val="none" w:sz="0" w:space="0" w:color="auto"/>
              </w:divBdr>
            </w:div>
            <w:div w:id="812604943">
              <w:blockQuote w:val="1"/>
              <w:marLeft w:val="720"/>
              <w:marRight w:val="720"/>
              <w:marTop w:val="100"/>
              <w:marBottom w:val="100"/>
              <w:divBdr>
                <w:top w:val="none" w:sz="0" w:space="0" w:color="auto"/>
                <w:left w:val="none" w:sz="0" w:space="0" w:color="auto"/>
                <w:bottom w:val="none" w:sz="0" w:space="0" w:color="auto"/>
                <w:right w:val="none" w:sz="0" w:space="0" w:color="auto"/>
              </w:divBdr>
            </w:div>
            <w:div w:id="16734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0202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1527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86440342">
      <w:bodyDiv w:val="1"/>
      <w:marLeft w:val="0"/>
      <w:marRight w:val="0"/>
      <w:marTop w:val="0"/>
      <w:marBottom w:val="0"/>
      <w:divBdr>
        <w:top w:val="none" w:sz="0" w:space="0" w:color="auto"/>
        <w:left w:val="none" w:sz="0" w:space="0" w:color="auto"/>
        <w:bottom w:val="none" w:sz="0" w:space="0" w:color="auto"/>
        <w:right w:val="none" w:sz="0" w:space="0" w:color="auto"/>
      </w:divBdr>
      <w:divsChild>
        <w:div w:id="638923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841285">
          <w:blockQuote w:val="1"/>
          <w:marLeft w:val="720"/>
          <w:marRight w:val="720"/>
          <w:marTop w:val="100"/>
          <w:marBottom w:val="100"/>
          <w:divBdr>
            <w:top w:val="none" w:sz="0" w:space="0" w:color="auto"/>
            <w:left w:val="none" w:sz="0" w:space="0" w:color="auto"/>
            <w:bottom w:val="none" w:sz="0" w:space="0" w:color="auto"/>
            <w:right w:val="none" w:sz="0" w:space="0" w:color="auto"/>
          </w:divBdr>
        </w:div>
        <w:div w:id="631444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3714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563293">
          <w:blockQuote w:val="1"/>
          <w:marLeft w:val="720"/>
          <w:marRight w:val="720"/>
          <w:marTop w:val="100"/>
          <w:marBottom w:val="100"/>
          <w:divBdr>
            <w:top w:val="none" w:sz="0" w:space="0" w:color="auto"/>
            <w:left w:val="none" w:sz="0" w:space="0" w:color="auto"/>
            <w:bottom w:val="none" w:sz="0" w:space="0" w:color="auto"/>
            <w:right w:val="none" w:sz="0" w:space="0" w:color="auto"/>
          </w:divBdr>
        </w:div>
        <w:div w:id="2536353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97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72077297">
          <w:blockQuote w:val="1"/>
          <w:marLeft w:val="720"/>
          <w:marRight w:val="720"/>
          <w:marTop w:val="100"/>
          <w:marBottom w:val="100"/>
          <w:divBdr>
            <w:top w:val="none" w:sz="0" w:space="0" w:color="auto"/>
            <w:left w:val="none" w:sz="0" w:space="0" w:color="auto"/>
            <w:bottom w:val="none" w:sz="0" w:space="0" w:color="auto"/>
            <w:right w:val="none" w:sz="0" w:space="0" w:color="auto"/>
          </w:divBdr>
        </w:div>
        <w:div w:id="500392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8990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309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9547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392784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1250477">
      <w:bodyDiv w:val="1"/>
      <w:marLeft w:val="0"/>
      <w:marRight w:val="0"/>
      <w:marTop w:val="0"/>
      <w:marBottom w:val="0"/>
      <w:divBdr>
        <w:top w:val="none" w:sz="0" w:space="0" w:color="auto"/>
        <w:left w:val="none" w:sz="0" w:space="0" w:color="auto"/>
        <w:bottom w:val="none" w:sz="0" w:space="0" w:color="auto"/>
        <w:right w:val="none" w:sz="0" w:space="0" w:color="auto"/>
      </w:divBdr>
      <w:divsChild>
        <w:div w:id="1227567630">
          <w:marLeft w:val="0"/>
          <w:marRight w:val="0"/>
          <w:marTop w:val="0"/>
          <w:marBottom w:val="0"/>
          <w:divBdr>
            <w:top w:val="none" w:sz="0" w:space="0" w:color="auto"/>
            <w:left w:val="none" w:sz="0" w:space="0" w:color="auto"/>
            <w:bottom w:val="none" w:sz="0" w:space="0" w:color="auto"/>
            <w:right w:val="none" w:sz="0" w:space="0" w:color="auto"/>
          </w:divBdr>
          <w:divsChild>
            <w:div w:id="1295327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420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308575">
              <w:blockQuote w:val="1"/>
              <w:marLeft w:val="720"/>
              <w:marRight w:val="720"/>
              <w:marTop w:val="100"/>
              <w:marBottom w:val="100"/>
              <w:divBdr>
                <w:top w:val="none" w:sz="0" w:space="0" w:color="auto"/>
                <w:left w:val="none" w:sz="0" w:space="0" w:color="auto"/>
                <w:bottom w:val="none" w:sz="0" w:space="0" w:color="auto"/>
                <w:right w:val="none" w:sz="0" w:space="0" w:color="auto"/>
              </w:divBdr>
            </w:div>
            <w:div w:id="603804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5791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6316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639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448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115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1605567">
              <w:blockQuote w:val="1"/>
              <w:marLeft w:val="720"/>
              <w:marRight w:val="720"/>
              <w:marTop w:val="100"/>
              <w:marBottom w:val="100"/>
              <w:divBdr>
                <w:top w:val="none" w:sz="0" w:space="0" w:color="auto"/>
                <w:left w:val="none" w:sz="0" w:space="0" w:color="auto"/>
                <w:bottom w:val="none" w:sz="0" w:space="0" w:color="auto"/>
                <w:right w:val="none" w:sz="0" w:space="0" w:color="auto"/>
              </w:divBdr>
            </w:div>
            <w:div w:id="326788304">
              <w:blockQuote w:val="1"/>
              <w:marLeft w:val="720"/>
              <w:marRight w:val="720"/>
              <w:marTop w:val="100"/>
              <w:marBottom w:val="100"/>
              <w:divBdr>
                <w:top w:val="none" w:sz="0" w:space="0" w:color="auto"/>
                <w:left w:val="none" w:sz="0" w:space="0" w:color="auto"/>
                <w:bottom w:val="none" w:sz="0" w:space="0" w:color="auto"/>
                <w:right w:val="none" w:sz="0" w:space="0" w:color="auto"/>
              </w:divBdr>
            </w:div>
            <w:div w:id="1033772266">
              <w:blockQuote w:val="1"/>
              <w:marLeft w:val="720"/>
              <w:marRight w:val="720"/>
              <w:marTop w:val="100"/>
              <w:marBottom w:val="100"/>
              <w:divBdr>
                <w:top w:val="none" w:sz="0" w:space="0" w:color="auto"/>
                <w:left w:val="none" w:sz="0" w:space="0" w:color="auto"/>
                <w:bottom w:val="none" w:sz="0" w:space="0" w:color="auto"/>
                <w:right w:val="none" w:sz="0" w:space="0" w:color="auto"/>
              </w:divBdr>
            </w:div>
            <w:div w:id="608508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2381546">
      <w:bodyDiv w:val="1"/>
      <w:marLeft w:val="0"/>
      <w:marRight w:val="0"/>
      <w:marTop w:val="0"/>
      <w:marBottom w:val="0"/>
      <w:divBdr>
        <w:top w:val="none" w:sz="0" w:space="0" w:color="auto"/>
        <w:left w:val="none" w:sz="0" w:space="0" w:color="auto"/>
        <w:bottom w:val="none" w:sz="0" w:space="0" w:color="auto"/>
        <w:right w:val="none" w:sz="0" w:space="0" w:color="auto"/>
      </w:divBdr>
      <w:divsChild>
        <w:div w:id="183672684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5072787">
          <w:blockQuote w:val="1"/>
          <w:marLeft w:val="720"/>
          <w:marRight w:val="720"/>
          <w:marTop w:val="100"/>
          <w:marBottom w:val="100"/>
          <w:divBdr>
            <w:top w:val="none" w:sz="0" w:space="0" w:color="auto"/>
            <w:left w:val="none" w:sz="0" w:space="0" w:color="auto"/>
            <w:bottom w:val="none" w:sz="0" w:space="0" w:color="auto"/>
            <w:right w:val="none" w:sz="0" w:space="0" w:color="auto"/>
          </w:divBdr>
        </w:div>
        <w:div w:id="32462847">
          <w:blockQuote w:val="1"/>
          <w:marLeft w:val="720"/>
          <w:marRight w:val="720"/>
          <w:marTop w:val="100"/>
          <w:marBottom w:val="100"/>
          <w:divBdr>
            <w:top w:val="none" w:sz="0" w:space="0" w:color="auto"/>
            <w:left w:val="none" w:sz="0" w:space="0" w:color="auto"/>
            <w:bottom w:val="none" w:sz="0" w:space="0" w:color="auto"/>
            <w:right w:val="none" w:sz="0" w:space="0" w:color="auto"/>
          </w:divBdr>
        </w:div>
        <w:div w:id="1471874">
          <w:blockQuote w:val="1"/>
          <w:marLeft w:val="720"/>
          <w:marRight w:val="720"/>
          <w:marTop w:val="100"/>
          <w:marBottom w:val="100"/>
          <w:divBdr>
            <w:top w:val="none" w:sz="0" w:space="0" w:color="auto"/>
            <w:left w:val="none" w:sz="0" w:space="0" w:color="auto"/>
            <w:bottom w:val="none" w:sz="0" w:space="0" w:color="auto"/>
            <w:right w:val="none" w:sz="0" w:space="0" w:color="auto"/>
          </w:divBdr>
        </w:div>
        <w:div w:id="464274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3505801">
      <w:bodyDiv w:val="1"/>
      <w:marLeft w:val="0"/>
      <w:marRight w:val="0"/>
      <w:marTop w:val="0"/>
      <w:marBottom w:val="0"/>
      <w:divBdr>
        <w:top w:val="none" w:sz="0" w:space="0" w:color="auto"/>
        <w:left w:val="none" w:sz="0" w:space="0" w:color="auto"/>
        <w:bottom w:val="none" w:sz="0" w:space="0" w:color="auto"/>
        <w:right w:val="none" w:sz="0" w:space="0" w:color="auto"/>
      </w:divBdr>
      <w:divsChild>
        <w:div w:id="208491595">
          <w:blockQuote w:val="1"/>
          <w:marLeft w:val="720"/>
          <w:marRight w:val="720"/>
          <w:marTop w:val="100"/>
          <w:marBottom w:val="100"/>
          <w:divBdr>
            <w:top w:val="none" w:sz="0" w:space="0" w:color="auto"/>
            <w:left w:val="none" w:sz="0" w:space="0" w:color="auto"/>
            <w:bottom w:val="none" w:sz="0" w:space="0" w:color="auto"/>
            <w:right w:val="none" w:sz="0" w:space="0" w:color="auto"/>
          </w:divBdr>
        </w:div>
        <w:div w:id="1720200242">
          <w:blockQuote w:val="1"/>
          <w:marLeft w:val="720"/>
          <w:marRight w:val="720"/>
          <w:marTop w:val="100"/>
          <w:marBottom w:val="100"/>
          <w:divBdr>
            <w:top w:val="none" w:sz="0" w:space="0" w:color="auto"/>
            <w:left w:val="none" w:sz="0" w:space="0" w:color="auto"/>
            <w:bottom w:val="none" w:sz="0" w:space="0" w:color="auto"/>
            <w:right w:val="none" w:sz="0" w:space="0" w:color="auto"/>
          </w:divBdr>
        </w:div>
        <w:div w:id="428156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882284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791372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7723314">
      <w:bodyDiv w:val="1"/>
      <w:marLeft w:val="0"/>
      <w:marRight w:val="0"/>
      <w:marTop w:val="0"/>
      <w:marBottom w:val="0"/>
      <w:divBdr>
        <w:top w:val="none" w:sz="0" w:space="0" w:color="auto"/>
        <w:left w:val="none" w:sz="0" w:space="0" w:color="auto"/>
        <w:bottom w:val="none" w:sz="0" w:space="0" w:color="auto"/>
        <w:right w:val="none" w:sz="0" w:space="0" w:color="auto"/>
      </w:divBdr>
      <w:divsChild>
        <w:div w:id="2052803518">
          <w:blockQuote w:val="1"/>
          <w:marLeft w:val="720"/>
          <w:marRight w:val="720"/>
          <w:marTop w:val="100"/>
          <w:marBottom w:val="100"/>
          <w:divBdr>
            <w:top w:val="none" w:sz="0" w:space="0" w:color="auto"/>
            <w:left w:val="none" w:sz="0" w:space="0" w:color="auto"/>
            <w:bottom w:val="none" w:sz="0" w:space="0" w:color="auto"/>
            <w:right w:val="none" w:sz="0" w:space="0" w:color="auto"/>
          </w:divBdr>
        </w:div>
        <w:div w:id="15650977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094268">
          <w:blockQuote w:val="1"/>
          <w:marLeft w:val="720"/>
          <w:marRight w:val="720"/>
          <w:marTop w:val="100"/>
          <w:marBottom w:val="100"/>
          <w:divBdr>
            <w:top w:val="none" w:sz="0" w:space="0" w:color="auto"/>
            <w:left w:val="none" w:sz="0" w:space="0" w:color="auto"/>
            <w:bottom w:val="none" w:sz="0" w:space="0" w:color="auto"/>
            <w:right w:val="none" w:sz="0" w:space="0" w:color="auto"/>
          </w:divBdr>
        </w:div>
        <w:div w:id="5373994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281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0390864">
      <w:bodyDiv w:val="1"/>
      <w:marLeft w:val="0"/>
      <w:marRight w:val="0"/>
      <w:marTop w:val="0"/>
      <w:marBottom w:val="0"/>
      <w:divBdr>
        <w:top w:val="none" w:sz="0" w:space="0" w:color="auto"/>
        <w:left w:val="none" w:sz="0" w:space="0" w:color="auto"/>
        <w:bottom w:val="none" w:sz="0" w:space="0" w:color="auto"/>
        <w:right w:val="none" w:sz="0" w:space="0" w:color="auto"/>
      </w:divBdr>
      <w:divsChild>
        <w:div w:id="374046002">
          <w:blockQuote w:val="1"/>
          <w:marLeft w:val="720"/>
          <w:marRight w:val="720"/>
          <w:marTop w:val="100"/>
          <w:marBottom w:val="100"/>
          <w:divBdr>
            <w:top w:val="none" w:sz="0" w:space="0" w:color="auto"/>
            <w:left w:val="none" w:sz="0" w:space="0" w:color="auto"/>
            <w:bottom w:val="none" w:sz="0" w:space="0" w:color="auto"/>
            <w:right w:val="none" w:sz="0" w:space="0" w:color="auto"/>
          </w:divBdr>
        </w:div>
        <w:div w:id="458963211">
          <w:blockQuote w:val="1"/>
          <w:marLeft w:val="720"/>
          <w:marRight w:val="720"/>
          <w:marTop w:val="100"/>
          <w:marBottom w:val="100"/>
          <w:divBdr>
            <w:top w:val="none" w:sz="0" w:space="0" w:color="auto"/>
            <w:left w:val="none" w:sz="0" w:space="0" w:color="auto"/>
            <w:bottom w:val="none" w:sz="0" w:space="0" w:color="auto"/>
            <w:right w:val="none" w:sz="0" w:space="0" w:color="auto"/>
          </w:divBdr>
        </w:div>
        <w:div w:id="77987867">
          <w:blockQuote w:val="1"/>
          <w:marLeft w:val="720"/>
          <w:marRight w:val="720"/>
          <w:marTop w:val="100"/>
          <w:marBottom w:val="100"/>
          <w:divBdr>
            <w:top w:val="none" w:sz="0" w:space="0" w:color="auto"/>
            <w:left w:val="none" w:sz="0" w:space="0" w:color="auto"/>
            <w:bottom w:val="none" w:sz="0" w:space="0" w:color="auto"/>
            <w:right w:val="none" w:sz="0" w:space="0" w:color="auto"/>
          </w:divBdr>
        </w:div>
        <w:div w:id="306864424">
          <w:blockQuote w:val="1"/>
          <w:marLeft w:val="720"/>
          <w:marRight w:val="720"/>
          <w:marTop w:val="100"/>
          <w:marBottom w:val="100"/>
          <w:divBdr>
            <w:top w:val="none" w:sz="0" w:space="0" w:color="auto"/>
            <w:left w:val="none" w:sz="0" w:space="0" w:color="auto"/>
            <w:bottom w:val="none" w:sz="0" w:space="0" w:color="auto"/>
            <w:right w:val="none" w:sz="0" w:space="0" w:color="auto"/>
          </w:divBdr>
        </w:div>
        <w:div w:id="155196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7378270">
      <w:bodyDiv w:val="1"/>
      <w:marLeft w:val="0"/>
      <w:marRight w:val="0"/>
      <w:marTop w:val="0"/>
      <w:marBottom w:val="0"/>
      <w:divBdr>
        <w:top w:val="none" w:sz="0" w:space="0" w:color="auto"/>
        <w:left w:val="none" w:sz="0" w:space="0" w:color="auto"/>
        <w:bottom w:val="none" w:sz="0" w:space="0" w:color="auto"/>
        <w:right w:val="none" w:sz="0" w:space="0" w:color="auto"/>
      </w:divBdr>
      <w:divsChild>
        <w:div w:id="665396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55511">
          <w:blockQuote w:val="1"/>
          <w:marLeft w:val="720"/>
          <w:marRight w:val="720"/>
          <w:marTop w:val="100"/>
          <w:marBottom w:val="100"/>
          <w:divBdr>
            <w:top w:val="none" w:sz="0" w:space="0" w:color="auto"/>
            <w:left w:val="none" w:sz="0" w:space="0" w:color="auto"/>
            <w:bottom w:val="none" w:sz="0" w:space="0" w:color="auto"/>
            <w:right w:val="none" w:sz="0" w:space="0" w:color="auto"/>
          </w:divBdr>
        </w:div>
        <w:div w:id="18096668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29223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6766823">
      <w:bodyDiv w:val="1"/>
      <w:marLeft w:val="0"/>
      <w:marRight w:val="0"/>
      <w:marTop w:val="0"/>
      <w:marBottom w:val="0"/>
      <w:divBdr>
        <w:top w:val="none" w:sz="0" w:space="0" w:color="auto"/>
        <w:left w:val="none" w:sz="0" w:space="0" w:color="auto"/>
        <w:bottom w:val="none" w:sz="0" w:space="0" w:color="auto"/>
        <w:right w:val="none" w:sz="0" w:space="0" w:color="auto"/>
      </w:divBdr>
      <w:divsChild>
        <w:div w:id="130827108">
          <w:blockQuote w:val="1"/>
          <w:marLeft w:val="720"/>
          <w:marRight w:val="720"/>
          <w:marTop w:val="100"/>
          <w:marBottom w:val="100"/>
          <w:divBdr>
            <w:top w:val="none" w:sz="0" w:space="0" w:color="auto"/>
            <w:left w:val="none" w:sz="0" w:space="0" w:color="auto"/>
            <w:bottom w:val="none" w:sz="0" w:space="0" w:color="auto"/>
            <w:right w:val="none" w:sz="0" w:space="0" w:color="auto"/>
          </w:divBdr>
        </w:div>
        <w:div w:id="41485397">
          <w:blockQuote w:val="1"/>
          <w:marLeft w:val="720"/>
          <w:marRight w:val="720"/>
          <w:marTop w:val="100"/>
          <w:marBottom w:val="100"/>
          <w:divBdr>
            <w:top w:val="none" w:sz="0" w:space="0" w:color="auto"/>
            <w:left w:val="none" w:sz="0" w:space="0" w:color="auto"/>
            <w:bottom w:val="none" w:sz="0" w:space="0" w:color="auto"/>
            <w:right w:val="none" w:sz="0" w:space="0" w:color="auto"/>
          </w:divBdr>
        </w:div>
        <w:div w:id="947928579">
          <w:blockQuote w:val="1"/>
          <w:marLeft w:val="720"/>
          <w:marRight w:val="720"/>
          <w:marTop w:val="100"/>
          <w:marBottom w:val="100"/>
          <w:divBdr>
            <w:top w:val="none" w:sz="0" w:space="0" w:color="auto"/>
            <w:left w:val="none" w:sz="0" w:space="0" w:color="auto"/>
            <w:bottom w:val="none" w:sz="0" w:space="0" w:color="auto"/>
            <w:right w:val="none" w:sz="0" w:space="0" w:color="auto"/>
          </w:divBdr>
        </w:div>
        <w:div w:id="513501349">
          <w:blockQuote w:val="1"/>
          <w:marLeft w:val="720"/>
          <w:marRight w:val="720"/>
          <w:marTop w:val="100"/>
          <w:marBottom w:val="100"/>
          <w:divBdr>
            <w:top w:val="none" w:sz="0" w:space="0" w:color="auto"/>
            <w:left w:val="none" w:sz="0" w:space="0" w:color="auto"/>
            <w:bottom w:val="none" w:sz="0" w:space="0" w:color="auto"/>
            <w:right w:val="none" w:sz="0" w:space="0" w:color="auto"/>
          </w:divBdr>
        </w:div>
        <w:div w:id="974797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5529744">
      <w:bodyDiv w:val="1"/>
      <w:marLeft w:val="0"/>
      <w:marRight w:val="0"/>
      <w:marTop w:val="0"/>
      <w:marBottom w:val="0"/>
      <w:divBdr>
        <w:top w:val="none" w:sz="0" w:space="0" w:color="auto"/>
        <w:left w:val="none" w:sz="0" w:space="0" w:color="auto"/>
        <w:bottom w:val="none" w:sz="0" w:space="0" w:color="auto"/>
        <w:right w:val="none" w:sz="0" w:space="0" w:color="auto"/>
      </w:divBdr>
      <w:divsChild>
        <w:div w:id="493230592">
          <w:marLeft w:val="0"/>
          <w:marRight w:val="0"/>
          <w:marTop w:val="0"/>
          <w:marBottom w:val="0"/>
          <w:divBdr>
            <w:top w:val="none" w:sz="0" w:space="0" w:color="auto"/>
            <w:left w:val="none" w:sz="0" w:space="0" w:color="auto"/>
            <w:bottom w:val="none" w:sz="0" w:space="0" w:color="auto"/>
            <w:right w:val="none" w:sz="0" w:space="0" w:color="auto"/>
          </w:divBdr>
          <w:divsChild>
            <w:div w:id="1072585333">
              <w:marLeft w:val="0"/>
              <w:marRight w:val="0"/>
              <w:marTop w:val="0"/>
              <w:marBottom w:val="0"/>
              <w:divBdr>
                <w:top w:val="none" w:sz="0" w:space="0" w:color="auto"/>
                <w:left w:val="none" w:sz="0" w:space="0" w:color="auto"/>
                <w:bottom w:val="none" w:sz="0" w:space="0" w:color="auto"/>
                <w:right w:val="none" w:sz="0" w:space="0" w:color="auto"/>
              </w:divBdr>
            </w:div>
            <w:div w:id="122386632">
              <w:blockQuote w:val="1"/>
              <w:marLeft w:val="720"/>
              <w:marRight w:val="720"/>
              <w:marTop w:val="100"/>
              <w:marBottom w:val="100"/>
              <w:divBdr>
                <w:top w:val="none" w:sz="0" w:space="0" w:color="auto"/>
                <w:left w:val="none" w:sz="0" w:space="0" w:color="auto"/>
                <w:bottom w:val="none" w:sz="0" w:space="0" w:color="auto"/>
                <w:right w:val="none" w:sz="0" w:space="0" w:color="auto"/>
              </w:divBdr>
            </w:div>
            <w:div w:id="990521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599138">
              <w:blockQuote w:val="1"/>
              <w:marLeft w:val="720"/>
              <w:marRight w:val="720"/>
              <w:marTop w:val="100"/>
              <w:marBottom w:val="100"/>
              <w:divBdr>
                <w:top w:val="none" w:sz="0" w:space="0" w:color="auto"/>
                <w:left w:val="none" w:sz="0" w:space="0" w:color="auto"/>
                <w:bottom w:val="none" w:sz="0" w:space="0" w:color="auto"/>
                <w:right w:val="none" w:sz="0" w:space="0" w:color="auto"/>
              </w:divBdr>
            </w:div>
            <w:div w:id="1167868143">
              <w:blockQuote w:val="1"/>
              <w:marLeft w:val="720"/>
              <w:marRight w:val="720"/>
              <w:marTop w:val="100"/>
              <w:marBottom w:val="100"/>
              <w:divBdr>
                <w:top w:val="none" w:sz="0" w:space="0" w:color="auto"/>
                <w:left w:val="none" w:sz="0" w:space="0" w:color="auto"/>
                <w:bottom w:val="none" w:sz="0" w:space="0" w:color="auto"/>
                <w:right w:val="none" w:sz="0" w:space="0" w:color="auto"/>
              </w:divBdr>
            </w:div>
            <w:div w:id="1000236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21598057">
      <w:bodyDiv w:val="1"/>
      <w:marLeft w:val="0"/>
      <w:marRight w:val="0"/>
      <w:marTop w:val="0"/>
      <w:marBottom w:val="0"/>
      <w:divBdr>
        <w:top w:val="none" w:sz="0" w:space="0" w:color="auto"/>
        <w:left w:val="none" w:sz="0" w:space="0" w:color="auto"/>
        <w:bottom w:val="none" w:sz="0" w:space="0" w:color="auto"/>
        <w:right w:val="none" w:sz="0" w:space="0" w:color="auto"/>
      </w:divBdr>
      <w:divsChild>
        <w:div w:id="1407143896">
          <w:blockQuote w:val="1"/>
          <w:marLeft w:val="720"/>
          <w:marRight w:val="720"/>
          <w:marTop w:val="100"/>
          <w:marBottom w:val="100"/>
          <w:divBdr>
            <w:top w:val="none" w:sz="0" w:space="0" w:color="auto"/>
            <w:left w:val="none" w:sz="0" w:space="0" w:color="auto"/>
            <w:bottom w:val="none" w:sz="0" w:space="0" w:color="auto"/>
            <w:right w:val="none" w:sz="0" w:space="0" w:color="auto"/>
          </w:divBdr>
        </w:div>
        <w:div w:id="91928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572083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7793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7153849">
      <w:bodyDiv w:val="1"/>
      <w:marLeft w:val="0"/>
      <w:marRight w:val="0"/>
      <w:marTop w:val="0"/>
      <w:marBottom w:val="0"/>
      <w:divBdr>
        <w:top w:val="none" w:sz="0" w:space="0" w:color="auto"/>
        <w:left w:val="none" w:sz="0" w:space="0" w:color="auto"/>
        <w:bottom w:val="none" w:sz="0" w:space="0" w:color="auto"/>
        <w:right w:val="none" w:sz="0" w:space="0" w:color="auto"/>
      </w:divBdr>
      <w:divsChild>
        <w:div w:id="1530021963">
          <w:marLeft w:val="0"/>
          <w:marRight w:val="0"/>
          <w:marTop w:val="0"/>
          <w:marBottom w:val="0"/>
          <w:divBdr>
            <w:top w:val="none" w:sz="0" w:space="0" w:color="auto"/>
            <w:left w:val="none" w:sz="0" w:space="0" w:color="auto"/>
            <w:bottom w:val="none" w:sz="0" w:space="0" w:color="auto"/>
            <w:right w:val="none" w:sz="0" w:space="0" w:color="auto"/>
          </w:divBdr>
          <w:divsChild>
            <w:div w:id="458763711">
              <w:marLeft w:val="0"/>
              <w:marRight w:val="0"/>
              <w:marTop w:val="0"/>
              <w:marBottom w:val="0"/>
              <w:divBdr>
                <w:top w:val="none" w:sz="0" w:space="0" w:color="auto"/>
                <w:left w:val="none" w:sz="0" w:space="0" w:color="auto"/>
                <w:bottom w:val="none" w:sz="0" w:space="0" w:color="auto"/>
                <w:right w:val="none" w:sz="0" w:space="0" w:color="auto"/>
              </w:divBdr>
            </w:div>
            <w:div w:id="61972259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91549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35441461">
              <w:blockQuote w:val="1"/>
              <w:marLeft w:val="720"/>
              <w:marRight w:val="720"/>
              <w:marTop w:val="100"/>
              <w:marBottom w:val="100"/>
              <w:divBdr>
                <w:top w:val="none" w:sz="0" w:space="0" w:color="auto"/>
                <w:left w:val="none" w:sz="0" w:space="0" w:color="auto"/>
                <w:bottom w:val="none" w:sz="0" w:space="0" w:color="auto"/>
                <w:right w:val="none" w:sz="0" w:space="0" w:color="auto"/>
              </w:divBdr>
            </w:div>
            <w:div w:id="6341451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25155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93826197">
      <w:bodyDiv w:val="1"/>
      <w:marLeft w:val="0"/>
      <w:marRight w:val="0"/>
      <w:marTop w:val="0"/>
      <w:marBottom w:val="0"/>
      <w:divBdr>
        <w:top w:val="none" w:sz="0" w:space="0" w:color="auto"/>
        <w:left w:val="none" w:sz="0" w:space="0" w:color="auto"/>
        <w:bottom w:val="none" w:sz="0" w:space="0" w:color="auto"/>
        <w:right w:val="none" w:sz="0" w:space="0" w:color="auto"/>
      </w:divBdr>
      <w:divsChild>
        <w:div w:id="179543873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387446">
          <w:blockQuote w:val="1"/>
          <w:marLeft w:val="720"/>
          <w:marRight w:val="720"/>
          <w:marTop w:val="100"/>
          <w:marBottom w:val="100"/>
          <w:divBdr>
            <w:top w:val="none" w:sz="0" w:space="0" w:color="auto"/>
            <w:left w:val="none" w:sz="0" w:space="0" w:color="auto"/>
            <w:bottom w:val="none" w:sz="0" w:space="0" w:color="auto"/>
            <w:right w:val="none" w:sz="0" w:space="0" w:color="auto"/>
          </w:divBdr>
        </w:div>
        <w:div w:id="245726538">
          <w:blockQuote w:val="1"/>
          <w:marLeft w:val="720"/>
          <w:marRight w:val="720"/>
          <w:marTop w:val="100"/>
          <w:marBottom w:val="100"/>
          <w:divBdr>
            <w:top w:val="none" w:sz="0" w:space="0" w:color="auto"/>
            <w:left w:val="none" w:sz="0" w:space="0" w:color="auto"/>
            <w:bottom w:val="none" w:sz="0" w:space="0" w:color="auto"/>
            <w:right w:val="none" w:sz="0" w:space="0" w:color="auto"/>
          </w:divBdr>
        </w:div>
        <w:div w:id="9241923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4380536">
      <w:bodyDiv w:val="1"/>
      <w:marLeft w:val="0"/>
      <w:marRight w:val="0"/>
      <w:marTop w:val="0"/>
      <w:marBottom w:val="0"/>
      <w:divBdr>
        <w:top w:val="none" w:sz="0" w:space="0" w:color="auto"/>
        <w:left w:val="none" w:sz="0" w:space="0" w:color="auto"/>
        <w:bottom w:val="none" w:sz="0" w:space="0" w:color="auto"/>
        <w:right w:val="none" w:sz="0" w:space="0" w:color="auto"/>
      </w:divBdr>
      <w:divsChild>
        <w:div w:id="584920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625884909">
          <w:blockQuote w:val="1"/>
          <w:marLeft w:val="720"/>
          <w:marRight w:val="720"/>
          <w:marTop w:val="100"/>
          <w:marBottom w:val="100"/>
          <w:divBdr>
            <w:top w:val="none" w:sz="0" w:space="0" w:color="auto"/>
            <w:left w:val="none" w:sz="0" w:space="0" w:color="auto"/>
            <w:bottom w:val="none" w:sz="0" w:space="0" w:color="auto"/>
            <w:right w:val="none" w:sz="0" w:space="0" w:color="auto"/>
          </w:divBdr>
        </w:div>
        <w:div w:id="2141337522">
          <w:blockQuote w:val="1"/>
          <w:marLeft w:val="720"/>
          <w:marRight w:val="720"/>
          <w:marTop w:val="100"/>
          <w:marBottom w:val="100"/>
          <w:divBdr>
            <w:top w:val="none" w:sz="0" w:space="0" w:color="auto"/>
            <w:left w:val="none" w:sz="0" w:space="0" w:color="auto"/>
            <w:bottom w:val="none" w:sz="0" w:space="0" w:color="auto"/>
            <w:right w:val="none" w:sz="0" w:space="0" w:color="auto"/>
          </w:divBdr>
        </w:div>
        <w:div w:id="1371950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4407238">
      <w:bodyDiv w:val="1"/>
      <w:marLeft w:val="0"/>
      <w:marRight w:val="0"/>
      <w:marTop w:val="0"/>
      <w:marBottom w:val="0"/>
      <w:divBdr>
        <w:top w:val="none" w:sz="0" w:space="0" w:color="auto"/>
        <w:left w:val="none" w:sz="0" w:space="0" w:color="auto"/>
        <w:bottom w:val="none" w:sz="0" w:space="0" w:color="auto"/>
        <w:right w:val="none" w:sz="0" w:space="0" w:color="auto"/>
      </w:divBdr>
      <w:divsChild>
        <w:div w:id="851529454">
          <w:blockQuote w:val="1"/>
          <w:marLeft w:val="720"/>
          <w:marRight w:val="720"/>
          <w:marTop w:val="100"/>
          <w:marBottom w:val="100"/>
          <w:divBdr>
            <w:top w:val="none" w:sz="0" w:space="0" w:color="auto"/>
            <w:left w:val="none" w:sz="0" w:space="0" w:color="auto"/>
            <w:bottom w:val="none" w:sz="0" w:space="0" w:color="auto"/>
            <w:right w:val="none" w:sz="0" w:space="0" w:color="auto"/>
          </w:divBdr>
        </w:div>
        <w:div w:id="2725966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71804647">
          <w:blockQuote w:val="1"/>
          <w:marLeft w:val="720"/>
          <w:marRight w:val="720"/>
          <w:marTop w:val="100"/>
          <w:marBottom w:val="100"/>
          <w:divBdr>
            <w:top w:val="none" w:sz="0" w:space="0" w:color="auto"/>
            <w:left w:val="none" w:sz="0" w:space="0" w:color="auto"/>
            <w:bottom w:val="none" w:sz="0" w:space="0" w:color="auto"/>
            <w:right w:val="none" w:sz="0" w:space="0" w:color="auto"/>
          </w:divBdr>
        </w:div>
        <w:div w:id="4177559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5365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9723289">
      <w:bodyDiv w:val="1"/>
      <w:marLeft w:val="0"/>
      <w:marRight w:val="0"/>
      <w:marTop w:val="0"/>
      <w:marBottom w:val="0"/>
      <w:divBdr>
        <w:top w:val="none" w:sz="0" w:space="0" w:color="auto"/>
        <w:left w:val="none" w:sz="0" w:space="0" w:color="auto"/>
        <w:bottom w:val="none" w:sz="0" w:space="0" w:color="auto"/>
        <w:right w:val="none" w:sz="0" w:space="0" w:color="auto"/>
      </w:divBdr>
      <w:divsChild>
        <w:div w:id="1876314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305216">
          <w:blockQuote w:val="1"/>
          <w:marLeft w:val="720"/>
          <w:marRight w:val="720"/>
          <w:marTop w:val="100"/>
          <w:marBottom w:val="100"/>
          <w:divBdr>
            <w:top w:val="none" w:sz="0" w:space="0" w:color="auto"/>
            <w:left w:val="none" w:sz="0" w:space="0" w:color="auto"/>
            <w:bottom w:val="none" w:sz="0" w:space="0" w:color="auto"/>
            <w:right w:val="none" w:sz="0" w:space="0" w:color="auto"/>
          </w:divBdr>
        </w:div>
        <w:div w:id="438257245">
          <w:blockQuote w:val="1"/>
          <w:marLeft w:val="720"/>
          <w:marRight w:val="720"/>
          <w:marTop w:val="100"/>
          <w:marBottom w:val="100"/>
          <w:divBdr>
            <w:top w:val="none" w:sz="0" w:space="0" w:color="auto"/>
            <w:left w:val="none" w:sz="0" w:space="0" w:color="auto"/>
            <w:bottom w:val="none" w:sz="0" w:space="0" w:color="auto"/>
            <w:right w:val="none" w:sz="0" w:space="0" w:color="auto"/>
          </w:divBdr>
        </w:div>
        <w:div w:id="937915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51619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6367346">
      <w:bodyDiv w:val="1"/>
      <w:marLeft w:val="0"/>
      <w:marRight w:val="0"/>
      <w:marTop w:val="0"/>
      <w:marBottom w:val="0"/>
      <w:divBdr>
        <w:top w:val="none" w:sz="0" w:space="0" w:color="auto"/>
        <w:left w:val="none" w:sz="0" w:space="0" w:color="auto"/>
        <w:bottom w:val="none" w:sz="0" w:space="0" w:color="auto"/>
        <w:right w:val="none" w:sz="0" w:space="0" w:color="auto"/>
      </w:divBdr>
      <w:divsChild>
        <w:div w:id="1647128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2477936">
          <w:blockQuote w:val="1"/>
          <w:marLeft w:val="720"/>
          <w:marRight w:val="720"/>
          <w:marTop w:val="100"/>
          <w:marBottom w:val="100"/>
          <w:divBdr>
            <w:top w:val="none" w:sz="0" w:space="0" w:color="auto"/>
            <w:left w:val="none" w:sz="0" w:space="0" w:color="auto"/>
            <w:bottom w:val="none" w:sz="0" w:space="0" w:color="auto"/>
            <w:right w:val="none" w:sz="0" w:space="0" w:color="auto"/>
          </w:divBdr>
        </w:div>
        <w:div w:id="228879609">
          <w:blockQuote w:val="1"/>
          <w:marLeft w:val="720"/>
          <w:marRight w:val="720"/>
          <w:marTop w:val="100"/>
          <w:marBottom w:val="100"/>
          <w:divBdr>
            <w:top w:val="none" w:sz="0" w:space="0" w:color="auto"/>
            <w:left w:val="none" w:sz="0" w:space="0" w:color="auto"/>
            <w:bottom w:val="none" w:sz="0" w:space="0" w:color="auto"/>
            <w:right w:val="none" w:sz="0" w:space="0" w:color="auto"/>
          </w:divBdr>
        </w:div>
        <w:div w:id="571089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7286718">
      <w:bodyDiv w:val="1"/>
      <w:marLeft w:val="0"/>
      <w:marRight w:val="0"/>
      <w:marTop w:val="0"/>
      <w:marBottom w:val="0"/>
      <w:divBdr>
        <w:top w:val="none" w:sz="0" w:space="0" w:color="auto"/>
        <w:left w:val="none" w:sz="0" w:space="0" w:color="auto"/>
        <w:bottom w:val="none" w:sz="0" w:space="0" w:color="auto"/>
        <w:right w:val="none" w:sz="0" w:space="0" w:color="auto"/>
      </w:divBdr>
      <w:divsChild>
        <w:div w:id="1702508888">
          <w:marLeft w:val="0"/>
          <w:marRight w:val="0"/>
          <w:marTop w:val="0"/>
          <w:marBottom w:val="0"/>
          <w:divBdr>
            <w:top w:val="none" w:sz="0" w:space="0" w:color="auto"/>
            <w:left w:val="none" w:sz="0" w:space="0" w:color="auto"/>
            <w:bottom w:val="none" w:sz="0" w:space="0" w:color="auto"/>
            <w:right w:val="none" w:sz="0" w:space="0" w:color="auto"/>
          </w:divBdr>
          <w:divsChild>
            <w:div w:id="839274213">
              <w:blockQuote w:val="1"/>
              <w:marLeft w:val="720"/>
              <w:marRight w:val="720"/>
              <w:marTop w:val="100"/>
              <w:marBottom w:val="100"/>
              <w:divBdr>
                <w:top w:val="none" w:sz="0" w:space="0" w:color="auto"/>
                <w:left w:val="none" w:sz="0" w:space="0" w:color="auto"/>
                <w:bottom w:val="none" w:sz="0" w:space="0" w:color="auto"/>
                <w:right w:val="none" w:sz="0" w:space="0" w:color="auto"/>
              </w:divBdr>
            </w:div>
            <w:div w:id="1042827566">
              <w:blockQuote w:val="1"/>
              <w:marLeft w:val="720"/>
              <w:marRight w:val="720"/>
              <w:marTop w:val="100"/>
              <w:marBottom w:val="100"/>
              <w:divBdr>
                <w:top w:val="none" w:sz="0" w:space="0" w:color="auto"/>
                <w:left w:val="none" w:sz="0" w:space="0" w:color="auto"/>
                <w:bottom w:val="none" w:sz="0" w:space="0" w:color="auto"/>
                <w:right w:val="none" w:sz="0" w:space="0" w:color="auto"/>
              </w:divBdr>
            </w:div>
            <w:div w:id="4283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58917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5137695">
              <w:blockQuote w:val="1"/>
              <w:marLeft w:val="720"/>
              <w:marRight w:val="720"/>
              <w:marTop w:val="100"/>
              <w:marBottom w:val="100"/>
              <w:divBdr>
                <w:top w:val="none" w:sz="0" w:space="0" w:color="auto"/>
                <w:left w:val="none" w:sz="0" w:space="0" w:color="auto"/>
                <w:bottom w:val="none" w:sz="0" w:space="0" w:color="auto"/>
                <w:right w:val="none" w:sz="0" w:space="0" w:color="auto"/>
              </w:divBdr>
            </w:div>
            <w:div w:id="385103239">
              <w:blockQuote w:val="1"/>
              <w:marLeft w:val="720"/>
              <w:marRight w:val="720"/>
              <w:marTop w:val="100"/>
              <w:marBottom w:val="100"/>
              <w:divBdr>
                <w:top w:val="none" w:sz="0" w:space="0" w:color="auto"/>
                <w:left w:val="none" w:sz="0" w:space="0" w:color="auto"/>
                <w:bottom w:val="none" w:sz="0" w:space="0" w:color="auto"/>
                <w:right w:val="none" w:sz="0" w:space="0" w:color="auto"/>
              </w:divBdr>
            </w:div>
            <w:div w:id="993034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66944953">
              <w:blockQuote w:val="1"/>
              <w:marLeft w:val="720"/>
              <w:marRight w:val="720"/>
              <w:marTop w:val="100"/>
              <w:marBottom w:val="100"/>
              <w:divBdr>
                <w:top w:val="none" w:sz="0" w:space="0" w:color="auto"/>
                <w:left w:val="none" w:sz="0" w:space="0" w:color="auto"/>
                <w:bottom w:val="none" w:sz="0" w:space="0" w:color="auto"/>
                <w:right w:val="none" w:sz="0" w:space="0" w:color="auto"/>
              </w:divBdr>
            </w:div>
            <w:div w:id="869032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0785507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law.unimelb.edu.au/bulletins/173-January-2012.html" TargetMode="External"/><Relationship Id="rId14" Type="http://schemas.openxmlformats.org/officeDocument/2006/relationships/hyperlink" Target="http://www.law.unimelb.edu.au/bulletins/173-January-2012.html" TargetMode="External"/><Relationship Id="rId15" Type="http://schemas.openxmlformats.org/officeDocument/2006/relationships/hyperlink" Target="mailto:legislationhotline@saiglobal.com" TargetMode="External"/><Relationship Id="rId16" Type="http://schemas.openxmlformats.org/officeDocument/2006/relationships/hyperlink" Target="http://my.lawlex.com.au/default.asp?goto=news_sub" TargetMode="External"/><Relationship Id="rId17" Type="http://schemas.openxmlformats.org/officeDocument/2006/relationships/image" Target="media/image4.gif"/><Relationship Id="rId18" Type="http://schemas.openxmlformats.org/officeDocument/2006/relationships/hyperlink" Target="http://my.lawlex.com.au/default.asp?goto=news" TargetMode="External"/><Relationship Id="rId19" Type="http://schemas.openxmlformats.org/officeDocument/2006/relationships/image" Target="media/image5.gif"/><Relationship Id="rId63" Type="http://schemas.openxmlformats.org/officeDocument/2006/relationships/hyperlink" Target="http://www.law.unimelb.edu.au/bulletins/173-January-2012.html" TargetMode="External"/><Relationship Id="rId64" Type="http://schemas.openxmlformats.org/officeDocument/2006/relationships/hyperlink" Target="http://www.law.unimelb.edu.au/bulletins/173-January-2012.html" TargetMode="External"/><Relationship Id="rId65" Type="http://schemas.openxmlformats.org/officeDocument/2006/relationships/hyperlink" Target="http://www.law.unimelb.edu.au/bulletins/173-January-2012.html" TargetMode="External"/><Relationship Id="rId66" Type="http://schemas.openxmlformats.org/officeDocument/2006/relationships/hyperlink" Target="http://www.law.unimelb.edu.au/bulletins/173-January-2012.html" TargetMode="External"/><Relationship Id="rId67" Type="http://schemas.openxmlformats.org/officeDocument/2006/relationships/hyperlink" Target="http://www.law.unimelb.edu.au/bulletins/173-January-2012.html" TargetMode="External"/><Relationship Id="rId68" Type="http://schemas.openxmlformats.org/officeDocument/2006/relationships/hyperlink" Target="http://www.law.unimelb.edu.au/bulletins/173-January-2012.html" TargetMode="External"/><Relationship Id="rId69" Type="http://schemas.openxmlformats.org/officeDocument/2006/relationships/hyperlink" Target="http://www.law.unimelb.edu.au/bulletins/173-January-2012.html%232" TargetMode="External"/><Relationship Id="rId50" Type="http://schemas.openxmlformats.org/officeDocument/2006/relationships/hyperlink" Target="http://www.law.unimelb.edu.au/bulletins/173-January-2012.html" TargetMode="External"/><Relationship Id="rId51" Type="http://schemas.openxmlformats.org/officeDocument/2006/relationships/hyperlink" Target="http://www.law.unimelb.edu.au/bulletins/173-January-2012.html" TargetMode="External"/><Relationship Id="rId52" Type="http://schemas.openxmlformats.org/officeDocument/2006/relationships/hyperlink" Target="http://www.law.unimelb.edu.au/bulletins/173-January-2012.html" TargetMode="External"/><Relationship Id="rId53" Type="http://schemas.openxmlformats.org/officeDocument/2006/relationships/hyperlink" Target="http://www.law.unimelb.edu.au/bulletins/173-January-2012.html" TargetMode="External"/><Relationship Id="rId54" Type="http://schemas.openxmlformats.org/officeDocument/2006/relationships/hyperlink" Target="http://www.law.unimelb.edu.au/bulletins/173-January-2012.html" TargetMode="External"/><Relationship Id="rId55" Type="http://schemas.openxmlformats.org/officeDocument/2006/relationships/hyperlink" Target="http://www.law.unimelb.edu.au/bulletins/173-January-2012.html" TargetMode="External"/><Relationship Id="rId56" Type="http://schemas.openxmlformats.org/officeDocument/2006/relationships/hyperlink" Target="http://www.law.unimelb.edu.au/bulletins/173-January-2012.html" TargetMode="External"/><Relationship Id="rId57" Type="http://schemas.openxmlformats.org/officeDocument/2006/relationships/hyperlink" Target="http://www.law.unimelb.edu.au/bulletins/173-January-2012.html" TargetMode="External"/><Relationship Id="rId58" Type="http://schemas.openxmlformats.org/officeDocument/2006/relationships/hyperlink" Target="http://www.law.unimelb.edu.au/bulletins/173-January-2012.html" TargetMode="External"/><Relationship Id="rId59" Type="http://schemas.openxmlformats.org/officeDocument/2006/relationships/hyperlink" Target="http://www.law.unimelb.edu.au/bulletins/173-January-2012.html" TargetMode="External"/><Relationship Id="rId40" Type="http://schemas.openxmlformats.org/officeDocument/2006/relationships/hyperlink" Target="http://www.law.unimelb.edu.au/bulletins/173-January-2012.html" TargetMode="External"/><Relationship Id="rId41" Type="http://schemas.openxmlformats.org/officeDocument/2006/relationships/hyperlink" Target="http://www.law.unimelb.edu.au/bulletins/173-January-2012.html" TargetMode="External"/><Relationship Id="rId42" Type="http://schemas.openxmlformats.org/officeDocument/2006/relationships/hyperlink" Target="http://www.law.unimelb.edu.au/bulletins/173-January-2012.html" TargetMode="External"/><Relationship Id="rId43" Type="http://schemas.openxmlformats.org/officeDocument/2006/relationships/hyperlink" Target="http://www.law.unimelb.edu.au/bulletins/173-January-2012.html" TargetMode="External"/><Relationship Id="rId44" Type="http://schemas.openxmlformats.org/officeDocument/2006/relationships/hyperlink" Target="http://www.law.unimelb.edu.au/bulletins/173-January-2012.html" TargetMode="External"/><Relationship Id="rId45" Type="http://schemas.openxmlformats.org/officeDocument/2006/relationships/hyperlink" Target="http://www.law.unimelb.edu.au/bulletins/173-January-2012.html" TargetMode="External"/><Relationship Id="rId46" Type="http://schemas.openxmlformats.org/officeDocument/2006/relationships/hyperlink" Target="http://www.law.unimelb.edu.au/bulletins/173-January-2012.html" TargetMode="External"/><Relationship Id="rId47" Type="http://schemas.openxmlformats.org/officeDocument/2006/relationships/hyperlink" Target="http://www.law.unimelb.edu.au/bulletins/173-January-2012.html" TargetMode="External"/><Relationship Id="rId48" Type="http://schemas.openxmlformats.org/officeDocument/2006/relationships/hyperlink" Target="http://www.law.unimelb.edu.au/bulletins/173-January-2012.html" TargetMode="External"/><Relationship Id="rId49" Type="http://schemas.openxmlformats.org/officeDocument/2006/relationships/hyperlink" Target="http://www.law.unimelb.edu.au/bulletins/173-January-2012.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hyperlink" Target="http://www.lawlex.com.au" TargetMode="External"/><Relationship Id="rId8" Type="http://schemas.openxmlformats.org/officeDocument/2006/relationships/image" Target="media/image2.bmp"/><Relationship Id="rId9" Type="http://schemas.openxmlformats.org/officeDocument/2006/relationships/image" Target="media/image3.gif"/><Relationship Id="rId30" Type="http://schemas.openxmlformats.org/officeDocument/2006/relationships/hyperlink" Target="http://www.law.unimelb.edu.au/bulletins/173-January-2012.html%231" TargetMode="External"/><Relationship Id="rId31" Type="http://schemas.openxmlformats.org/officeDocument/2006/relationships/image" Target="media/image11.gif"/><Relationship Id="rId32" Type="http://schemas.openxmlformats.org/officeDocument/2006/relationships/hyperlink" Target="http://www.law.unimelb.edu.au/bulletins/173-January-2012.html" TargetMode="External"/><Relationship Id="rId33" Type="http://schemas.openxmlformats.org/officeDocument/2006/relationships/hyperlink" Target="http://www.law.unimelb.edu.au/bulletins/173-January-2012.html" TargetMode="External"/><Relationship Id="rId34" Type="http://schemas.openxmlformats.org/officeDocument/2006/relationships/hyperlink" Target="http://www.law.unimelb.edu.au/bulletins/173-January-2012.html" TargetMode="External"/><Relationship Id="rId35" Type="http://schemas.openxmlformats.org/officeDocument/2006/relationships/hyperlink" Target="http://www.law.unimelb.edu.au/bulletins/173-January-2012.html" TargetMode="External"/><Relationship Id="rId36" Type="http://schemas.openxmlformats.org/officeDocument/2006/relationships/hyperlink" Target="http://www.law.unimelb.edu.au/bulletins/173-January-2012.html" TargetMode="External"/><Relationship Id="rId37" Type="http://schemas.openxmlformats.org/officeDocument/2006/relationships/hyperlink" Target="http://www.law.unimelb.edu.au/bulletins/173-January-2012.html" TargetMode="External"/><Relationship Id="rId38" Type="http://schemas.openxmlformats.org/officeDocument/2006/relationships/hyperlink" Target="http://www.law.unimelb.edu.au/bulletins/173-January-2012.html" TargetMode="External"/><Relationship Id="rId39" Type="http://schemas.openxmlformats.org/officeDocument/2006/relationships/hyperlink" Target="http://www.law.unimelb.edu.au/bulletins/173-January-2012.html" TargetMode="External"/><Relationship Id="rId80" Type="http://schemas.openxmlformats.org/officeDocument/2006/relationships/theme" Target="theme/theme1.xml"/><Relationship Id="rId70" Type="http://schemas.openxmlformats.org/officeDocument/2006/relationships/hyperlink" Target="http://www.law.unimelb.edu.au/bulletins/173-January-2012.html%23h1" TargetMode="External"/><Relationship Id="rId71" Type="http://schemas.openxmlformats.org/officeDocument/2006/relationships/image" Target="media/image12.gif"/><Relationship Id="rId72" Type="http://schemas.openxmlformats.org/officeDocument/2006/relationships/hyperlink" Target="http://www.law.unimelb.edu.au/bulletins/173-January-2012.html%233" TargetMode="External"/><Relationship Id="rId20" Type="http://schemas.openxmlformats.org/officeDocument/2006/relationships/hyperlink" Target="http://infostore.saiglobal.com/store/results2.aspx?searchType=subject&amp;publisher=All&amp;doctype=All&amp;status=Current&amp;sfld1=ICS%20Code&amp;sval1=03.160" TargetMode="External"/><Relationship Id="rId21" Type="http://schemas.openxmlformats.org/officeDocument/2006/relationships/image" Target="media/image6.gif"/><Relationship Id="rId22" Type="http://schemas.openxmlformats.org/officeDocument/2006/relationships/hyperlink" Target="http://my.lawlex.com.au/default.asp?goto=search_leg" TargetMode="External"/><Relationship Id="rId23" Type="http://schemas.openxmlformats.org/officeDocument/2006/relationships/image" Target="media/image7.gif"/><Relationship Id="rId24" Type="http://schemas.openxmlformats.org/officeDocument/2006/relationships/hyperlink" Target="http://www.saiglobal.com/Compliance/regulatory-news/asiapac/lawlex-legislative-alert.htm" TargetMode="External"/><Relationship Id="rId25" Type="http://schemas.openxmlformats.org/officeDocument/2006/relationships/image" Target="media/image8.gif"/><Relationship Id="rId26" Type="http://schemas.openxmlformats.org/officeDocument/2006/relationships/hyperlink" Target="http://www.saiglobal.com/compliance/regulatory-news/default.htm" TargetMode="External"/><Relationship Id="rId27" Type="http://schemas.openxmlformats.org/officeDocument/2006/relationships/image" Target="media/image9.gif"/><Relationship Id="rId28" Type="http://schemas.openxmlformats.org/officeDocument/2006/relationships/hyperlink" Target="http://www.saiglobal.com/compliance/about/" TargetMode="External"/><Relationship Id="rId29" Type="http://schemas.openxmlformats.org/officeDocument/2006/relationships/image" Target="media/image10.gif"/><Relationship Id="rId73" Type="http://schemas.openxmlformats.org/officeDocument/2006/relationships/hyperlink" Target="http://www.law.unimelb.edu.au/bulletins/173-January-2012.html%23h2" TargetMode="External"/><Relationship Id="rId74" Type="http://schemas.openxmlformats.org/officeDocument/2006/relationships/hyperlink" Target="http://www.law.unimelb.edu.au/bulletins/173-January-2012.html%234" TargetMode="External"/><Relationship Id="rId75" Type="http://schemas.openxmlformats.org/officeDocument/2006/relationships/hyperlink" Target="http://www.law.unimelb.edu.au/bulletins/173-January-2012.html%23h3" TargetMode="External"/><Relationship Id="rId76" Type="http://schemas.openxmlformats.org/officeDocument/2006/relationships/hyperlink" Target="http://www.law.unimelb.edu.au/bulletins/173-January-2012.html%237" TargetMode="External"/><Relationship Id="rId77" Type="http://schemas.openxmlformats.org/officeDocument/2006/relationships/hyperlink" Target="http://www.law.unimelb.edu.au/bulletins/173-January-2012.html%23h4" TargetMode="External"/><Relationship Id="rId78" Type="http://schemas.openxmlformats.org/officeDocument/2006/relationships/hyperlink" Target="mailto:helpdesk.asiapac@saiglobal.com" TargetMode="External"/><Relationship Id="rId79" Type="http://schemas.openxmlformats.org/officeDocument/2006/relationships/fontTable" Target="fontTable.xml"/><Relationship Id="rId60" Type="http://schemas.openxmlformats.org/officeDocument/2006/relationships/hyperlink" Target="http://www.law.unimelb.edu.au/bulletins/173-January-2012.html" TargetMode="External"/><Relationship Id="rId61" Type="http://schemas.openxmlformats.org/officeDocument/2006/relationships/hyperlink" Target="http://www.law.unimelb.edu.au/bulletins/173-January-2012.html" TargetMode="External"/><Relationship Id="rId62" Type="http://schemas.openxmlformats.org/officeDocument/2006/relationships/hyperlink" Target="http://www.law.unimelb.edu.au/bulletins/173-January-2012.html" TargetMode="External"/><Relationship Id="rId10" Type="http://schemas.openxmlformats.org/officeDocument/2006/relationships/hyperlink" Target="http://www.law.unimelb.edu.au/bulletins/173-January-2012.html" TargetMode="External"/><Relationship Id="rId11" Type="http://schemas.openxmlformats.org/officeDocument/2006/relationships/hyperlink" Target="http://www.law.unimelb.edu.au/bulletins/173-January-2012.html" TargetMode="External"/><Relationship Id="rId12" Type="http://schemas.openxmlformats.org/officeDocument/2006/relationships/hyperlink" Target="http://www.law.unimelb.edu.au/bulletins/173-January-201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11301</Words>
  <Characters>64421</Characters>
  <Application>Microsoft Macintosh Word</Application>
  <DocSecurity>0</DocSecurity>
  <Lines>536</Lines>
  <Paragraphs>151</Paragraphs>
  <ScaleCrop>false</ScaleCrop>
  <Company/>
  <LinksUpToDate>false</LinksUpToDate>
  <CharactersWithSpaces>75571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2015-11-22T10:28:00Z</dcterms:created>
  <dcterms:modified xsi:type="dcterms:W3CDTF">2015-11-22T10:28:00Z</dcterms:modified>
</cp:coreProperties>
</file>