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4" w:rsidRPr="00E34F5D" w:rsidRDefault="00347024" w:rsidP="00E34F5D">
      <w:pPr>
        <w:spacing w:after="0" w:line="240" w:lineRule="auto"/>
        <w:jc w:val="center"/>
        <w:rPr>
          <w:rFonts w:ascii="Times New Roman" w:hAnsi="Times New Roman" w:cs="Times New Roman"/>
          <w:sz w:val="24"/>
          <w:szCs w:val="24"/>
        </w:rPr>
      </w:pPr>
      <w:bookmarkStart w:id="0" w:name="_GoBack"/>
      <w:bookmarkEnd w:id="0"/>
      <w:r w:rsidRPr="00E34F5D">
        <w:rPr>
          <w:rFonts w:ascii="Times New Roman" w:hAnsi="Times New Roman" w:cs="Times New Roman"/>
          <w:sz w:val="24"/>
          <w:szCs w:val="24"/>
        </w:rPr>
        <w:t>AUSTRALIAN GOVERNMENT</w:t>
      </w:r>
    </w:p>
    <w:p w:rsidR="00347024" w:rsidRPr="00E34F5D" w:rsidRDefault="00347024" w:rsidP="00E34F5D">
      <w:pPr>
        <w:spacing w:after="0" w:line="240" w:lineRule="auto"/>
        <w:jc w:val="center"/>
        <w:rPr>
          <w:rFonts w:ascii="Times New Roman" w:hAnsi="Times New Roman" w:cs="Times New Roman"/>
          <w:sz w:val="24"/>
          <w:szCs w:val="24"/>
        </w:rPr>
      </w:pPr>
      <w:r w:rsidRPr="00E34F5D">
        <w:rPr>
          <w:rFonts w:ascii="Times New Roman" w:hAnsi="Times New Roman" w:cs="Times New Roman"/>
          <w:sz w:val="24"/>
          <w:szCs w:val="24"/>
        </w:rPr>
        <w:t xml:space="preserve">TREASURY </w:t>
      </w:r>
    </w:p>
    <w:p w:rsidR="00347024" w:rsidRPr="00E34F5D" w:rsidRDefault="00347024" w:rsidP="00E34F5D">
      <w:pPr>
        <w:spacing w:after="0" w:line="240" w:lineRule="auto"/>
        <w:jc w:val="center"/>
        <w:rPr>
          <w:rFonts w:ascii="Times New Roman" w:hAnsi="Times New Roman" w:cs="Times New Roman"/>
          <w:sz w:val="24"/>
          <w:szCs w:val="24"/>
        </w:rPr>
      </w:pPr>
    </w:p>
    <w:p w:rsidR="00347024" w:rsidRPr="00E34F5D" w:rsidRDefault="00347024" w:rsidP="00E34F5D">
      <w:pPr>
        <w:spacing w:after="0" w:line="240" w:lineRule="auto"/>
        <w:jc w:val="center"/>
        <w:rPr>
          <w:rFonts w:ascii="Times New Roman" w:hAnsi="Times New Roman" w:cs="Times New Roman"/>
          <w:b/>
          <w:sz w:val="24"/>
          <w:szCs w:val="24"/>
        </w:rPr>
      </w:pPr>
      <w:r w:rsidRPr="00E34F5D">
        <w:rPr>
          <w:rFonts w:ascii="Times New Roman" w:hAnsi="Times New Roman" w:cs="Times New Roman"/>
          <w:b/>
          <w:sz w:val="24"/>
          <w:szCs w:val="24"/>
        </w:rPr>
        <w:t>TRANSPARENCY OF BUSINESS TAX DEBTS</w:t>
      </w:r>
    </w:p>
    <w:p w:rsidR="00347024" w:rsidRPr="00E34F5D" w:rsidRDefault="00347024" w:rsidP="00E34F5D">
      <w:pPr>
        <w:spacing w:after="0" w:line="240" w:lineRule="auto"/>
        <w:jc w:val="center"/>
        <w:rPr>
          <w:rFonts w:ascii="Times New Roman" w:hAnsi="Times New Roman" w:cs="Times New Roman"/>
          <w:sz w:val="24"/>
          <w:szCs w:val="24"/>
        </w:rPr>
      </w:pPr>
    </w:p>
    <w:p w:rsidR="00347024" w:rsidRPr="00E34F5D" w:rsidRDefault="00347024" w:rsidP="00E34F5D">
      <w:pPr>
        <w:spacing w:after="0" w:line="240" w:lineRule="auto"/>
        <w:jc w:val="center"/>
        <w:rPr>
          <w:rFonts w:ascii="Times New Roman" w:hAnsi="Times New Roman" w:cs="Times New Roman"/>
          <w:sz w:val="24"/>
          <w:szCs w:val="24"/>
        </w:rPr>
      </w:pPr>
      <w:r w:rsidRPr="00E34F5D">
        <w:rPr>
          <w:rFonts w:ascii="Times New Roman" w:hAnsi="Times New Roman" w:cs="Times New Roman"/>
          <w:b/>
          <w:sz w:val="24"/>
          <w:szCs w:val="24"/>
        </w:rPr>
        <w:t>Submission by Professor Helen Anderson, Melbourne Law School</w:t>
      </w:r>
    </w:p>
    <w:p w:rsidR="00347024" w:rsidRPr="00E34F5D" w:rsidRDefault="00791ABF" w:rsidP="00E34F5D">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EA5A85" w:rsidRPr="00E34F5D">
        <w:rPr>
          <w:rFonts w:ascii="Times New Roman" w:hAnsi="Times New Roman" w:cs="Times New Roman"/>
          <w:sz w:val="24"/>
          <w:szCs w:val="24"/>
        </w:rPr>
        <w:t xml:space="preserve"> January 2018</w:t>
      </w:r>
    </w:p>
    <w:p w:rsidR="00347024" w:rsidRPr="00E34F5D" w:rsidRDefault="00347024" w:rsidP="00E34F5D">
      <w:pPr>
        <w:pBdr>
          <w:bottom w:val="single" w:sz="6" w:space="1" w:color="auto"/>
        </w:pBdr>
        <w:spacing w:after="0" w:line="240" w:lineRule="auto"/>
        <w:jc w:val="center"/>
        <w:rPr>
          <w:rFonts w:ascii="Times New Roman" w:hAnsi="Times New Roman" w:cs="Times New Roman"/>
          <w:sz w:val="24"/>
          <w:szCs w:val="24"/>
        </w:rPr>
      </w:pPr>
    </w:p>
    <w:p w:rsidR="00347024" w:rsidRPr="00EA5A85" w:rsidRDefault="00347024" w:rsidP="00E34F5D">
      <w:pPr>
        <w:spacing w:after="0" w:line="240" w:lineRule="auto"/>
        <w:jc w:val="both"/>
        <w:rPr>
          <w:rFonts w:ascii="Times New Roman" w:hAnsi="Times New Roman" w:cs="Times New Roman"/>
          <w:sz w:val="24"/>
          <w:szCs w:val="24"/>
        </w:rPr>
      </w:pPr>
    </w:p>
    <w:p w:rsidR="00347024" w:rsidRPr="00EA5A85" w:rsidRDefault="00347024" w:rsidP="00E34F5D">
      <w:pPr>
        <w:pStyle w:val="ListParagraph"/>
        <w:numPr>
          <w:ilvl w:val="0"/>
          <w:numId w:val="1"/>
        </w:numPr>
        <w:spacing w:after="0" w:line="240" w:lineRule="auto"/>
        <w:ind w:left="284" w:hanging="284"/>
        <w:jc w:val="both"/>
        <w:rPr>
          <w:rFonts w:ascii="Times New Roman" w:hAnsi="Times New Roman" w:cs="Times New Roman"/>
          <w:sz w:val="24"/>
          <w:szCs w:val="24"/>
          <w:u w:val="single"/>
        </w:rPr>
      </w:pPr>
      <w:r w:rsidRPr="00EA5A85">
        <w:rPr>
          <w:rFonts w:ascii="Times New Roman" w:hAnsi="Times New Roman" w:cs="Times New Roman"/>
          <w:b/>
          <w:sz w:val="24"/>
          <w:szCs w:val="24"/>
        </w:rPr>
        <w:t>INTRODUCTION</w:t>
      </w:r>
    </w:p>
    <w:p w:rsidR="00347024" w:rsidRPr="00EA5A85" w:rsidRDefault="00347024" w:rsidP="00E34F5D">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 xml:space="preserve">I thank </w:t>
      </w:r>
      <w:r w:rsidR="006154C0" w:rsidRPr="00EA5A85">
        <w:rPr>
          <w:rFonts w:ascii="Times New Roman" w:hAnsi="Times New Roman" w:cs="Times New Roman"/>
          <w:sz w:val="24"/>
          <w:szCs w:val="24"/>
        </w:rPr>
        <w:t xml:space="preserve">Treasury </w:t>
      </w:r>
      <w:r w:rsidRPr="00EA5A85">
        <w:rPr>
          <w:rFonts w:ascii="Times New Roman" w:hAnsi="Times New Roman" w:cs="Times New Roman"/>
          <w:sz w:val="24"/>
          <w:szCs w:val="24"/>
        </w:rPr>
        <w:t>for the opportunity to comment on its ‘</w:t>
      </w:r>
      <w:r w:rsidR="006154C0" w:rsidRPr="00EA5A85">
        <w:rPr>
          <w:rFonts w:ascii="Times New Roman" w:hAnsi="Times New Roman" w:cs="Times New Roman"/>
          <w:sz w:val="24"/>
          <w:szCs w:val="24"/>
        </w:rPr>
        <w:t>Transparency of Business Tax Deb</w:t>
      </w:r>
      <w:r w:rsidR="00EA5A85">
        <w:rPr>
          <w:rFonts w:ascii="Times New Roman" w:hAnsi="Times New Roman" w:cs="Times New Roman"/>
          <w:sz w:val="24"/>
          <w:szCs w:val="24"/>
        </w:rPr>
        <w:t xml:space="preserve">ts’ exposure draft legislation. </w:t>
      </w:r>
      <w:r w:rsidR="006154C0" w:rsidRPr="00EA5A85">
        <w:rPr>
          <w:rFonts w:ascii="Times New Roman" w:hAnsi="Times New Roman" w:cs="Times New Roman"/>
          <w:sz w:val="24"/>
          <w:szCs w:val="24"/>
        </w:rPr>
        <w:t xml:space="preserve">The Australian Research Council-funded project examining the regulation of illegal phoenix activity that I have led is in its concluding stages. Our aim has been </w:t>
      </w:r>
      <w:r w:rsidRPr="00EA5A85">
        <w:rPr>
          <w:rFonts w:ascii="Times New Roman" w:hAnsi="Times New Roman" w:cs="Times New Roman"/>
          <w:sz w:val="24"/>
          <w:szCs w:val="24"/>
        </w:rPr>
        <w:t xml:space="preserve">to devise ways in which this damaging behaviour can be most efficiently and effectively prevented and deterred, without harming legitimate business activities to the detriment of the economy. We have now produced three major reports: </w:t>
      </w:r>
      <w:hyperlink r:id="rId8" w:history="1">
        <w:r w:rsidRPr="00EA5A85">
          <w:rPr>
            <w:rStyle w:val="Hyperlink"/>
            <w:rFonts w:ascii="Times New Roman" w:hAnsi="Times New Roman" w:cs="Times New Roman"/>
            <w:color w:val="auto"/>
            <w:sz w:val="24"/>
            <w:szCs w:val="24"/>
          </w:rPr>
          <w:t>Defining and Profiling Phoenix Activity</w:t>
        </w:r>
      </w:hyperlink>
      <w:r w:rsidRPr="00EA5A85">
        <w:rPr>
          <w:rFonts w:ascii="Times New Roman" w:hAnsi="Times New Roman" w:cs="Times New Roman"/>
          <w:sz w:val="24"/>
          <w:szCs w:val="24"/>
        </w:rPr>
        <w:t xml:space="preserve">; </w:t>
      </w:r>
      <w:hyperlink r:id="rId9" w:history="1">
        <w:r w:rsidRPr="00EA5A85">
          <w:rPr>
            <w:rStyle w:val="Hyperlink"/>
            <w:rFonts w:ascii="Times New Roman" w:hAnsi="Times New Roman" w:cs="Times New Roman"/>
            <w:color w:val="auto"/>
            <w:sz w:val="24"/>
            <w:szCs w:val="24"/>
          </w:rPr>
          <w:t>Quantifying Phoenix Activity: Cost, Incidence, Enforcement</w:t>
        </w:r>
      </w:hyperlink>
      <w:r w:rsidRPr="00EA5A85">
        <w:rPr>
          <w:rFonts w:ascii="Times New Roman" w:hAnsi="Times New Roman" w:cs="Times New Roman"/>
          <w:sz w:val="24"/>
          <w:szCs w:val="24"/>
        </w:rPr>
        <w:t xml:space="preserve">; and </w:t>
      </w:r>
      <w:hyperlink r:id="rId10" w:history="1">
        <w:r w:rsidRPr="00EA5A85">
          <w:rPr>
            <w:rStyle w:val="Hyperlink"/>
            <w:rFonts w:ascii="Times New Roman" w:hAnsi="Times New Roman" w:cs="Times New Roman"/>
            <w:color w:val="auto"/>
            <w:sz w:val="24"/>
            <w:szCs w:val="24"/>
          </w:rPr>
          <w:t>Phoenix Activity: Recommendations on Detection, Disruption and Enforcement</w:t>
        </w:r>
      </w:hyperlink>
      <w:r w:rsidRPr="00EA5A85">
        <w:rPr>
          <w:rFonts w:ascii="Times New Roman" w:hAnsi="Times New Roman" w:cs="Times New Roman"/>
          <w:sz w:val="24"/>
          <w:szCs w:val="24"/>
        </w:rPr>
        <w:t>.</w:t>
      </w:r>
      <w:r w:rsidRPr="00EA5A85">
        <w:rPr>
          <w:rFonts w:ascii="Times New Roman" w:hAnsi="Times New Roman" w:cs="Times New Roman"/>
          <w:i/>
          <w:sz w:val="24"/>
          <w:szCs w:val="24"/>
        </w:rPr>
        <w:t xml:space="preserve"> </w:t>
      </w:r>
      <w:r w:rsidRPr="00EA5A85">
        <w:rPr>
          <w:rFonts w:ascii="Times New Roman" w:hAnsi="Times New Roman" w:cs="Times New Roman"/>
          <w:sz w:val="24"/>
          <w:szCs w:val="24"/>
        </w:rPr>
        <w:t xml:space="preserve"> </w:t>
      </w:r>
      <w:r w:rsidR="006154C0" w:rsidRPr="00EA5A85">
        <w:rPr>
          <w:rFonts w:ascii="Times New Roman" w:hAnsi="Times New Roman" w:cs="Times New Roman"/>
          <w:sz w:val="24"/>
          <w:szCs w:val="24"/>
        </w:rPr>
        <w:t>The views expressed in this submission come partly from our Recommendations report and partly are my own based on the 2018 exposure draft.</w:t>
      </w:r>
    </w:p>
    <w:p w:rsidR="00347024" w:rsidRPr="00EA5A85" w:rsidRDefault="00347024" w:rsidP="00E34F5D">
      <w:pPr>
        <w:spacing w:after="0" w:line="240" w:lineRule="auto"/>
        <w:jc w:val="both"/>
        <w:rPr>
          <w:rFonts w:ascii="Times New Roman" w:hAnsi="Times New Roman" w:cs="Times New Roman"/>
          <w:sz w:val="24"/>
          <w:szCs w:val="24"/>
        </w:rPr>
      </w:pPr>
    </w:p>
    <w:p w:rsidR="00347024" w:rsidRPr="00EA5A85" w:rsidRDefault="00347024" w:rsidP="00E34F5D">
      <w:pPr>
        <w:spacing w:after="0" w:line="240" w:lineRule="auto"/>
        <w:jc w:val="both"/>
        <w:rPr>
          <w:rFonts w:ascii="Times New Roman" w:hAnsi="Times New Roman" w:cs="Times New Roman"/>
          <w:sz w:val="24"/>
          <w:szCs w:val="24"/>
        </w:rPr>
      </w:pPr>
      <w:r w:rsidRPr="00EA5A85">
        <w:rPr>
          <w:rFonts w:ascii="Times New Roman" w:hAnsi="Times New Roman" w:cs="Times New Roman"/>
          <w:sz w:val="24"/>
          <w:szCs w:val="24"/>
        </w:rPr>
        <w:t>The concept of phoenix activity broadly centres on th</w:t>
      </w:r>
      <w:r w:rsidR="009D3DE3">
        <w:rPr>
          <w:rFonts w:ascii="Times New Roman" w:hAnsi="Times New Roman" w:cs="Times New Roman"/>
          <w:sz w:val="24"/>
          <w:szCs w:val="24"/>
        </w:rPr>
        <w:t xml:space="preserve">e idea of a corporate failure </w:t>
      </w:r>
      <w:r w:rsidRPr="00EA5A85">
        <w:rPr>
          <w:rFonts w:ascii="Times New Roman" w:hAnsi="Times New Roman" w:cs="Times New Roman"/>
          <w:sz w:val="24"/>
          <w:szCs w:val="24"/>
        </w:rPr>
        <w:t>and a sec</w:t>
      </w:r>
      <w:r w:rsidR="009D3DE3">
        <w:rPr>
          <w:rFonts w:ascii="Times New Roman" w:hAnsi="Times New Roman" w:cs="Times New Roman"/>
          <w:sz w:val="24"/>
          <w:szCs w:val="24"/>
        </w:rPr>
        <w:t xml:space="preserve">ond company, </w:t>
      </w:r>
      <w:r w:rsidRPr="00EA5A85">
        <w:rPr>
          <w:rFonts w:ascii="Times New Roman" w:hAnsi="Times New Roman" w:cs="Times New Roman"/>
          <w:sz w:val="24"/>
          <w:szCs w:val="24"/>
        </w:rPr>
        <w:t>often newly incorporated, arising from the ashes of its failed predecessor where the second company’s controllers and business are essentially the same. Phoenix activity can be legal as well as illegal. Legal phoenix activity covers situations where the previous controllers start another similar business, using a new company when their earlier company fails, usually in order to rescue its business. Illegal phoenix activity involves similar activities, but the intention is to exploit the corporate form to the detriment of unsecured creditors, including employees and tax authorities. The illegality is generally as a result of a breach of directors’ duties in failing to act properly in respect of the failed company and its creditors.</w:t>
      </w:r>
    </w:p>
    <w:p w:rsidR="006154C0" w:rsidRDefault="006154C0" w:rsidP="00E34F5D">
      <w:pPr>
        <w:spacing w:after="0" w:line="240" w:lineRule="auto"/>
        <w:jc w:val="both"/>
        <w:rPr>
          <w:rFonts w:ascii="Times New Roman" w:hAnsi="Times New Roman" w:cs="Times New Roman"/>
          <w:sz w:val="24"/>
          <w:szCs w:val="24"/>
        </w:rPr>
      </w:pPr>
    </w:p>
    <w:p w:rsidR="00EA5A85" w:rsidRPr="00134169" w:rsidRDefault="00211FEC"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 II provides some background to the present enquiry, Part III contains some international comparators, and Part IV comments specifically on the draft provisions. </w:t>
      </w:r>
      <w:r w:rsidR="00134169" w:rsidRPr="00134169">
        <w:rPr>
          <w:rFonts w:ascii="Times New Roman" w:hAnsi="Times New Roman" w:cs="Times New Roman"/>
          <w:sz w:val="24"/>
          <w:szCs w:val="24"/>
        </w:rPr>
        <w:t>In commenting on the government’s proposal, it is important to note that it is not explicitly addressing phoenix activity. The exposure draft explanatory materials state that:</w:t>
      </w:r>
    </w:p>
    <w:p w:rsidR="00134169" w:rsidRPr="00134169" w:rsidRDefault="00134169" w:rsidP="00134169">
      <w:pPr>
        <w:spacing w:after="0" w:line="240" w:lineRule="auto"/>
        <w:ind w:left="720"/>
        <w:jc w:val="both"/>
        <w:rPr>
          <w:rFonts w:ascii="Times New Roman" w:hAnsi="Times New Roman" w:cs="Times New Roman"/>
          <w:sz w:val="24"/>
          <w:szCs w:val="24"/>
        </w:rPr>
      </w:pPr>
      <w:r w:rsidRPr="00134169">
        <w:rPr>
          <w:rFonts w:ascii="Times New Roman" w:hAnsi="Times New Roman" w:cs="Times New Roman"/>
          <w:sz w:val="24"/>
          <w:szCs w:val="24"/>
        </w:rPr>
        <w:t>1.2</w:t>
      </w:r>
      <w:r w:rsidRPr="00134169">
        <w:rPr>
          <w:rFonts w:ascii="Times New Roman" w:hAnsi="Times New Roman" w:cs="Times New Roman"/>
          <w:sz w:val="24"/>
          <w:szCs w:val="24"/>
        </w:rPr>
        <w:tab/>
        <w:t>This will allow tax debts to be placed on a similar footing as other debts, strengthening the incentives for businesses to pay their debts in a timely manner and effectively engage with the ATO to avoid having their tax debt information disclosed.</w:t>
      </w:r>
    </w:p>
    <w:p w:rsidR="00134169" w:rsidRDefault="00134169" w:rsidP="00134169">
      <w:pPr>
        <w:spacing w:after="0" w:line="240" w:lineRule="auto"/>
        <w:ind w:left="720"/>
        <w:jc w:val="both"/>
        <w:rPr>
          <w:rFonts w:ascii="Times New Roman" w:hAnsi="Times New Roman" w:cs="Times New Roman"/>
          <w:sz w:val="24"/>
          <w:szCs w:val="24"/>
        </w:rPr>
      </w:pPr>
      <w:r w:rsidRPr="00134169">
        <w:rPr>
          <w:rFonts w:ascii="Times New Roman" w:hAnsi="Times New Roman" w:cs="Times New Roman"/>
          <w:sz w:val="24"/>
          <w:szCs w:val="24"/>
        </w:rPr>
        <w:t>1.3</w:t>
      </w:r>
      <w:r w:rsidRPr="00134169">
        <w:rPr>
          <w:rFonts w:ascii="Times New Roman" w:hAnsi="Times New Roman" w:cs="Times New Roman"/>
          <w:sz w:val="24"/>
          <w:szCs w:val="24"/>
        </w:rPr>
        <w:tab/>
        <w:t>The amendments will reduce unfair financial advantage obtained by businesses that do not pay their tax on time and contributes to more informed decision making within the business community by enabling businesses to make a more complete assessment of the credit worthiness of other businesses.</w:t>
      </w:r>
    </w:p>
    <w:p w:rsidR="00134169" w:rsidRDefault="00134169" w:rsidP="00134169">
      <w:pPr>
        <w:spacing w:after="0" w:line="240" w:lineRule="auto"/>
        <w:jc w:val="both"/>
        <w:rPr>
          <w:rFonts w:ascii="Times New Roman" w:hAnsi="Times New Roman" w:cs="Times New Roman"/>
          <w:sz w:val="24"/>
          <w:szCs w:val="24"/>
        </w:rPr>
      </w:pPr>
    </w:p>
    <w:p w:rsidR="00134169" w:rsidRDefault="00134169" w:rsidP="00211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proposed tax disclosures are therefore intended to give lenders more information about the credit worthiness of existing, ongoing businesses, rather than allowing credit bureaus</w:t>
      </w:r>
      <w:r w:rsidR="00F33109">
        <w:rPr>
          <w:rFonts w:ascii="Times New Roman" w:hAnsi="Times New Roman" w:cs="Times New Roman"/>
          <w:sz w:val="24"/>
          <w:szCs w:val="24"/>
        </w:rPr>
        <w:t xml:space="preserve"> or others</w:t>
      </w:r>
      <w:r>
        <w:rPr>
          <w:rFonts w:ascii="Times New Roman" w:hAnsi="Times New Roman" w:cs="Times New Roman"/>
          <w:sz w:val="24"/>
          <w:szCs w:val="24"/>
        </w:rPr>
        <w:t xml:space="preserve"> to prepare profiles about the individuals running those businesses and the credit worthiness of their future businesses.</w:t>
      </w:r>
      <w:r w:rsidR="00211FEC">
        <w:rPr>
          <w:rFonts w:ascii="Times New Roman" w:hAnsi="Times New Roman" w:cs="Times New Roman"/>
          <w:sz w:val="24"/>
          <w:szCs w:val="24"/>
        </w:rPr>
        <w:t xml:space="preserve"> Transparency is vital in deterring misconduc</w:t>
      </w:r>
      <w:r w:rsidR="00211FEC" w:rsidRPr="00957ADA">
        <w:rPr>
          <w:rFonts w:ascii="Times New Roman" w:hAnsi="Times New Roman" w:cs="Times New Roman"/>
          <w:sz w:val="24"/>
          <w:szCs w:val="24"/>
        </w:rPr>
        <w:t>t.</w:t>
      </w:r>
      <w:r w:rsidRPr="00957ADA">
        <w:rPr>
          <w:rFonts w:ascii="Times New Roman" w:hAnsi="Times New Roman" w:cs="Times New Roman"/>
          <w:sz w:val="24"/>
          <w:szCs w:val="24"/>
        </w:rPr>
        <w:t xml:space="preserve"> </w:t>
      </w:r>
      <w:r w:rsidR="00211FEC" w:rsidRPr="00957ADA">
        <w:rPr>
          <w:rFonts w:ascii="Times New Roman" w:hAnsi="Times New Roman" w:cs="Times New Roman"/>
          <w:b/>
          <w:sz w:val="24"/>
          <w:szCs w:val="24"/>
        </w:rPr>
        <w:t>However in my opinion, the presently proposed legislative instrument will encourage, rather than discourage, illegal phoenix activity.</w:t>
      </w:r>
      <w:r w:rsidR="00211FEC">
        <w:rPr>
          <w:rFonts w:ascii="Times New Roman" w:hAnsi="Times New Roman" w:cs="Times New Roman"/>
          <w:sz w:val="24"/>
          <w:szCs w:val="24"/>
        </w:rPr>
        <w:t xml:space="preserve"> I discuss this further below in Part V and suggest a small change to overcome this problem in Part VI. </w:t>
      </w:r>
    </w:p>
    <w:p w:rsidR="00211FEC" w:rsidRDefault="00211FEC" w:rsidP="00211FEC">
      <w:pPr>
        <w:spacing w:after="0" w:line="240" w:lineRule="auto"/>
        <w:jc w:val="both"/>
        <w:rPr>
          <w:rFonts w:ascii="Times New Roman" w:hAnsi="Times New Roman" w:cs="Times New Roman"/>
          <w:b/>
          <w:sz w:val="24"/>
          <w:szCs w:val="24"/>
        </w:rPr>
      </w:pPr>
    </w:p>
    <w:p w:rsidR="00355519" w:rsidRPr="00E34F5D" w:rsidRDefault="00355519" w:rsidP="00E34F5D">
      <w:pPr>
        <w:spacing w:after="0" w:line="240" w:lineRule="auto"/>
        <w:jc w:val="both"/>
        <w:rPr>
          <w:rFonts w:ascii="Times New Roman" w:hAnsi="Times New Roman" w:cs="Times New Roman"/>
          <w:sz w:val="24"/>
          <w:szCs w:val="24"/>
        </w:rPr>
      </w:pPr>
      <w:r w:rsidRPr="00E34F5D">
        <w:rPr>
          <w:rFonts w:ascii="Times New Roman" w:hAnsi="Times New Roman" w:cs="Times New Roman"/>
          <w:b/>
          <w:sz w:val="24"/>
          <w:szCs w:val="24"/>
        </w:rPr>
        <w:t>II</w:t>
      </w:r>
      <w:r w:rsidR="00E34F5D" w:rsidRPr="00E34F5D">
        <w:rPr>
          <w:rFonts w:ascii="Times New Roman" w:hAnsi="Times New Roman" w:cs="Times New Roman"/>
          <w:b/>
          <w:sz w:val="24"/>
          <w:szCs w:val="24"/>
        </w:rPr>
        <w:t xml:space="preserve"> BACKGROUND</w:t>
      </w:r>
    </w:p>
    <w:p w:rsidR="00F33109" w:rsidRPr="00E34F5D" w:rsidRDefault="00E34F5D" w:rsidP="00F33109">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The significance of publicly available tax default information is that unpaid taxes are often an early sign of the precariousness of a company and its likelihood of defaulting on other debts.</w:t>
      </w:r>
      <w:r w:rsidR="00957ADA" w:rsidRPr="00E34F5D">
        <w:rPr>
          <w:rFonts w:ascii="Times New Roman" w:hAnsi="Times New Roman" w:cs="Times New Roman"/>
          <w:sz w:val="24"/>
          <w:szCs w:val="24"/>
        </w:rPr>
        <w:t>.</w:t>
      </w:r>
      <w:r w:rsidR="00957ADA">
        <w:t xml:space="preserve"> </w:t>
      </w:r>
      <w:r w:rsidR="00F33109" w:rsidRPr="00E34F5D">
        <w:rPr>
          <w:rFonts w:ascii="Times New Roman" w:hAnsi="Times New Roman" w:cs="Times New Roman"/>
          <w:sz w:val="24"/>
          <w:szCs w:val="24"/>
        </w:rPr>
        <w:t xml:space="preserve">In early 2016 we conducted a survey of members of the Australian Institute of Credit Management and 95% of respondents agreed or strongly agreed that ‘[h]aving the ATO list all unpaid tax by commercial entities … would significantly enhance my credit approval/declining decision making.’ </w:t>
      </w:r>
    </w:p>
    <w:p w:rsidR="00F33109" w:rsidRDefault="00F33109" w:rsidP="00E34F5D">
      <w:pPr>
        <w:spacing w:after="0" w:line="240" w:lineRule="auto"/>
        <w:jc w:val="both"/>
        <w:rPr>
          <w:rFonts w:ascii="Times New Roman" w:hAnsi="Times New Roman" w:cs="Times New Roman"/>
          <w:sz w:val="24"/>
          <w:szCs w:val="24"/>
        </w:rPr>
      </w:pPr>
    </w:p>
    <w:p w:rsidR="00957ADA" w:rsidRPr="00E34F5D" w:rsidRDefault="00957ADA" w:rsidP="00957ADA">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 xml:space="preserve">While the ATO </w:t>
      </w:r>
      <w:r>
        <w:rPr>
          <w:rFonts w:ascii="Times New Roman" w:hAnsi="Times New Roman" w:cs="Times New Roman"/>
          <w:sz w:val="24"/>
          <w:szCs w:val="24"/>
        </w:rPr>
        <w:t xml:space="preserve">presently </w:t>
      </w:r>
      <w:r w:rsidRPr="00E34F5D">
        <w:rPr>
          <w:rFonts w:ascii="Times New Roman" w:hAnsi="Times New Roman" w:cs="Times New Roman"/>
          <w:sz w:val="24"/>
          <w:szCs w:val="24"/>
        </w:rPr>
        <w:t>can use external debt collection agencies to pursue unpaid taxes,</w:t>
      </w:r>
      <w:bookmarkStart w:id="1" w:name="_Ref469555746"/>
      <w:r w:rsidRPr="00E34F5D">
        <w:rPr>
          <w:rStyle w:val="FootnoteReference"/>
          <w:rFonts w:ascii="Times New Roman" w:hAnsi="Times New Roman" w:cs="Times New Roman"/>
          <w:sz w:val="24"/>
          <w:szCs w:val="24"/>
        </w:rPr>
        <w:footnoteReference w:id="1"/>
      </w:r>
      <w:bookmarkEnd w:id="1"/>
      <w:r w:rsidRPr="00E34F5D">
        <w:rPr>
          <w:rFonts w:ascii="Times New Roman" w:hAnsi="Times New Roman" w:cs="Times New Roman"/>
          <w:sz w:val="24"/>
          <w:szCs w:val="24"/>
        </w:rPr>
        <w:t xml:space="preserve"> it has not been able to register tax defaults with credit reporting agencies, as a bank or trade creditor might. However, in 2014 the ATO indicated that it would like that information made public. ATO Second Commissioner Geoff Leeper said:</w:t>
      </w:r>
    </w:p>
    <w:p w:rsidR="00957ADA" w:rsidRPr="00E34F5D" w:rsidRDefault="00957ADA" w:rsidP="00957ADA">
      <w:pPr>
        <w:spacing w:after="0" w:line="240" w:lineRule="auto"/>
        <w:ind w:left="720"/>
        <w:jc w:val="both"/>
        <w:rPr>
          <w:rFonts w:ascii="Times New Roman" w:hAnsi="Times New Roman" w:cs="Times New Roman"/>
          <w:sz w:val="24"/>
          <w:szCs w:val="24"/>
        </w:rPr>
      </w:pPr>
      <w:r w:rsidRPr="00E34F5D">
        <w:rPr>
          <w:rFonts w:ascii="Times New Roman" w:hAnsi="Times New Roman" w:cs="Times New Roman"/>
          <w:sz w:val="24"/>
          <w:szCs w:val="24"/>
        </w:rPr>
        <w:t>the fact … a debt to the tax office cannot be disclosed to the markets because of secrecy provisions [means that] there are no credit reference consequences from being in debt to the tax office. … This is a matter for government to consider at some point. The only way around it that we can think of is to propose that the Commonwealth as an entity have the ability to advise a credit market, ‘Geoff owes $41,000,’ without disclosing the nature of that debt.</w:t>
      </w:r>
      <w:r w:rsidRPr="00E34F5D">
        <w:rPr>
          <w:rStyle w:val="FootnoteReference"/>
          <w:rFonts w:ascii="Times New Roman" w:hAnsi="Times New Roman" w:cs="Times New Roman"/>
          <w:sz w:val="24"/>
          <w:szCs w:val="24"/>
        </w:rPr>
        <w:footnoteReference w:id="2"/>
      </w:r>
    </w:p>
    <w:p w:rsidR="00957ADA" w:rsidRDefault="00957ADA" w:rsidP="00E34F5D">
      <w:pPr>
        <w:spacing w:after="0" w:line="240" w:lineRule="auto"/>
        <w:jc w:val="both"/>
        <w:rPr>
          <w:rFonts w:ascii="Times New Roman" w:hAnsi="Times New Roman" w:cs="Times New Roman"/>
          <w:sz w:val="24"/>
          <w:szCs w:val="24"/>
        </w:rPr>
      </w:pPr>
    </w:p>
    <w:p w:rsidR="00F33109" w:rsidRPr="00E34F5D" w:rsidRDefault="00957ADA" w:rsidP="00E34F5D">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Where directors of companies are seeking financing to run their businesses, lenders, via the services of a credit reporting agency, would benefit from seeing information about prior tax defaults by companies with which those people have previously been associated</w:t>
      </w:r>
      <w:r>
        <w:rPr>
          <w:rFonts w:ascii="Times New Roman" w:hAnsi="Times New Roman" w:cs="Times New Roman"/>
          <w:sz w:val="24"/>
          <w:szCs w:val="24"/>
        </w:rPr>
        <w:t xml:space="preserve">. </w:t>
      </w:r>
      <w:r w:rsidR="00E34F5D" w:rsidRPr="00E34F5D">
        <w:rPr>
          <w:rFonts w:ascii="Times New Roman" w:hAnsi="Times New Roman" w:cs="Times New Roman"/>
          <w:sz w:val="24"/>
          <w:szCs w:val="24"/>
        </w:rPr>
        <w:t xml:space="preserve">If credit reporting agencies could include </w:t>
      </w:r>
      <w:r>
        <w:rPr>
          <w:rFonts w:ascii="Times New Roman" w:hAnsi="Times New Roman" w:cs="Times New Roman"/>
          <w:sz w:val="24"/>
          <w:szCs w:val="24"/>
        </w:rPr>
        <w:t>tax default</w:t>
      </w:r>
      <w:r w:rsidR="00E34F5D" w:rsidRPr="00E34F5D">
        <w:rPr>
          <w:rFonts w:ascii="Times New Roman" w:hAnsi="Times New Roman" w:cs="Times New Roman"/>
          <w:sz w:val="24"/>
          <w:szCs w:val="24"/>
        </w:rPr>
        <w:t xml:space="preserve"> information in their advice to prospective lenders and trade creditors, one significant incentive to engage in </w:t>
      </w:r>
      <w:r>
        <w:rPr>
          <w:rFonts w:ascii="Times New Roman" w:hAnsi="Times New Roman" w:cs="Times New Roman"/>
          <w:sz w:val="24"/>
          <w:szCs w:val="24"/>
        </w:rPr>
        <w:t xml:space="preserve">illegal </w:t>
      </w:r>
      <w:r w:rsidR="00E34F5D" w:rsidRPr="00E34F5D">
        <w:rPr>
          <w:rFonts w:ascii="Times New Roman" w:hAnsi="Times New Roman" w:cs="Times New Roman"/>
          <w:sz w:val="24"/>
          <w:szCs w:val="24"/>
        </w:rPr>
        <w:t xml:space="preserve">phoenix activity – its invisibility – would be undermined. </w:t>
      </w:r>
    </w:p>
    <w:p w:rsidR="00096D56" w:rsidRDefault="00096D56" w:rsidP="00E34F5D">
      <w:pPr>
        <w:spacing w:after="0" w:line="240" w:lineRule="auto"/>
        <w:jc w:val="both"/>
        <w:rPr>
          <w:rFonts w:ascii="Times New Roman" w:hAnsi="Times New Roman" w:cs="Times New Roman"/>
          <w:sz w:val="24"/>
          <w:szCs w:val="24"/>
        </w:rPr>
      </w:pPr>
    </w:p>
    <w:p w:rsidR="00096D56" w:rsidRDefault="00096D56" w:rsidP="00E34F5D">
      <w:pPr>
        <w:spacing w:after="0" w:line="240" w:lineRule="auto"/>
        <w:jc w:val="both"/>
        <w:rPr>
          <w:rFonts w:ascii="Times New Roman" w:hAnsi="Times New Roman" w:cs="Times New Roman"/>
          <w:sz w:val="24"/>
          <w:szCs w:val="24"/>
        </w:rPr>
      </w:pPr>
      <w:r w:rsidRPr="00096D56">
        <w:rPr>
          <w:rFonts w:ascii="Times New Roman" w:hAnsi="Times New Roman" w:cs="Times New Roman"/>
          <w:b/>
          <w:sz w:val="24"/>
          <w:szCs w:val="24"/>
        </w:rPr>
        <w:t xml:space="preserve">III </w:t>
      </w:r>
      <w:r>
        <w:rPr>
          <w:rFonts w:ascii="Times New Roman" w:hAnsi="Times New Roman" w:cs="Times New Roman"/>
          <w:b/>
          <w:sz w:val="24"/>
          <w:szCs w:val="24"/>
        </w:rPr>
        <w:t xml:space="preserve">SOME </w:t>
      </w:r>
      <w:r w:rsidRPr="00096D56">
        <w:rPr>
          <w:rFonts w:ascii="Times New Roman" w:hAnsi="Times New Roman" w:cs="Times New Roman"/>
          <w:b/>
          <w:sz w:val="24"/>
          <w:szCs w:val="24"/>
        </w:rPr>
        <w:t>INTERNATIONAL EXAMPLES</w:t>
      </w:r>
    </w:p>
    <w:p w:rsidR="00355519" w:rsidRPr="00E34F5D" w:rsidRDefault="00355519" w:rsidP="00096D56">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This part examines how this issue has been dealt with in foreign jurisdictions.</w:t>
      </w:r>
      <w:r w:rsidR="00096D56">
        <w:rPr>
          <w:rFonts w:ascii="Times New Roman" w:hAnsi="Times New Roman" w:cs="Times New Roman"/>
          <w:sz w:val="24"/>
          <w:szCs w:val="24"/>
        </w:rPr>
        <w:t xml:space="preserve"> </w:t>
      </w:r>
      <w:r w:rsidRPr="00E34F5D">
        <w:rPr>
          <w:rFonts w:ascii="Times New Roman" w:hAnsi="Times New Roman" w:cs="Times New Roman"/>
          <w:sz w:val="24"/>
          <w:szCs w:val="24"/>
        </w:rPr>
        <w:t xml:space="preserve">There are several international examples of tax debts being utilised publicly. </w:t>
      </w:r>
      <w:r w:rsidRPr="00E34F5D">
        <w:rPr>
          <w:rFonts w:ascii="Times New Roman" w:hAnsi="Times New Roman" w:cs="Times New Roman"/>
          <w:sz w:val="24"/>
          <w:szCs w:val="24"/>
          <w:lang w:val="en-US"/>
        </w:rPr>
        <w:t>As of 1 June 2014, the Estonian tax authority</w:t>
      </w:r>
      <w:r w:rsidR="00211FEC" w:rsidRPr="00E34F5D">
        <w:rPr>
          <w:rStyle w:val="FootnoteReference"/>
          <w:rFonts w:ascii="Times New Roman" w:hAnsi="Times New Roman" w:cs="Times New Roman"/>
          <w:sz w:val="24"/>
          <w:szCs w:val="24"/>
          <w:lang w:val="en-US"/>
        </w:rPr>
        <w:footnoteReference w:id="3"/>
      </w:r>
      <w:r w:rsidRPr="00E34F5D">
        <w:rPr>
          <w:rFonts w:ascii="Times New Roman" w:hAnsi="Times New Roman" w:cs="Times New Roman"/>
          <w:sz w:val="24"/>
          <w:szCs w:val="24"/>
          <w:lang w:val="en-US"/>
        </w:rPr>
        <w:t xml:space="preserve"> has published a ‘black list’ of tax debtors who owe at least EUR 1000</w:t>
      </w:r>
      <w:r w:rsidR="00211FEC">
        <w:rPr>
          <w:rFonts w:ascii="Times New Roman" w:hAnsi="Times New Roman" w:cs="Times New Roman"/>
          <w:sz w:val="24"/>
          <w:szCs w:val="24"/>
          <w:lang w:val="en-US"/>
        </w:rPr>
        <w:t xml:space="preserve"> </w:t>
      </w:r>
      <w:r w:rsidRPr="00E34F5D">
        <w:rPr>
          <w:rFonts w:ascii="Times New Roman" w:hAnsi="Times New Roman" w:cs="Times New Roman"/>
          <w:sz w:val="24"/>
          <w:szCs w:val="24"/>
          <w:lang w:val="en-US"/>
        </w:rPr>
        <w:t>of taxes. The list is published on the tax authority’s webpage on a monthly basis, although</w:t>
      </w:r>
      <w:r w:rsidRPr="00E34F5D">
        <w:rPr>
          <w:rFonts w:ascii="Times New Roman" w:hAnsi="Times New Roman" w:cs="Times New Roman"/>
          <w:sz w:val="24"/>
          <w:szCs w:val="24"/>
        </w:rPr>
        <w:t xml:space="preserve"> there has been some controversy about the accuracy of debts published on the ‘black list’.</w:t>
      </w:r>
      <w:r w:rsidRPr="00E34F5D">
        <w:rPr>
          <w:rStyle w:val="FootnoteReference"/>
          <w:rFonts w:ascii="Times New Roman" w:hAnsi="Times New Roman" w:cs="Times New Roman"/>
          <w:sz w:val="24"/>
          <w:szCs w:val="24"/>
        </w:rPr>
        <w:footnoteReference w:id="4"/>
      </w:r>
      <w:r w:rsidRPr="00E34F5D">
        <w:rPr>
          <w:rFonts w:ascii="Times New Roman" w:hAnsi="Times New Roman" w:cs="Times New Roman"/>
          <w:sz w:val="24"/>
          <w:szCs w:val="24"/>
        </w:rPr>
        <w:t xml:space="preserve"> </w:t>
      </w:r>
    </w:p>
    <w:p w:rsidR="00355519" w:rsidRPr="00E34F5D" w:rsidRDefault="00355519" w:rsidP="00E34F5D">
      <w:pPr>
        <w:pStyle w:val="NormalWeb"/>
        <w:shd w:val="clear" w:color="auto" w:fill="FFFFFF"/>
        <w:jc w:val="both"/>
      </w:pPr>
    </w:p>
    <w:p w:rsidR="00355519" w:rsidRPr="00E34F5D" w:rsidRDefault="00355519" w:rsidP="00E34F5D">
      <w:pPr>
        <w:pStyle w:val="NormalWeb"/>
        <w:shd w:val="clear" w:color="auto" w:fill="FFFFFF"/>
        <w:jc w:val="both"/>
      </w:pPr>
      <w:r w:rsidRPr="00E34F5D">
        <w:rPr>
          <w:lang w:val="en-US"/>
        </w:rPr>
        <w:lastRenderedPageBreak/>
        <w:t xml:space="preserve">In Sweden, the Swedish Enforcement Authority (a subsidiary agency of the Tax Agency) is responsible for collecting </w:t>
      </w:r>
      <w:r w:rsidRPr="00E34F5D">
        <w:t>both public debts (i.e. debts to central and local authorities, such as taxes) and private debts (based on titles of execution, judgments of general and administrative courts).</w:t>
      </w:r>
      <w:r w:rsidRPr="00E34F5D">
        <w:rPr>
          <w:rStyle w:val="FootnoteReference"/>
        </w:rPr>
        <w:footnoteReference w:id="5"/>
      </w:r>
      <w:r w:rsidRPr="00E34F5D">
        <w:rPr>
          <w:lang w:val="en-US"/>
        </w:rPr>
        <w:t xml:space="preserve"> </w:t>
      </w:r>
      <w:r w:rsidRPr="00E34F5D">
        <w:t xml:space="preserve">The Enforcement Authority has direct access to a register of tax debtors kept by the Tax Agency. </w:t>
      </w:r>
      <w:r w:rsidRPr="00E34F5D">
        <w:rPr>
          <w:lang w:val="en-US"/>
        </w:rPr>
        <w:t xml:space="preserve">All public and private debts </w:t>
      </w:r>
      <w:r w:rsidRPr="00E34F5D">
        <w:t>are recorded in the register. The register is searchable by name, as well as by personal identity number (for individuals) and company registration number (for companies). Information recorded on the register includes what kind of debt the individual or the company has and what action the Enforcement Authority has taken.</w:t>
      </w:r>
      <w:r w:rsidRPr="00E34F5D">
        <w:rPr>
          <w:rStyle w:val="FootnoteReference"/>
        </w:rPr>
        <w:footnoteReference w:id="6"/>
      </w:r>
      <w:r w:rsidRPr="00E34F5D">
        <w:t xml:space="preserve"> A debtor’s details remain on the register for three years following payment of the relevant debt.</w:t>
      </w:r>
      <w:r w:rsidRPr="00E34F5D">
        <w:rPr>
          <w:rStyle w:val="FootnoteReference"/>
        </w:rPr>
        <w:footnoteReference w:id="7"/>
      </w:r>
    </w:p>
    <w:p w:rsidR="00355519" w:rsidRPr="00E34F5D" w:rsidRDefault="00355519" w:rsidP="00E34F5D">
      <w:pPr>
        <w:pStyle w:val="NormalWeb"/>
        <w:shd w:val="clear" w:color="auto" w:fill="FFFFFF"/>
        <w:jc w:val="both"/>
      </w:pPr>
    </w:p>
    <w:p w:rsidR="00355519" w:rsidRPr="00E34F5D" w:rsidRDefault="00355519" w:rsidP="00E34F5D">
      <w:pPr>
        <w:pStyle w:val="NormalWeb"/>
        <w:shd w:val="clear" w:color="auto" w:fill="FFFFFF"/>
        <w:jc w:val="both"/>
      </w:pPr>
      <w:r w:rsidRPr="00E34F5D">
        <w:t>The public registration of tax debtor details in Sweden was the subject on an application before the European Commission of Human Rights, which considered whether the public registration of tax debtor information contravened Article 8 (Right to Privacy) of the European Convention for the Protection of Human Rights and Fundamental Freedoms. The Commission found that while the registration of the applicant’s debt interfered with his right to privacy, having regard to the margin of appreciation left to Swedish authorities, the registration in question ‘could reasonably be regarded as “necessary in a democratic society” within the meaning of Article 8 para. 2 (Art. 8-2) of the Convention.’</w:t>
      </w:r>
      <w:r w:rsidRPr="00E34F5D">
        <w:rPr>
          <w:rStyle w:val="FootnoteReference"/>
        </w:rPr>
        <w:footnoteReference w:id="8"/>
      </w:r>
      <w:r w:rsidRPr="00E34F5D">
        <w:t xml:space="preserve"> Credit reporting agencies source tax debt information from the public register kept by the Swedish Enforcement Authority. For example, Soliditet, one of Sweden’s largest credit reporting agencies, sources tax debt information from the register on a weekly basis.</w:t>
      </w:r>
      <w:r w:rsidRPr="00E34F5D">
        <w:rPr>
          <w:rStyle w:val="FootnoteReference"/>
        </w:rPr>
        <w:footnoteReference w:id="9"/>
      </w:r>
    </w:p>
    <w:p w:rsidR="00355519" w:rsidRPr="00E34F5D" w:rsidRDefault="00355519" w:rsidP="00E34F5D">
      <w:pPr>
        <w:spacing w:after="0" w:line="240" w:lineRule="auto"/>
        <w:jc w:val="both"/>
        <w:rPr>
          <w:rFonts w:ascii="Times New Roman" w:hAnsi="Times New Roman" w:cs="Times New Roman"/>
          <w:sz w:val="24"/>
          <w:szCs w:val="24"/>
        </w:rPr>
      </w:pPr>
    </w:p>
    <w:p w:rsidR="006154C0" w:rsidRPr="00E34F5D" w:rsidRDefault="00355519" w:rsidP="00E34F5D">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In 2012, a report of the United States Government Accountability Office considered reporting tax debts to credit bureaus.</w:t>
      </w:r>
      <w:r w:rsidRPr="00E34F5D">
        <w:rPr>
          <w:rStyle w:val="FootnoteReference"/>
          <w:rFonts w:ascii="Times New Roman" w:hAnsi="Times New Roman" w:cs="Times New Roman"/>
          <w:sz w:val="24"/>
          <w:szCs w:val="24"/>
        </w:rPr>
        <w:footnoteReference w:id="10"/>
      </w:r>
      <w:r w:rsidRPr="00E34F5D">
        <w:rPr>
          <w:rFonts w:ascii="Times New Roman" w:hAnsi="Times New Roman" w:cs="Times New Roman"/>
          <w:sz w:val="24"/>
          <w:szCs w:val="24"/>
        </w:rPr>
        <w:t xml:space="preserve"> It drew no firm conclusions on whether tax debts should be reported but did note that important considerations in making such a decision include the accuracy and currency of the data, the size of the debt, the status of the debt, including whether it is disputed, and the expected costs and benefits of reporting.</w:t>
      </w:r>
      <w:r w:rsidRPr="00E34F5D">
        <w:rPr>
          <w:rStyle w:val="FootnoteReference"/>
          <w:rFonts w:ascii="Times New Roman" w:hAnsi="Times New Roman" w:cs="Times New Roman"/>
          <w:sz w:val="24"/>
          <w:szCs w:val="24"/>
        </w:rPr>
        <w:footnoteReference w:id="11"/>
      </w:r>
    </w:p>
    <w:p w:rsidR="00347024" w:rsidRPr="00E34F5D" w:rsidRDefault="00347024" w:rsidP="00E34F5D">
      <w:pPr>
        <w:spacing w:after="0" w:line="240" w:lineRule="auto"/>
        <w:jc w:val="both"/>
        <w:rPr>
          <w:rFonts w:ascii="Times New Roman" w:hAnsi="Times New Roman" w:cs="Times New Roman"/>
          <w:b/>
          <w:sz w:val="24"/>
          <w:szCs w:val="24"/>
        </w:rPr>
      </w:pPr>
    </w:p>
    <w:p w:rsidR="006154C0" w:rsidRPr="00096D56" w:rsidRDefault="00096D56" w:rsidP="00096D5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IV. </w:t>
      </w:r>
      <w:r w:rsidR="006154C0" w:rsidRPr="00096D56">
        <w:rPr>
          <w:rFonts w:ascii="Times New Roman" w:hAnsi="Times New Roman" w:cs="Times New Roman"/>
          <w:b/>
          <w:sz w:val="24"/>
          <w:szCs w:val="24"/>
        </w:rPr>
        <w:t>COMMENTS ON THE EXPOSURE DRAFT</w:t>
      </w:r>
    </w:p>
    <w:p w:rsidR="00096D56" w:rsidRPr="00096D56" w:rsidRDefault="00096D56" w:rsidP="00096D56">
      <w:pPr>
        <w:spacing w:after="0" w:line="240" w:lineRule="auto"/>
        <w:jc w:val="both"/>
        <w:rPr>
          <w:rFonts w:ascii="Times New Roman" w:hAnsi="Times New Roman" w:cs="Times New Roman"/>
          <w:sz w:val="24"/>
          <w:szCs w:val="24"/>
        </w:rPr>
      </w:pPr>
      <w:r w:rsidRPr="00096D56">
        <w:rPr>
          <w:rFonts w:ascii="Times New Roman" w:hAnsi="Times New Roman" w:cs="Times New Roman"/>
          <w:sz w:val="24"/>
          <w:szCs w:val="24"/>
        </w:rPr>
        <w:t>In December 2016, the Australian Government announced in its Budget 2016–17 Mid-year Economic and Fiscal Outlook</w:t>
      </w:r>
      <w:r w:rsidR="00AF5867">
        <w:rPr>
          <w:rFonts w:ascii="Times New Roman" w:hAnsi="Times New Roman" w:cs="Times New Roman"/>
          <w:sz w:val="24"/>
          <w:szCs w:val="24"/>
        </w:rPr>
        <w:t xml:space="preserve"> (MYEFO</w:t>
      </w:r>
      <w:r w:rsidRPr="00096D56">
        <w:rPr>
          <w:rFonts w:ascii="Times New Roman" w:hAnsi="Times New Roman" w:cs="Times New Roman"/>
          <w:sz w:val="24"/>
          <w:szCs w:val="24"/>
        </w:rPr>
        <w:t xml:space="preserve">) that </w:t>
      </w:r>
    </w:p>
    <w:p w:rsidR="00096D56" w:rsidRPr="00096D56" w:rsidRDefault="00096D56" w:rsidP="00096D56">
      <w:pPr>
        <w:spacing w:after="0" w:line="240" w:lineRule="auto"/>
        <w:ind w:left="720"/>
        <w:jc w:val="both"/>
        <w:rPr>
          <w:rFonts w:ascii="Times New Roman" w:hAnsi="Times New Roman" w:cs="Times New Roman"/>
          <w:sz w:val="24"/>
          <w:szCs w:val="24"/>
        </w:rPr>
      </w:pPr>
      <w:r w:rsidRPr="00096D56">
        <w:rPr>
          <w:rFonts w:ascii="Times New Roman" w:hAnsi="Times New Roman" w:cs="Times New Roman"/>
          <w:sz w:val="24"/>
          <w:szCs w:val="24"/>
        </w:rPr>
        <w:t>[f]rom 1 July 2017, the Government will allow the Australian Taxation Office (ATO) to disclose to Credit Reporting Bureaus the tax debt information of businesses that have not effectively engaged with the ATO to manage these debts. The ATO does not currently provide this information.</w:t>
      </w:r>
      <w:r w:rsidRPr="00E34F5D">
        <w:rPr>
          <w:rStyle w:val="FootnoteReference"/>
          <w:rFonts w:ascii="Times New Roman" w:hAnsi="Times New Roman" w:cs="Times New Roman"/>
          <w:sz w:val="24"/>
          <w:szCs w:val="24"/>
        </w:rPr>
        <w:footnoteReference w:id="12"/>
      </w:r>
    </w:p>
    <w:p w:rsidR="00096D56" w:rsidRDefault="00096D56" w:rsidP="00E34F5D">
      <w:pPr>
        <w:spacing w:after="0" w:line="240" w:lineRule="auto"/>
        <w:jc w:val="both"/>
        <w:rPr>
          <w:rFonts w:ascii="Times New Roman" w:hAnsi="Times New Roman" w:cs="Times New Roman"/>
          <w:sz w:val="24"/>
          <w:szCs w:val="24"/>
        </w:rPr>
      </w:pPr>
    </w:p>
    <w:p w:rsidR="00E34F5D" w:rsidRDefault="00E34F5D" w:rsidP="00E34F5D">
      <w:pPr>
        <w:spacing w:after="0" w:line="240" w:lineRule="auto"/>
        <w:jc w:val="both"/>
        <w:rPr>
          <w:rFonts w:ascii="Times New Roman" w:hAnsi="Times New Roman" w:cs="Times New Roman"/>
          <w:sz w:val="24"/>
          <w:szCs w:val="24"/>
        </w:rPr>
      </w:pPr>
      <w:r w:rsidRPr="00E34F5D">
        <w:rPr>
          <w:rFonts w:ascii="Times New Roman" w:hAnsi="Times New Roman" w:cs="Times New Roman"/>
          <w:sz w:val="24"/>
          <w:szCs w:val="24"/>
        </w:rPr>
        <w:t>It is proposed that the measure will initially only apply to businesses with ABNs and tax debt of more than $10,000 that is at least 90 days overdue.</w:t>
      </w:r>
      <w:r w:rsidR="00E663AB">
        <w:rPr>
          <w:rFonts w:ascii="Times New Roman" w:hAnsi="Times New Roman" w:cs="Times New Roman"/>
          <w:sz w:val="24"/>
          <w:szCs w:val="24"/>
        </w:rPr>
        <w:t xml:space="preserve"> </w:t>
      </w:r>
      <w:r w:rsidRPr="00E34F5D">
        <w:rPr>
          <w:rFonts w:ascii="Times New Roman" w:hAnsi="Times New Roman" w:cs="Times New Roman"/>
          <w:sz w:val="24"/>
          <w:szCs w:val="24"/>
        </w:rPr>
        <w:t>The measure is estimated to provide a gain of $63 million in underlying cash balance terms over the forward estimates period.</w:t>
      </w:r>
      <w:r w:rsidRPr="00E34F5D">
        <w:rPr>
          <w:rStyle w:val="FootnoteReference"/>
          <w:rFonts w:ascii="Times New Roman" w:hAnsi="Times New Roman" w:cs="Times New Roman"/>
          <w:sz w:val="24"/>
          <w:szCs w:val="24"/>
        </w:rPr>
        <w:footnoteReference w:id="13"/>
      </w:r>
    </w:p>
    <w:p w:rsidR="00E663AB" w:rsidRDefault="00E663AB" w:rsidP="00E34F5D">
      <w:pPr>
        <w:spacing w:after="0" w:line="240" w:lineRule="auto"/>
        <w:jc w:val="both"/>
        <w:rPr>
          <w:rFonts w:ascii="Times New Roman" w:hAnsi="Times New Roman" w:cs="Times New Roman"/>
          <w:sz w:val="24"/>
          <w:szCs w:val="24"/>
        </w:rPr>
      </w:pPr>
    </w:p>
    <w:p w:rsidR="00E663AB" w:rsidRDefault="00E663AB" w:rsidP="00E663AB">
      <w:pPr>
        <w:spacing w:after="0" w:line="240" w:lineRule="auto"/>
        <w:jc w:val="both"/>
        <w:rPr>
          <w:rFonts w:ascii="Times New Roman" w:hAnsi="Times New Roman" w:cs="Times New Roman"/>
          <w:sz w:val="24"/>
          <w:szCs w:val="24"/>
        </w:rPr>
      </w:pPr>
      <w:r w:rsidRPr="00E663AB">
        <w:rPr>
          <w:rFonts w:ascii="Times New Roman" w:hAnsi="Times New Roman" w:cs="Times New Roman"/>
          <w:sz w:val="24"/>
          <w:szCs w:val="24"/>
        </w:rPr>
        <w:t>There are a number of limitations built into the propo</w:t>
      </w:r>
      <w:r w:rsidR="00EA5A85">
        <w:rPr>
          <w:rFonts w:ascii="Times New Roman" w:hAnsi="Times New Roman" w:cs="Times New Roman"/>
          <w:sz w:val="24"/>
          <w:szCs w:val="24"/>
        </w:rPr>
        <w:t xml:space="preserve">sal to safeguard </w:t>
      </w:r>
      <w:r w:rsidR="00AF5867">
        <w:rPr>
          <w:rFonts w:ascii="Times New Roman" w:hAnsi="Times New Roman" w:cs="Times New Roman"/>
          <w:sz w:val="24"/>
          <w:szCs w:val="24"/>
        </w:rPr>
        <w:t>taxpayers</w:t>
      </w:r>
      <w:r w:rsidR="00EA5A85">
        <w:rPr>
          <w:rFonts w:ascii="Times New Roman" w:hAnsi="Times New Roman" w:cs="Times New Roman"/>
          <w:sz w:val="24"/>
          <w:szCs w:val="24"/>
        </w:rPr>
        <w:t>. Thes</w:t>
      </w:r>
      <w:r w:rsidRPr="00E663AB">
        <w:rPr>
          <w:rFonts w:ascii="Times New Roman" w:hAnsi="Times New Roman" w:cs="Times New Roman"/>
          <w:sz w:val="24"/>
          <w:szCs w:val="24"/>
        </w:rPr>
        <w:t xml:space="preserve">e are that </w:t>
      </w:r>
    </w:p>
    <w:p w:rsidR="00E663AB" w:rsidRDefault="00E663AB" w:rsidP="00E663AB">
      <w:pPr>
        <w:pStyle w:val="ListParagraph"/>
        <w:numPr>
          <w:ilvl w:val="0"/>
          <w:numId w:val="4"/>
        </w:numPr>
        <w:spacing w:after="0" w:line="240" w:lineRule="auto"/>
        <w:jc w:val="both"/>
        <w:rPr>
          <w:rFonts w:ascii="Times New Roman" w:hAnsi="Times New Roman" w:cs="Times New Roman"/>
          <w:sz w:val="24"/>
          <w:szCs w:val="24"/>
        </w:rPr>
      </w:pPr>
      <w:r w:rsidRPr="00E663AB">
        <w:rPr>
          <w:rFonts w:ascii="Times New Roman" w:hAnsi="Times New Roman" w:cs="Times New Roman"/>
          <w:sz w:val="24"/>
          <w:szCs w:val="24"/>
        </w:rPr>
        <w:t>the en</w:t>
      </w:r>
      <w:r w:rsidR="00EA5A85">
        <w:rPr>
          <w:rFonts w:ascii="Times New Roman" w:hAnsi="Times New Roman" w:cs="Times New Roman"/>
          <w:sz w:val="24"/>
          <w:szCs w:val="24"/>
        </w:rPr>
        <w:t>tity is not an excluded entity;</w:t>
      </w:r>
    </w:p>
    <w:p w:rsidR="00E663AB" w:rsidRDefault="00E663AB" w:rsidP="00E663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entity </w:t>
      </w:r>
      <w:r w:rsidRPr="00E663AB">
        <w:rPr>
          <w:rFonts w:ascii="Times New Roman" w:hAnsi="Times New Roman" w:cs="Times New Roman"/>
          <w:sz w:val="24"/>
          <w:szCs w:val="24"/>
        </w:rPr>
        <w:t>has not effectively engaged with the ATO in managing their tax debt</w:t>
      </w:r>
      <w:r>
        <w:rPr>
          <w:rFonts w:ascii="Times New Roman" w:hAnsi="Times New Roman" w:cs="Times New Roman"/>
          <w:sz w:val="24"/>
          <w:szCs w:val="24"/>
        </w:rPr>
        <w:t>;</w:t>
      </w:r>
      <w:r w:rsidRPr="00E663AB">
        <w:rPr>
          <w:rFonts w:ascii="Times New Roman" w:hAnsi="Times New Roman" w:cs="Times New Roman"/>
          <w:sz w:val="24"/>
          <w:szCs w:val="24"/>
        </w:rPr>
        <w:t xml:space="preserve"> and</w:t>
      </w:r>
    </w:p>
    <w:p w:rsidR="00E663AB" w:rsidRDefault="00EF2522" w:rsidP="00E663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ATO has taken reasonable steps to confirm that </w:t>
      </w:r>
      <w:r w:rsidR="00E663AB" w:rsidRPr="00E663AB">
        <w:rPr>
          <w:rFonts w:ascii="Times New Roman" w:hAnsi="Times New Roman" w:cs="Times New Roman"/>
          <w:sz w:val="24"/>
          <w:szCs w:val="24"/>
        </w:rPr>
        <w:t>there is no active complaint to the Inspector</w:t>
      </w:r>
      <w:r w:rsidR="00E663AB">
        <w:rPr>
          <w:rFonts w:ascii="Times New Roman" w:hAnsi="Times New Roman" w:cs="Times New Roman"/>
          <w:sz w:val="24"/>
          <w:szCs w:val="24"/>
        </w:rPr>
        <w:t xml:space="preserve"> General of Taxation</w:t>
      </w:r>
      <w:r>
        <w:rPr>
          <w:rFonts w:ascii="Times New Roman" w:hAnsi="Times New Roman" w:cs="Times New Roman"/>
          <w:sz w:val="24"/>
          <w:szCs w:val="24"/>
        </w:rPr>
        <w:t xml:space="preserve"> (IGT)</w:t>
      </w:r>
      <w:r w:rsidR="00E663AB">
        <w:rPr>
          <w:rFonts w:ascii="Times New Roman" w:hAnsi="Times New Roman" w:cs="Times New Roman"/>
          <w:sz w:val="24"/>
          <w:szCs w:val="24"/>
        </w:rPr>
        <w:t xml:space="preserve"> relating to the proposed disclosure.</w:t>
      </w:r>
    </w:p>
    <w:p w:rsidR="00EA5A85" w:rsidRDefault="00EA5A85" w:rsidP="00EA5A85">
      <w:pPr>
        <w:spacing w:after="0" w:line="240" w:lineRule="auto"/>
        <w:jc w:val="both"/>
        <w:rPr>
          <w:rFonts w:ascii="Times New Roman" w:hAnsi="Times New Roman" w:cs="Times New Roman"/>
          <w:sz w:val="24"/>
          <w:szCs w:val="24"/>
        </w:rPr>
      </w:pPr>
    </w:p>
    <w:p w:rsidR="00EA5A85" w:rsidRDefault="00EA5A85" w:rsidP="00EA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‘Effective engagement’ is </w:t>
      </w:r>
      <w:r w:rsidRPr="00EF2522">
        <w:rPr>
          <w:rFonts w:ascii="Times New Roman" w:hAnsi="Times New Roman" w:cs="Times New Roman"/>
          <w:sz w:val="24"/>
          <w:szCs w:val="24"/>
        </w:rPr>
        <w:t xml:space="preserve">further defined to mean </w:t>
      </w:r>
      <w:r>
        <w:rPr>
          <w:rFonts w:ascii="Times New Roman" w:hAnsi="Times New Roman" w:cs="Times New Roman"/>
          <w:sz w:val="24"/>
          <w:szCs w:val="24"/>
        </w:rPr>
        <w:t xml:space="preserve">that the </w:t>
      </w:r>
      <w:r w:rsidR="00AF5867">
        <w:rPr>
          <w:rFonts w:ascii="Times New Roman" w:hAnsi="Times New Roman" w:cs="Times New Roman"/>
          <w:sz w:val="24"/>
          <w:szCs w:val="24"/>
        </w:rPr>
        <w:t>taxpayer</w:t>
      </w:r>
      <w:r>
        <w:rPr>
          <w:rFonts w:ascii="Times New Roman" w:hAnsi="Times New Roman" w:cs="Times New Roman"/>
          <w:sz w:val="24"/>
          <w:szCs w:val="24"/>
        </w:rPr>
        <w:t xml:space="preserve"> has done one of the following:</w:t>
      </w:r>
    </w:p>
    <w:p w:rsidR="00EA5A85" w:rsidRDefault="00EA5A85" w:rsidP="00EA5A8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entered into a payment arrangement; </w:t>
      </w:r>
    </w:p>
    <w:p w:rsidR="00EA5A85" w:rsidRDefault="00EA5A85" w:rsidP="00EA5A8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objected to a tax decision per Part IVC; or</w:t>
      </w:r>
    </w:p>
    <w:p w:rsidR="00EA5A85" w:rsidRPr="00EA5A85" w:rsidRDefault="00EA5A85" w:rsidP="00EA5A85">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applied for AAT or Federal Court review of the Commissioner’s decision.</w:t>
      </w:r>
    </w:p>
    <w:p w:rsidR="00626D9D" w:rsidRDefault="00626D9D" w:rsidP="00096D56">
      <w:pPr>
        <w:spacing w:after="0" w:line="240" w:lineRule="auto"/>
        <w:jc w:val="both"/>
        <w:rPr>
          <w:rFonts w:ascii="Times New Roman" w:hAnsi="Times New Roman" w:cs="Times New Roman"/>
          <w:sz w:val="24"/>
          <w:szCs w:val="24"/>
        </w:rPr>
      </w:pPr>
    </w:p>
    <w:p w:rsidR="00EF2522" w:rsidRDefault="0038216D" w:rsidP="00096D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exposure draft also proposes that</w:t>
      </w:r>
      <w:r w:rsidR="00EF2522">
        <w:rPr>
          <w:rFonts w:ascii="Times New Roman" w:hAnsi="Times New Roman" w:cs="Times New Roman"/>
          <w:sz w:val="24"/>
          <w:szCs w:val="24"/>
        </w:rPr>
        <w:t xml:space="preserve"> the entity subject to the disclosure</w:t>
      </w:r>
      <w:r>
        <w:rPr>
          <w:rFonts w:ascii="Times New Roman" w:hAnsi="Times New Roman" w:cs="Times New Roman"/>
          <w:sz w:val="24"/>
          <w:szCs w:val="24"/>
        </w:rPr>
        <w:t xml:space="preserve"> is given 21 days’ notice</w:t>
      </w:r>
      <w:r w:rsidR="00EF2522">
        <w:rPr>
          <w:rFonts w:ascii="Times New Roman" w:hAnsi="Times New Roman" w:cs="Times New Roman"/>
          <w:sz w:val="24"/>
          <w:szCs w:val="24"/>
        </w:rPr>
        <w:t xml:space="preserve"> prior to the information being supplied to the credit reporting bureaus. The notice gives </w:t>
      </w:r>
      <w:r>
        <w:rPr>
          <w:rFonts w:ascii="Times New Roman" w:hAnsi="Times New Roman" w:cs="Times New Roman"/>
          <w:sz w:val="24"/>
          <w:szCs w:val="24"/>
        </w:rPr>
        <w:t>sufficient detail both of the information to be disclosed and how the entity may complain</w:t>
      </w:r>
      <w:r w:rsidR="00957ADA">
        <w:rPr>
          <w:rFonts w:ascii="Times New Roman" w:hAnsi="Times New Roman" w:cs="Times New Roman"/>
          <w:sz w:val="24"/>
          <w:szCs w:val="24"/>
        </w:rPr>
        <w:t xml:space="preserve"> about, and therefore effectively stop,</w:t>
      </w:r>
      <w:r>
        <w:rPr>
          <w:rFonts w:ascii="Times New Roman" w:hAnsi="Times New Roman" w:cs="Times New Roman"/>
          <w:sz w:val="24"/>
          <w:szCs w:val="24"/>
        </w:rPr>
        <w:t xml:space="preserve"> the disclosure.</w:t>
      </w:r>
    </w:p>
    <w:p w:rsidR="00EF2522" w:rsidRPr="00626D9D" w:rsidRDefault="00EF2522" w:rsidP="00096D56">
      <w:pPr>
        <w:spacing w:after="0" w:line="240" w:lineRule="auto"/>
        <w:jc w:val="both"/>
        <w:rPr>
          <w:rFonts w:ascii="Times New Roman" w:hAnsi="Times New Roman" w:cs="Times New Roman"/>
          <w:sz w:val="24"/>
          <w:szCs w:val="24"/>
        </w:rPr>
      </w:pPr>
    </w:p>
    <w:p w:rsidR="00EF2522" w:rsidRPr="00626D9D" w:rsidRDefault="0038216D" w:rsidP="00096D56">
      <w:pPr>
        <w:spacing w:after="0" w:line="240" w:lineRule="auto"/>
        <w:jc w:val="both"/>
        <w:rPr>
          <w:rFonts w:ascii="Times New Roman" w:hAnsi="Times New Roman" w:cs="Times New Roman"/>
          <w:sz w:val="24"/>
          <w:szCs w:val="24"/>
        </w:rPr>
      </w:pPr>
      <w:r w:rsidRPr="00626D9D">
        <w:rPr>
          <w:rFonts w:ascii="Times New Roman" w:hAnsi="Times New Roman" w:cs="Times New Roman"/>
          <w:sz w:val="24"/>
          <w:szCs w:val="24"/>
        </w:rPr>
        <w:t>All of t</w:t>
      </w:r>
      <w:r w:rsidR="00E663AB" w:rsidRPr="00626D9D">
        <w:rPr>
          <w:rFonts w:ascii="Times New Roman" w:hAnsi="Times New Roman" w:cs="Times New Roman"/>
          <w:sz w:val="24"/>
          <w:szCs w:val="24"/>
        </w:rPr>
        <w:t>hese safeguards are important</w:t>
      </w:r>
      <w:r w:rsidR="00626D9D" w:rsidRPr="00626D9D">
        <w:rPr>
          <w:rFonts w:ascii="Times New Roman" w:hAnsi="Times New Roman" w:cs="Times New Roman"/>
          <w:sz w:val="24"/>
          <w:szCs w:val="24"/>
        </w:rPr>
        <w:t>.</w:t>
      </w:r>
      <w:r w:rsidR="00096D56" w:rsidRPr="00626D9D">
        <w:rPr>
          <w:rFonts w:ascii="Times New Roman" w:hAnsi="Times New Roman" w:cs="Times New Roman"/>
          <w:sz w:val="24"/>
          <w:szCs w:val="24"/>
        </w:rPr>
        <w:t xml:space="preserve"> </w:t>
      </w:r>
      <w:r w:rsidR="00EF2522" w:rsidRPr="00626D9D">
        <w:rPr>
          <w:rFonts w:ascii="Times New Roman" w:hAnsi="Times New Roman" w:cs="Times New Roman"/>
          <w:sz w:val="24"/>
          <w:szCs w:val="24"/>
        </w:rPr>
        <w:t xml:space="preserve">It remains to be seen </w:t>
      </w:r>
      <w:r w:rsidR="00626D9D" w:rsidRPr="00626D9D">
        <w:rPr>
          <w:rFonts w:ascii="Times New Roman" w:hAnsi="Times New Roman" w:cs="Times New Roman"/>
          <w:sz w:val="24"/>
          <w:szCs w:val="24"/>
        </w:rPr>
        <w:t xml:space="preserve">whether the line has been drawn in the correct place, and </w:t>
      </w:r>
      <w:r w:rsidR="00EF2522" w:rsidRPr="00626D9D">
        <w:rPr>
          <w:rFonts w:ascii="Times New Roman" w:hAnsi="Times New Roman" w:cs="Times New Roman"/>
          <w:sz w:val="24"/>
          <w:szCs w:val="24"/>
        </w:rPr>
        <w:t xml:space="preserve">what percentage of the ‘tax defaulting’ population </w:t>
      </w:r>
      <w:r w:rsidR="00211FEC">
        <w:rPr>
          <w:rFonts w:ascii="Times New Roman" w:hAnsi="Times New Roman" w:cs="Times New Roman"/>
          <w:sz w:val="24"/>
          <w:szCs w:val="24"/>
        </w:rPr>
        <w:t>will be subject to credit bureau disclosures because they are</w:t>
      </w:r>
      <w:r w:rsidR="00EF2522" w:rsidRPr="00626D9D">
        <w:rPr>
          <w:rFonts w:ascii="Times New Roman" w:hAnsi="Times New Roman" w:cs="Times New Roman"/>
          <w:sz w:val="24"/>
          <w:szCs w:val="24"/>
        </w:rPr>
        <w:t xml:space="preserve"> 90 days overdue, </w:t>
      </w:r>
      <w:r w:rsidR="00626D9D" w:rsidRPr="00626D9D">
        <w:rPr>
          <w:rFonts w:ascii="Times New Roman" w:hAnsi="Times New Roman" w:cs="Times New Roman"/>
          <w:sz w:val="24"/>
          <w:szCs w:val="24"/>
        </w:rPr>
        <w:t xml:space="preserve">owing $10,000 or more in  tax, </w:t>
      </w:r>
      <w:r w:rsidR="00EF2522" w:rsidRPr="00626D9D">
        <w:rPr>
          <w:rFonts w:ascii="Times New Roman" w:hAnsi="Times New Roman" w:cs="Times New Roman"/>
          <w:sz w:val="24"/>
          <w:szCs w:val="24"/>
        </w:rPr>
        <w:t xml:space="preserve">not an excluded entity, not disputing the debt, not effectively engaging with the ATO, and not complaining about the disclosure to the IGT. </w:t>
      </w:r>
      <w:r w:rsidR="00626D9D" w:rsidRPr="00626D9D">
        <w:rPr>
          <w:rFonts w:ascii="Times New Roman" w:hAnsi="Times New Roman" w:cs="Times New Roman"/>
          <w:sz w:val="24"/>
          <w:szCs w:val="24"/>
        </w:rPr>
        <w:t>This is where illegal phoenix activity becomes relevant.</w:t>
      </w:r>
    </w:p>
    <w:p w:rsidR="00626D9D" w:rsidRPr="00626D9D" w:rsidRDefault="00626D9D" w:rsidP="00E34F5D">
      <w:pPr>
        <w:spacing w:after="0" w:line="240" w:lineRule="auto"/>
        <w:jc w:val="both"/>
        <w:rPr>
          <w:rFonts w:ascii="Times New Roman" w:hAnsi="Times New Roman" w:cs="Times New Roman"/>
          <w:b/>
          <w:sz w:val="24"/>
          <w:szCs w:val="24"/>
        </w:rPr>
      </w:pPr>
    </w:p>
    <w:p w:rsidR="00626D9D" w:rsidRPr="00626D9D" w:rsidRDefault="00626D9D" w:rsidP="00626D9D">
      <w:pPr>
        <w:spacing w:after="0" w:line="240" w:lineRule="auto"/>
        <w:rPr>
          <w:rFonts w:ascii="Times New Roman" w:hAnsi="Times New Roman" w:cs="Times New Roman"/>
          <w:b/>
          <w:sz w:val="24"/>
          <w:szCs w:val="24"/>
        </w:rPr>
      </w:pPr>
      <w:r w:rsidRPr="00626D9D">
        <w:rPr>
          <w:rFonts w:ascii="Times New Roman" w:hAnsi="Times New Roman" w:cs="Times New Roman"/>
          <w:b/>
          <w:sz w:val="24"/>
          <w:szCs w:val="24"/>
        </w:rPr>
        <w:t xml:space="preserve">V. THE PROPOSAL’S EFFECTIVENESS AGAINST ILLEGAL PHOENIX ACTIVITY </w:t>
      </w:r>
    </w:p>
    <w:p w:rsidR="00626D9D" w:rsidRPr="00626D9D" w:rsidRDefault="00626D9D" w:rsidP="00E34F5D">
      <w:pPr>
        <w:spacing w:after="0" w:line="240" w:lineRule="auto"/>
        <w:jc w:val="both"/>
        <w:rPr>
          <w:rFonts w:ascii="Times New Roman" w:hAnsi="Times New Roman" w:cs="Times New Roman"/>
          <w:sz w:val="24"/>
          <w:szCs w:val="24"/>
        </w:rPr>
      </w:pPr>
      <w:r w:rsidRPr="00626D9D">
        <w:rPr>
          <w:rFonts w:ascii="Times New Roman" w:hAnsi="Times New Roman" w:cs="Times New Roman"/>
          <w:sz w:val="24"/>
          <w:szCs w:val="24"/>
        </w:rPr>
        <w:t>It is not an offence to be the director of a company which has failed owing tax debts, nor does it indicate that the director or any company they manage will default in the future. Nonetheless, many of those companies which might be denied future credit because of an adverse credit report, based on a tax debt disclosure, will contemplate phoenix activity as the solution to their dilemma.</w:t>
      </w:r>
      <w:r w:rsidR="00676CC3">
        <w:rPr>
          <w:rFonts w:ascii="Times New Roman" w:hAnsi="Times New Roman" w:cs="Times New Roman"/>
          <w:sz w:val="24"/>
          <w:szCs w:val="24"/>
        </w:rPr>
        <w:t xml:space="preserve"> </w:t>
      </w:r>
      <w:r w:rsidR="00AF5867" w:rsidRPr="00AF5867">
        <w:rPr>
          <w:rFonts w:ascii="Times New Roman" w:hAnsi="Times New Roman" w:cs="Times New Roman"/>
          <w:b/>
          <w:sz w:val="24"/>
          <w:szCs w:val="24"/>
        </w:rPr>
        <w:t>In my opinion, t</w:t>
      </w:r>
      <w:r w:rsidR="00676CC3" w:rsidRPr="00AF5867">
        <w:rPr>
          <w:rFonts w:ascii="Times New Roman" w:hAnsi="Times New Roman" w:cs="Times New Roman"/>
          <w:b/>
          <w:sz w:val="24"/>
          <w:szCs w:val="24"/>
        </w:rPr>
        <w:t>he proposed</w:t>
      </w:r>
      <w:r w:rsidR="00C016E7" w:rsidRPr="00AF5867">
        <w:rPr>
          <w:rFonts w:ascii="Times New Roman" w:hAnsi="Times New Roman" w:cs="Times New Roman"/>
          <w:b/>
          <w:sz w:val="24"/>
          <w:szCs w:val="24"/>
        </w:rPr>
        <w:t xml:space="preserve"> provisions</w:t>
      </w:r>
      <w:r w:rsidR="00676CC3" w:rsidRPr="00AF5867">
        <w:rPr>
          <w:rFonts w:ascii="Times New Roman" w:hAnsi="Times New Roman" w:cs="Times New Roman"/>
          <w:b/>
          <w:sz w:val="24"/>
          <w:szCs w:val="24"/>
        </w:rPr>
        <w:t xml:space="preserve"> will encourage, rather than discourage, phoenix activity.</w:t>
      </w:r>
    </w:p>
    <w:p w:rsidR="00626D9D" w:rsidRPr="00626D9D" w:rsidRDefault="00626D9D" w:rsidP="00E34F5D">
      <w:pPr>
        <w:spacing w:after="0" w:line="240" w:lineRule="auto"/>
        <w:jc w:val="both"/>
        <w:rPr>
          <w:rFonts w:ascii="Times New Roman" w:hAnsi="Times New Roman" w:cs="Times New Roman"/>
          <w:sz w:val="24"/>
          <w:szCs w:val="24"/>
        </w:rPr>
      </w:pPr>
    </w:p>
    <w:p w:rsidR="00626D9D" w:rsidRPr="00626D9D" w:rsidRDefault="00626D9D" w:rsidP="00E34F5D">
      <w:pPr>
        <w:spacing w:after="0" w:line="240" w:lineRule="auto"/>
        <w:jc w:val="both"/>
        <w:rPr>
          <w:rFonts w:ascii="Times New Roman" w:hAnsi="Times New Roman" w:cs="Times New Roman"/>
          <w:sz w:val="24"/>
          <w:szCs w:val="24"/>
        </w:rPr>
      </w:pPr>
      <w:r w:rsidRPr="00626D9D">
        <w:rPr>
          <w:rFonts w:ascii="Times New Roman" w:hAnsi="Times New Roman" w:cs="Times New Roman"/>
          <w:sz w:val="24"/>
          <w:szCs w:val="24"/>
        </w:rPr>
        <w:t>The proposed legislative instrument allows for disclosure under draft s 355-72 where:</w:t>
      </w:r>
    </w:p>
    <w:p w:rsidR="00626D9D" w:rsidRPr="00626D9D" w:rsidRDefault="00626D9D" w:rsidP="00626D9D">
      <w:pPr>
        <w:pStyle w:val="paragraph"/>
        <w:rPr>
          <w:sz w:val="24"/>
          <w:szCs w:val="24"/>
        </w:rPr>
      </w:pPr>
      <w:r w:rsidRPr="00626D9D">
        <w:rPr>
          <w:sz w:val="24"/>
          <w:szCs w:val="24"/>
        </w:rPr>
        <w:tab/>
        <w:t>(a)</w:t>
      </w:r>
      <w:r w:rsidRPr="00626D9D">
        <w:rPr>
          <w:sz w:val="24"/>
          <w:szCs w:val="24"/>
        </w:rPr>
        <w:tab/>
        <w:t xml:space="preserve">the entity is a </w:t>
      </w:r>
      <w:r w:rsidRPr="00626D9D">
        <w:rPr>
          <w:position w:val="6"/>
          <w:sz w:val="24"/>
          <w:szCs w:val="24"/>
        </w:rPr>
        <w:t>*</w:t>
      </w:r>
      <w:r w:rsidRPr="00626D9D">
        <w:rPr>
          <w:sz w:val="24"/>
          <w:szCs w:val="24"/>
        </w:rPr>
        <w:t>taxation officer; and</w:t>
      </w:r>
    </w:p>
    <w:p w:rsidR="00626D9D" w:rsidRPr="00626D9D" w:rsidRDefault="00626D9D" w:rsidP="00626D9D">
      <w:pPr>
        <w:pStyle w:val="paragraph"/>
        <w:rPr>
          <w:sz w:val="24"/>
          <w:szCs w:val="24"/>
        </w:rPr>
      </w:pPr>
      <w:r w:rsidRPr="00626D9D">
        <w:rPr>
          <w:sz w:val="24"/>
          <w:szCs w:val="24"/>
        </w:rPr>
        <w:tab/>
        <w:t>(b)</w:t>
      </w:r>
      <w:r w:rsidRPr="00626D9D">
        <w:rPr>
          <w:sz w:val="24"/>
          <w:szCs w:val="24"/>
        </w:rPr>
        <w:tab/>
        <w:t xml:space="preserve">the record is made for, or the disclosure is to, a </w:t>
      </w:r>
      <w:r w:rsidRPr="00626D9D">
        <w:rPr>
          <w:position w:val="6"/>
          <w:sz w:val="24"/>
          <w:szCs w:val="24"/>
        </w:rPr>
        <w:t>*</w:t>
      </w:r>
      <w:r w:rsidRPr="00626D9D">
        <w:rPr>
          <w:sz w:val="24"/>
          <w:szCs w:val="24"/>
        </w:rPr>
        <w:t>credit reporting bureau; and</w:t>
      </w:r>
    </w:p>
    <w:p w:rsidR="00626D9D" w:rsidRPr="00626D9D" w:rsidRDefault="00626D9D" w:rsidP="00626D9D">
      <w:pPr>
        <w:pStyle w:val="paragraph"/>
        <w:rPr>
          <w:sz w:val="24"/>
          <w:szCs w:val="24"/>
        </w:rPr>
      </w:pPr>
      <w:r w:rsidRPr="00626D9D">
        <w:rPr>
          <w:sz w:val="24"/>
          <w:szCs w:val="24"/>
        </w:rPr>
        <w:tab/>
        <w:t>(c)</w:t>
      </w:r>
      <w:r w:rsidRPr="00626D9D">
        <w:rPr>
          <w:sz w:val="24"/>
          <w:szCs w:val="24"/>
        </w:rPr>
        <w:tab/>
        <w:t xml:space="preserve">the record or disclosure is of information that relates to the </w:t>
      </w:r>
      <w:r w:rsidRPr="00626D9D">
        <w:rPr>
          <w:position w:val="6"/>
          <w:sz w:val="24"/>
          <w:szCs w:val="24"/>
        </w:rPr>
        <w:t>*</w:t>
      </w:r>
      <w:r w:rsidRPr="00626D9D">
        <w:rPr>
          <w:sz w:val="24"/>
          <w:szCs w:val="24"/>
        </w:rPr>
        <w:t xml:space="preserve">tax debts of an entity (the </w:t>
      </w:r>
      <w:r w:rsidRPr="00626D9D">
        <w:rPr>
          <w:b/>
          <w:i/>
          <w:sz w:val="24"/>
          <w:szCs w:val="24"/>
        </w:rPr>
        <w:t>primary entity</w:t>
      </w:r>
      <w:r w:rsidRPr="00626D9D">
        <w:rPr>
          <w:sz w:val="24"/>
          <w:szCs w:val="24"/>
        </w:rPr>
        <w:t>) that is included in a class of entities declared under subsection (5) of this section; and</w:t>
      </w:r>
    </w:p>
    <w:p w:rsidR="00626D9D" w:rsidRPr="00626D9D" w:rsidRDefault="00626D9D" w:rsidP="00626D9D">
      <w:pPr>
        <w:pStyle w:val="paragraph"/>
        <w:rPr>
          <w:b/>
          <w:sz w:val="24"/>
          <w:szCs w:val="24"/>
        </w:rPr>
      </w:pPr>
      <w:r w:rsidRPr="00626D9D">
        <w:rPr>
          <w:sz w:val="24"/>
          <w:szCs w:val="24"/>
        </w:rPr>
        <w:tab/>
      </w:r>
      <w:r w:rsidRPr="00626D9D">
        <w:rPr>
          <w:b/>
          <w:sz w:val="24"/>
          <w:szCs w:val="24"/>
        </w:rPr>
        <w:t>(d)</w:t>
      </w:r>
      <w:r w:rsidRPr="00626D9D">
        <w:rPr>
          <w:b/>
          <w:sz w:val="24"/>
          <w:szCs w:val="24"/>
        </w:rPr>
        <w:tab/>
        <w:t>the record or disclosure is for the purpose of enabling the credit reporting bureau to prepare, issue, update, correct or confirm credit worthiness reports in relation to the primary entity; and …</w:t>
      </w:r>
    </w:p>
    <w:p w:rsidR="00626D9D" w:rsidRPr="00626D9D" w:rsidRDefault="00626D9D" w:rsidP="00E34F5D">
      <w:pPr>
        <w:spacing w:after="0" w:line="240" w:lineRule="auto"/>
        <w:jc w:val="both"/>
        <w:rPr>
          <w:rFonts w:ascii="Times New Roman" w:hAnsi="Times New Roman" w:cs="Times New Roman"/>
          <w:sz w:val="24"/>
          <w:szCs w:val="24"/>
        </w:rPr>
      </w:pPr>
    </w:p>
    <w:p w:rsidR="003979E4" w:rsidRDefault="00626D9D" w:rsidP="00E34F5D">
      <w:pPr>
        <w:spacing w:after="0" w:line="240" w:lineRule="auto"/>
        <w:jc w:val="both"/>
        <w:rPr>
          <w:rFonts w:ascii="Times New Roman" w:hAnsi="Times New Roman" w:cs="Times New Roman"/>
          <w:sz w:val="24"/>
          <w:szCs w:val="24"/>
        </w:rPr>
      </w:pPr>
      <w:r w:rsidRPr="00C016E7">
        <w:rPr>
          <w:rFonts w:ascii="Times New Roman" w:hAnsi="Times New Roman" w:cs="Times New Roman"/>
          <w:sz w:val="24"/>
          <w:szCs w:val="24"/>
        </w:rPr>
        <w:t xml:space="preserve">Therefore, the information is </w:t>
      </w:r>
      <w:r w:rsidR="00C016E7" w:rsidRPr="00C016E7">
        <w:rPr>
          <w:rFonts w:ascii="Times New Roman" w:hAnsi="Times New Roman" w:cs="Times New Roman"/>
          <w:sz w:val="24"/>
          <w:szCs w:val="24"/>
        </w:rPr>
        <w:t>only to be disclosed in relation to the ongoing, defaulting ‘primary entity</w:t>
      </w:r>
      <w:r w:rsidR="00211FEC">
        <w:rPr>
          <w:rFonts w:ascii="Times New Roman" w:hAnsi="Times New Roman" w:cs="Times New Roman"/>
          <w:sz w:val="24"/>
          <w:szCs w:val="24"/>
        </w:rPr>
        <w:t>’</w:t>
      </w:r>
      <w:r w:rsidR="00C016E7" w:rsidRPr="00C016E7">
        <w:rPr>
          <w:rFonts w:ascii="Times New Roman" w:hAnsi="Times New Roman" w:cs="Times New Roman"/>
          <w:sz w:val="24"/>
          <w:szCs w:val="24"/>
        </w:rPr>
        <w:t>, not for</w:t>
      </w:r>
      <w:r w:rsidRPr="00C016E7">
        <w:rPr>
          <w:rFonts w:ascii="Times New Roman" w:hAnsi="Times New Roman" w:cs="Times New Roman"/>
          <w:sz w:val="24"/>
          <w:szCs w:val="24"/>
        </w:rPr>
        <w:t xml:space="preserve"> the purpose of allowing the credit bureau to compile a profile of the individuals who are in control of the defaulting business. </w:t>
      </w:r>
      <w:r w:rsidR="003979E4">
        <w:rPr>
          <w:rFonts w:ascii="Times New Roman" w:hAnsi="Times New Roman" w:cs="Times New Roman"/>
          <w:sz w:val="24"/>
          <w:szCs w:val="24"/>
        </w:rPr>
        <w:t>According to the Exposure Draft Explanatory Materials, t</w:t>
      </w:r>
      <w:r w:rsidR="00796C19">
        <w:rPr>
          <w:rFonts w:ascii="Times New Roman" w:hAnsi="Times New Roman" w:cs="Times New Roman"/>
          <w:sz w:val="24"/>
          <w:szCs w:val="24"/>
        </w:rPr>
        <w:t xml:space="preserve">he credit bureau is then </w:t>
      </w:r>
      <w:r w:rsidR="003979E4">
        <w:rPr>
          <w:rFonts w:ascii="Times New Roman" w:hAnsi="Times New Roman" w:cs="Times New Roman"/>
          <w:sz w:val="24"/>
          <w:szCs w:val="24"/>
        </w:rPr>
        <w:t>expected to use the information for that same permitted purpose:</w:t>
      </w:r>
    </w:p>
    <w:p w:rsidR="003979E4" w:rsidRDefault="003979E4" w:rsidP="00E34F5D">
      <w:pPr>
        <w:spacing w:after="0" w:line="240" w:lineRule="auto"/>
        <w:jc w:val="both"/>
        <w:rPr>
          <w:rFonts w:ascii="Times New Roman" w:hAnsi="Times New Roman" w:cs="Times New Roman"/>
          <w:sz w:val="24"/>
          <w:szCs w:val="24"/>
        </w:rPr>
      </w:pPr>
    </w:p>
    <w:p w:rsidR="003979E4" w:rsidRDefault="003979E4" w:rsidP="003979E4">
      <w:pPr>
        <w:spacing w:after="0" w:line="240" w:lineRule="auto"/>
        <w:ind w:left="720"/>
        <w:jc w:val="both"/>
        <w:rPr>
          <w:rFonts w:ascii="Times New Roman" w:hAnsi="Times New Roman" w:cs="Times New Roman"/>
          <w:sz w:val="24"/>
          <w:szCs w:val="24"/>
        </w:rPr>
      </w:pPr>
      <w:r w:rsidRPr="003979E4">
        <w:rPr>
          <w:rFonts w:ascii="Times New Roman" w:hAnsi="Times New Roman" w:cs="Times New Roman"/>
          <w:sz w:val="24"/>
          <w:szCs w:val="24"/>
        </w:rPr>
        <w:t>1.68</w:t>
      </w:r>
      <w:r w:rsidRPr="003979E4">
        <w:rPr>
          <w:rFonts w:ascii="Times New Roman" w:hAnsi="Times New Roman" w:cs="Times New Roman"/>
          <w:sz w:val="24"/>
          <w:szCs w:val="24"/>
        </w:rPr>
        <w:tab/>
        <w:t>A credit reporting bureau will not be liable for an offence under section 355-155 (on-disclosure of protected information by other people) if they record or disclose the protected information for the original purpose, or in connection with the original purpose of the disclosure (see section 355-175). That is, the credit reporting bureau may use tax debt information concerning a particular entity for preparing, updating and issuing a credit worthiness report in relation to that entity.</w:t>
      </w:r>
    </w:p>
    <w:p w:rsidR="003979E4" w:rsidRDefault="003979E4" w:rsidP="00E34F5D">
      <w:pPr>
        <w:spacing w:after="0" w:line="240" w:lineRule="auto"/>
        <w:jc w:val="both"/>
        <w:rPr>
          <w:rFonts w:ascii="Times New Roman" w:hAnsi="Times New Roman" w:cs="Times New Roman"/>
          <w:sz w:val="24"/>
          <w:szCs w:val="24"/>
        </w:rPr>
      </w:pPr>
    </w:p>
    <w:p w:rsidR="003979E4" w:rsidRPr="003979E4" w:rsidRDefault="003979E4" w:rsidP="00E34F5D">
      <w:pPr>
        <w:spacing w:after="0" w:line="240" w:lineRule="auto"/>
        <w:jc w:val="both"/>
        <w:rPr>
          <w:rFonts w:ascii="Times New Roman" w:hAnsi="Times New Roman" w:cs="Times New Roman"/>
          <w:sz w:val="24"/>
          <w:szCs w:val="24"/>
        </w:rPr>
      </w:pPr>
      <w:r w:rsidRPr="003979E4">
        <w:rPr>
          <w:rFonts w:ascii="Times New Roman" w:hAnsi="Times New Roman" w:cs="Times New Roman"/>
          <w:sz w:val="24"/>
          <w:szCs w:val="24"/>
        </w:rPr>
        <w:t>Untrustworthy credit bureaus are likely to find themselves excluded from receiving the information:</w:t>
      </w:r>
      <w:r w:rsidRPr="003979E4">
        <w:rPr>
          <w:rStyle w:val="FootnoteReference"/>
          <w:rFonts w:ascii="Times New Roman" w:hAnsi="Times New Roman" w:cs="Times New Roman"/>
          <w:sz w:val="24"/>
          <w:szCs w:val="24"/>
        </w:rPr>
        <w:t xml:space="preserve"> </w:t>
      </w:r>
    </w:p>
    <w:p w:rsidR="003979E4" w:rsidRDefault="003979E4" w:rsidP="003979E4">
      <w:pPr>
        <w:pStyle w:val="FootnoteText"/>
        <w:ind w:left="720"/>
        <w:rPr>
          <w:rFonts w:ascii="Times New Roman" w:hAnsi="Times New Roman" w:cs="Times New Roman"/>
          <w:b/>
          <w:sz w:val="24"/>
          <w:szCs w:val="24"/>
        </w:rPr>
      </w:pPr>
      <w:r w:rsidRPr="003979E4">
        <w:rPr>
          <w:rFonts w:ascii="Times New Roman" w:hAnsi="Times New Roman" w:cs="Times New Roman"/>
          <w:sz w:val="24"/>
          <w:szCs w:val="24"/>
        </w:rPr>
        <w:t>1.35</w:t>
      </w:r>
      <w:r w:rsidRPr="003979E4">
        <w:rPr>
          <w:rFonts w:ascii="Times New Roman" w:hAnsi="Times New Roman" w:cs="Times New Roman"/>
          <w:sz w:val="24"/>
          <w:szCs w:val="24"/>
        </w:rPr>
        <w:tab/>
        <w:t xml:space="preserve">As the Commissioner has discretion regarding whether or not to make a disclosure (once the conditions have been satisfied), the Commissioner has flexibility to establish appropriate administrative arrangements to ensure an entity which the Commissioner intends to disclose information to complies with any terms and conditions the Commissioner considers appropriate. </w:t>
      </w:r>
      <w:r w:rsidRPr="003979E4">
        <w:rPr>
          <w:rFonts w:ascii="Times New Roman" w:hAnsi="Times New Roman" w:cs="Times New Roman"/>
          <w:b/>
          <w:sz w:val="24"/>
          <w:szCs w:val="24"/>
        </w:rPr>
        <w:t>For example, the Commissioner may choose to only disclose to a credit reporting bureau that has agreed to maintain particular processes, safeguards and mechanisms to ensure taxpayer information is appropriately managed.</w:t>
      </w:r>
    </w:p>
    <w:p w:rsidR="003979E4" w:rsidRPr="003979E4" w:rsidRDefault="003979E4" w:rsidP="003979E4">
      <w:pPr>
        <w:pStyle w:val="FootnoteText"/>
        <w:ind w:left="720"/>
        <w:rPr>
          <w:rFonts w:ascii="Times New Roman" w:hAnsi="Times New Roman" w:cs="Times New Roman"/>
          <w:sz w:val="24"/>
          <w:szCs w:val="24"/>
        </w:rPr>
      </w:pPr>
    </w:p>
    <w:p w:rsidR="003979E4" w:rsidRPr="003979E4" w:rsidRDefault="003979E4" w:rsidP="003979E4">
      <w:pPr>
        <w:spacing w:after="0" w:line="240" w:lineRule="auto"/>
        <w:ind w:left="720"/>
        <w:jc w:val="both"/>
        <w:rPr>
          <w:rFonts w:ascii="Times New Roman" w:hAnsi="Times New Roman" w:cs="Times New Roman"/>
          <w:sz w:val="24"/>
          <w:szCs w:val="24"/>
        </w:rPr>
      </w:pPr>
      <w:r w:rsidRPr="003979E4">
        <w:rPr>
          <w:rFonts w:ascii="Times New Roman" w:hAnsi="Times New Roman" w:cs="Times New Roman"/>
          <w:sz w:val="24"/>
          <w:szCs w:val="24"/>
        </w:rPr>
        <w:t>1.36</w:t>
      </w:r>
      <w:r w:rsidRPr="003979E4">
        <w:rPr>
          <w:rFonts w:ascii="Times New Roman" w:hAnsi="Times New Roman" w:cs="Times New Roman"/>
          <w:sz w:val="24"/>
          <w:szCs w:val="24"/>
        </w:rPr>
        <w:tab/>
        <w:t>The Commissioner also has flexibility to decide that a particular credit reporting bureau should no longer receive tax debt information from the Commissioner.</w:t>
      </w:r>
    </w:p>
    <w:p w:rsidR="003979E4" w:rsidRPr="003979E4" w:rsidRDefault="003979E4" w:rsidP="00E34F5D">
      <w:pPr>
        <w:spacing w:after="0" w:line="240" w:lineRule="auto"/>
        <w:jc w:val="both"/>
        <w:rPr>
          <w:rFonts w:ascii="Times New Roman" w:hAnsi="Times New Roman" w:cs="Times New Roman"/>
          <w:sz w:val="24"/>
          <w:szCs w:val="24"/>
        </w:rPr>
      </w:pPr>
    </w:p>
    <w:p w:rsidR="00626D9D" w:rsidRPr="00C016E7" w:rsidRDefault="00626D9D" w:rsidP="00E34F5D">
      <w:pPr>
        <w:spacing w:after="0" w:line="240" w:lineRule="auto"/>
        <w:jc w:val="both"/>
        <w:rPr>
          <w:rFonts w:ascii="Times New Roman" w:hAnsi="Times New Roman" w:cs="Times New Roman"/>
          <w:sz w:val="24"/>
          <w:szCs w:val="24"/>
        </w:rPr>
      </w:pPr>
      <w:r w:rsidRPr="003979E4">
        <w:rPr>
          <w:rFonts w:ascii="Times New Roman" w:hAnsi="Times New Roman" w:cs="Times New Roman"/>
          <w:sz w:val="24"/>
          <w:szCs w:val="24"/>
        </w:rPr>
        <w:t>Of course, once the information has been disclosed by the ATO in relation to a defaulting business</w:t>
      </w:r>
      <w:r w:rsidR="003979E4" w:rsidRPr="003979E4">
        <w:rPr>
          <w:rFonts w:ascii="Times New Roman" w:hAnsi="Times New Roman" w:cs="Times New Roman"/>
          <w:sz w:val="24"/>
          <w:szCs w:val="24"/>
        </w:rPr>
        <w:t xml:space="preserve"> and supplied by the credit bureau to a customer</w:t>
      </w:r>
      <w:r w:rsidRPr="003979E4">
        <w:rPr>
          <w:rFonts w:ascii="Times New Roman" w:hAnsi="Times New Roman" w:cs="Times New Roman"/>
          <w:sz w:val="24"/>
          <w:szCs w:val="24"/>
        </w:rPr>
        <w:t>, there is nothing</w:t>
      </w:r>
      <w:r w:rsidR="00C016E7" w:rsidRPr="003979E4">
        <w:rPr>
          <w:rFonts w:ascii="Times New Roman" w:hAnsi="Times New Roman" w:cs="Times New Roman"/>
          <w:sz w:val="24"/>
          <w:szCs w:val="24"/>
        </w:rPr>
        <w:t xml:space="preserve"> </w:t>
      </w:r>
      <w:r w:rsidRPr="003979E4">
        <w:rPr>
          <w:rFonts w:ascii="Times New Roman" w:hAnsi="Times New Roman" w:cs="Times New Roman"/>
          <w:sz w:val="24"/>
          <w:szCs w:val="24"/>
        </w:rPr>
        <w:t xml:space="preserve">stopping the </w:t>
      </w:r>
      <w:r w:rsidR="003979E4" w:rsidRPr="003979E4">
        <w:rPr>
          <w:rFonts w:ascii="Times New Roman" w:hAnsi="Times New Roman" w:cs="Times New Roman"/>
          <w:sz w:val="24"/>
          <w:szCs w:val="24"/>
        </w:rPr>
        <w:t>customer – another information bureau perhaps -</w:t>
      </w:r>
      <w:r w:rsidRPr="003979E4">
        <w:rPr>
          <w:rFonts w:ascii="Times New Roman" w:hAnsi="Times New Roman" w:cs="Times New Roman"/>
          <w:sz w:val="24"/>
          <w:szCs w:val="24"/>
        </w:rPr>
        <w:t xml:space="preserve"> from using that information to compile </w:t>
      </w:r>
      <w:r w:rsidR="00135813" w:rsidRPr="00C016E7">
        <w:rPr>
          <w:rFonts w:ascii="Times New Roman" w:hAnsi="Times New Roman" w:cs="Times New Roman"/>
          <w:sz w:val="24"/>
          <w:szCs w:val="24"/>
        </w:rPr>
        <w:t>a profile of the individuals who are in control of the defaulting business</w:t>
      </w:r>
      <w:r w:rsidR="00676CC3" w:rsidRPr="003979E4">
        <w:rPr>
          <w:rFonts w:ascii="Times New Roman" w:hAnsi="Times New Roman" w:cs="Times New Roman"/>
          <w:sz w:val="24"/>
          <w:szCs w:val="24"/>
        </w:rPr>
        <w:t>.</w:t>
      </w:r>
      <w:r w:rsidR="00135813">
        <w:rPr>
          <w:rStyle w:val="FootnoteReference"/>
          <w:rFonts w:ascii="Times New Roman" w:hAnsi="Times New Roman" w:cs="Times New Roman"/>
          <w:sz w:val="24"/>
          <w:szCs w:val="24"/>
        </w:rPr>
        <w:footnoteReference w:id="14"/>
      </w:r>
      <w:r w:rsidR="00676CC3" w:rsidRPr="003979E4">
        <w:rPr>
          <w:rFonts w:ascii="Times New Roman" w:hAnsi="Times New Roman" w:cs="Times New Roman"/>
          <w:sz w:val="24"/>
          <w:szCs w:val="24"/>
        </w:rPr>
        <w:t xml:space="preserve"> </w:t>
      </w:r>
      <w:r w:rsidR="00135813">
        <w:rPr>
          <w:rFonts w:ascii="Times New Roman" w:hAnsi="Times New Roman" w:cs="Times New Roman"/>
          <w:sz w:val="24"/>
          <w:szCs w:val="24"/>
        </w:rPr>
        <w:t xml:space="preserve">An ASIC search will reveal the directors of the defaulting company. </w:t>
      </w:r>
      <w:r w:rsidR="00676CC3" w:rsidRPr="003979E4">
        <w:rPr>
          <w:rFonts w:ascii="Times New Roman" w:hAnsi="Times New Roman" w:cs="Times New Roman"/>
          <w:sz w:val="24"/>
          <w:szCs w:val="24"/>
        </w:rPr>
        <w:t>This profile could be very effective in discouraging illegal phoenix activity by those individuals in their future</w:t>
      </w:r>
      <w:r w:rsidR="00676CC3" w:rsidRPr="00C016E7">
        <w:rPr>
          <w:rFonts w:ascii="Times New Roman" w:hAnsi="Times New Roman" w:cs="Times New Roman"/>
          <w:sz w:val="24"/>
          <w:szCs w:val="24"/>
        </w:rPr>
        <w:t xml:space="preserve"> businesses. </w:t>
      </w:r>
      <w:r w:rsidR="00676CC3" w:rsidRPr="00C016E7">
        <w:rPr>
          <w:rFonts w:ascii="Times New Roman" w:hAnsi="Times New Roman" w:cs="Times New Roman"/>
          <w:b/>
          <w:sz w:val="24"/>
          <w:szCs w:val="24"/>
        </w:rPr>
        <w:t>However, if the defaulting company is liquidated</w:t>
      </w:r>
      <w:r w:rsidR="00211FEC">
        <w:rPr>
          <w:rFonts w:ascii="Times New Roman" w:hAnsi="Times New Roman" w:cs="Times New Roman"/>
          <w:b/>
          <w:sz w:val="24"/>
          <w:szCs w:val="24"/>
        </w:rPr>
        <w:t xml:space="preserve"> within 21 days of the ATO sending</w:t>
      </w:r>
      <w:r w:rsidR="00676CC3" w:rsidRPr="00C016E7">
        <w:rPr>
          <w:rFonts w:ascii="Times New Roman" w:hAnsi="Times New Roman" w:cs="Times New Roman"/>
          <w:b/>
          <w:sz w:val="24"/>
          <w:szCs w:val="24"/>
        </w:rPr>
        <w:t xml:space="preserve"> the </w:t>
      </w:r>
      <w:r w:rsidR="00957ADA">
        <w:rPr>
          <w:rFonts w:ascii="Times New Roman" w:hAnsi="Times New Roman" w:cs="Times New Roman"/>
          <w:b/>
          <w:sz w:val="24"/>
          <w:szCs w:val="24"/>
        </w:rPr>
        <w:t xml:space="preserve">tax debt </w:t>
      </w:r>
      <w:r w:rsidR="00676CC3" w:rsidRPr="00C016E7">
        <w:rPr>
          <w:rFonts w:ascii="Times New Roman" w:hAnsi="Times New Roman" w:cs="Times New Roman"/>
          <w:b/>
          <w:sz w:val="24"/>
          <w:szCs w:val="24"/>
        </w:rPr>
        <w:t>disclosure notice, it appears the ATO has no legal basis for supplying the information to the credit bureau</w:t>
      </w:r>
      <w:r w:rsidR="00957ADA">
        <w:rPr>
          <w:rFonts w:ascii="Times New Roman" w:hAnsi="Times New Roman" w:cs="Times New Roman"/>
          <w:b/>
          <w:sz w:val="24"/>
          <w:szCs w:val="24"/>
        </w:rPr>
        <w:t>s</w:t>
      </w:r>
      <w:r w:rsidR="00135813">
        <w:rPr>
          <w:rFonts w:ascii="Times New Roman" w:hAnsi="Times New Roman" w:cs="Times New Roman"/>
          <w:b/>
          <w:sz w:val="24"/>
          <w:szCs w:val="24"/>
        </w:rPr>
        <w:t xml:space="preserve"> in the first place</w:t>
      </w:r>
      <w:r w:rsidR="00676CC3" w:rsidRPr="00C016E7">
        <w:rPr>
          <w:rFonts w:ascii="Times New Roman" w:hAnsi="Times New Roman" w:cs="Times New Roman"/>
          <w:b/>
          <w:sz w:val="24"/>
          <w:szCs w:val="24"/>
        </w:rPr>
        <w:t>.</w:t>
      </w:r>
    </w:p>
    <w:p w:rsidR="00676CC3" w:rsidRPr="00C016E7" w:rsidRDefault="00676CC3" w:rsidP="00E34F5D">
      <w:pPr>
        <w:spacing w:after="0" w:line="240" w:lineRule="auto"/>
        <w:jc w:val="both"/>
        <w:rPr>
          <w:rFonts w:ascii="Times New Roman" w:hAnsi="Times New Roman" w:cs="Times New Roman"/>
          <w:sz w:val="24"/>
          <w:szCs w:val="24"/>
        </w:rPr>
      </w:pPr>
    </w:p>
    <w:p w:rsidR="00626D9D" w:rsidRPr="00C016E7" w:rsidRDefault="00C016E7" w:rsidP="00E34F5D">
      <w:pPr>
        <w:spacing w:after="0" w:line="240" w:lineRule="auto"/>
        <w:jc w:val="both"/>
        <w:rPr>
          <w:rFonts w:ascii="Times New Roman" w:hAnsi="Times New Roman" w:cs="Times New Roman"/>
          <w:sz w:val="24"/>
          <w:szCs w:val="24"/>
        </w:rPr>
      </w:pPr>
      <w:r w:rsidRPr="00C016E7">
        <w:rPr>
          <w:rFonts w:ascii="Times New Roman" w:hAnsi="Times New Roman" w:cs="Times New Roman"/>
          <w:sz w:val="24"/>
          <w:szCs w:val="24"/>
        </w:rPr>
        <w:t>As an aside, i</w:t>
      </w:r>
      <w:r w:rsidR="00676CC3" w:rsidRPr="00C016E7">
        <w:rPr>
          <w:rFonts w:ascii="Times New Roman" w:hAnsi="Times New Roman" w:cs="Times New Roman"/>
          <w:sz w:val="24"/>
          <w:szCs w:val="24"/>
        </w:rPr>
        <w:t>t should also be remembered that liquidation of a defaulting company within 21 days after a director receives a director penalty notice (DPN) will also defeat the ATO’s ability to recover unremitted P</w:t>
      </w:r>
      <w:r w:rsidRPr="00C016E7">
        <w:rPr>
          <w:rFonts w:ascii="Times New Roman" w:hAnsi="Times New Roman" w:cs="Times New Roman"/>
          <w:sz w:val="24"/>
          <w:szCs w:val="24"/>
        </w:rPr>
        <w:t>AYG(W) and superannuation from the</w:t>
      </w:r>
      <w:r w:rsidR="00676CC3" w:rsidRPr="00C016E7">
        <w:rPr>
          <w:rFonts w:ascii="Times New Roman" w:hAnsi="Times New Roman" w:cs="Times New Roman"/>
          <w:sz w:val="24"/>
          <w:szCs w:val="24"/>
        </w:rPr>
        <w:t xml:space="preserve"> director, where those liabilities are reported but unpaid. Only ‘lockdown’ DPNs, where the liabilities are both unreported and unpaid, are not defeated by the company’s liquidation. However, the ATO’s ability to quantify the liability and issue the lockdown DPN is made more difficult by the taxpayer’s failure to report the liabilities.</w:t>
      </w:r>
    </w:p>
    <w:p w:rsidR="00957ADA" w:rsidRDefault="00957ADA">
      <w:pPr>
        <w:rPr>
          <w:rFonts w:ascii="Times New Roman" w:hAnsi="Times New Roman" w:cs="Times New Roman"/>
          <w:b/>
          <w:sz w:val="24"/>
          <w:szCs w:val="24"/>
        </w:rPr>
      </w:pPr>
      <w:r>
        <w:rPr>
          <w:rFonts w:ascii="Times New Roman" w:hAnsi="Times New Roman" w:cs="Times New Roman"/>
          <w:b/>
          <w:sz w:val="24"/>
          <w:szCs w:val="24"/>
        </w:rPr>
        <w:br w:type="page"/>
      </w:r>
    </w:p>
    <w:p w:rsidR="003979E4" w:rsidRPr="00C016E7" w:rsidRDefault="003979E4" w:rsidP="00E34F5D">
      <w:pPr>
        <w:spacing w:after="0" w:line="240" w:lineRule="auto"/>
        <w:jc w:val="both"/>
        <w:rPr>
          <w:rFonts w:ascii="Times New Roman" w:hAnsi="Times New Roman" w:cs="Times New Roman"/>
          <w:sz w:val="24"/>
          <w:szCs w:val="24"/>
        </w:rPr>
      </w:pPr>
      <w:r w:rsidRPr="003979E4">
        <w:rPr>
          <w:rFonts w:ascii="Times New Roman" w:hAnsi="Times New Roman" w:cs="Times New Roman"/>
          <w:b/>
          <w:sz w:val="24"/>
          <w:szCs w:val="24"/>
        </w:rPr>
        <w:t>VI CONCLUSION</w:t>
      </w:r>
    </w:p>
    <w:p w:rsidR="00676CC3" w:rsidRPr="00C016E7" w:rsidRDefault="00C016E7" w:rsidP="00E34F5D">
      <w:pPr>
        <w:spacing w:after="0" w:line="240" w:lineRule="auto"/>
        <w:jc w:val="both"/>
        <w:rPr>
          <w:rFonts w:ascii="Times New Roman" w:hAnsi="Times New Roman" w:cs="Times New Roman"/>
          <w:sz w:val="24"/>
          <w:szCs w:val="24"/>
        </w:rPr>
      </w:pPr>
      <w:r w:rsidRPr="00C016E7">
        <w:rPr>
          <w:rFonts w:ascii="Times New Roman" w:hAnsi="Times New Roman" w:cs="Times New Roman"/>
          <w:sz w:val="24"/>
          <w:szCs w:val="24"/>
        </w:rPr>
        <w:t>In relation to the present exposure draft, it is therefore suggested that Treasury consider whether the provision above</w:t>
      </w:r>
    </w:p>
    <w:p w:rsidR="00C016E7" w:rsidRPr="00C016E7" w:rsidRDefault="00C016E7" w:rsidP="00C016E7">
      <w:pPr>
        <w:pStyle w:val="paragraph"/>
        <w:rPr>
          <w:b/>
          <w:sz w:val="24"/>
          <w:szCs w:val="24"/>
        </w:rPr>
      </w:pPr>
      <w:r w:rsidRPr="00C016E7">
        <w:rPr>
          <w:sz w:val="24"/>
          <w:szCs w:val="24"/>
        </w:rPr>
        <w:tab/>
      </w:r>
      <w:r w:rsidRPr="00C016E7">
        <w:rPr>
          <w:b/>
          <w:sz w:val="24"/>
          <w:szCs w:val="24"/>
        </w:rPr>
        <w:t>(d)</w:t>
      </w:r>
      <w:r w:rsidRPr="00C016E7">
        <w:rPr>
          <w:b/>
          <w:sz w:val="24"/>
          <w:szCs w:val="24"/>
        </w:rPr>
        <w:tab/>
        <w:t>the record or disclosure is for the purpose of enabling the credit reporting bureau to prepare, issue, update, correct or confirm credit worthiness reports in relation to the primary entity; and …</w:t>
      </w:r>
    </w:p>
    <w:p w:rsidR="00C016E7" w:rsidRPr="00C016E7" w:rsidRDefault="00C016E7" w:rsidP="00E34F5D">
      <w:pPr>
        <w:spacing w:after="0" w:line="240" w:lineRule="auto"/>
        <w:jc w:val="both"/>
        <w:rPr>
          <w:rFonts w:ascii="Times New Roman" w:hAnsi="Times New Roman" w:cs="Times New Roman"/>
          <w:sz w:val="24"/>
          <w:szCs w:val="24"/>
        </w:rPr>
      </w:pPr>
    </w:p>
    <w:p w:rsidR="00C016E7" w:rsidRDefault="00C016E7" w:rsidP="00E34F5D">
      <w:pPr>
        <w:spacing w:after="0" w:line="240" w:lineRule="auto"/>
        <w:jc w:val="both"/>
        <w:rPr>
          <w:rFonts w:ascii="Times New Roman" w:hAnsi="Times New Roman" w:cs="Times New Roman"/>
          <w:sz w:val="24"/>
          <w:szCs w:val="24"/>
        </w:rPr>
      </w:pPr>
      <w:r w:rsidRPr="00C016E7">
        <w:rPr>
          <w:rFonts w:ascii="Times New Roman" w:hAnsi="Times New Roman" w:cs="Times New Roman"/>
          <w:sz w:val="24"/>
          <w:szCs w:val="24"/>
        </w:rPr>
        <w:t>be expanded to ‘credit worthiness reports in relation to the primary entity</w:t>
      </w:r>
      <w:r>
        <w:rPr>
          <w:rFonts w:ascii="Times New Roman" w:hAnsi="Times New Roman" w:cs="Times New Roman"/>
          <w:sz w:val="24"/>
          <w:szCs w:val="24"/>
        </w:rPr>
        <w:t xml:space="preserve">, </w:t>
      </w:r>
      <w:r>
        <w:rPr>
          <w:rFonts w:ascii="Times New Roman" w:hAnsi="Times New Roman" w:cs="Times New Roman"/>
          <w:i/>
          <w:sz w:val="24"/>
          <w:szCs w:val="24"/>
        </w:rPr>
        <w:t>its directors and officers, and any other entity that they presently are associated with or are associated with in the future.</w:t>
      </w:r>
      <w:r>
        <w:rPr>
          <w:rFonts w:ascii="Times New Roman" w:hAnsi="Times New Roman" w:cs="Times New Roman"/>
          <w:sz w:val="24"/>
          <w:szCs w:val="24"/>
        </w:rPr>
        <w:t>’</w:t>
      </w:r>
    </w:p>
    <w:p w:rsidR="00C016E7" w:rsidRDefault="00C016E7" w:rsidP="00E34F5D">
      <w:pPr>
        <w:spacing w:after="0" w:line="240" w:lineRule="auto"/>
        <w:jc w:val="both"/>
        <w:rPr>
          <w:rFonts w:ascii="Times New Roman" w:hAnsi="Times New Roman" w:cs="Times New Roman"/>
          <w:sz w:val="24"/>
          <w:szCs w:val="24"/>
        </w:rPr>
      </w:pPr>
    </w:p>
    <w:p w:rsidR="00C016E7" w:rsidRPr="00C016E7" w:rsidRDefault="00C016E7" w:rsidP="00E34F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recognise that this is a significant expansion of the proposed scope of the provision. </w:t>
      </w:r>
      <w:r w:rsidR="003979E4">
        <w:rPr>
          <w:rFonts w:ascii="Times New Roman" w:hAnsi="Times New Roman" w:cs="Times New Roman"/>
          <w:sz w:val="24"/>
          <w:szCs w:val="24"/>
        </w:rPr>
        <w:t>However, the government and Treasury have shown that they are committed to combatting illegal phoenix activity. It would be a pity if this well-motivated initiative to improve transparency of tax debt were to lead to a greater incidence of illegal phoenix activity rather than the opposite.</w:t>
      </w:r>
    </w:p>
    <w:p w:rsidR="00626D9D" w:rsidRPr="00C016E7" w:rsidRDefault="00626D9D" w:rsidP="00E34F5D">
      <w:pPr>
        <w:spacing w:after="0" w:line="240" w:lineRule="auto"/>
        <w:jc w:val="both"/>
        <w:rPr>
          <w:rFonts w:ascii="Times New Roman" w:hAnsi="Times New Roman" w:cs="Times New Roman"/>
          <w:sz w:val="24"/>
          <w:szCs w:val="24"/>
        </w:rPr>
      </w:pPr>
    </w:p>
    <w:p w:rsidR="00626D9D" w:rsidRPr="00E34F5D" w:rsidRDefault="00626D9D" w:rsidP="00E34F5D">
      <w:pPr>
        <w:spacing w:after="0" w:line="240" w:lineRule="auto"/>
        <w:jc w:val="both"/>
        <w:rPr>
          <w:rFonts w:ascii="Times New Roman" w:hAnsi="Times New Roman" w:cs="Times New Roman"/>
          <w:b/>
          <w:sz w:val="24"/>
          <w:szCs w:val="24"/>
        </w:rPr>
      </w:pPr>
    </w:p>
    <w:sectPr w:rsidR="00626D9D" w:rsidRPr="00E34F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24" w:rsidRDefault="00347024" w:rsidP="00347024">
      <w:pPr>
        <w:spacing w:after="0" w:line="240" w:lineRule="auto"/>
      </w:pPr>
      <w:r>
        <w:separator/>
      </w:r>
    </w:p>
  </w:endnote>
  <w:endnote w:type="continuationSeparator" w:id="0">
    <w:p w:rsidR="00347024" w:rsidRDefault="00347024" w:rsidP="0034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24" w:rsidRDefault="00347024" w:rsidP="00347024">
      <w:pPr>
        <w:spacing w:after="0" w:line="240" w:lineRule="auto"/>
      </w:pPr>
      <w:r>
        <w:separator/>
      </w:r>
    </w:p>
  </w:footnote>
  <w:footnote w:type="continuationSeparator" w:id="0">
    <w:p w:rsidR="00347024" w:rsidRDefault="00347024" w:rsidP="00347024">
      <w:pPr>
        <w:spacing w:after="0" w:line="240" w:lineRule="auto"/>
      </w:pPr>
      <w:r>
        <w:continuationSeparator/>
      </w:r>
    </w:p>
  </w:footnote>
  <w:footnote w:id="1">
    <w:p w:rsidR="00957ADA" w:rsidRPr="00796C19" w:rsidRDefault="00957ADA" w:rsidP="00957ADA">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Note the discussion of this issue in Inspector General of Taxation, </w:t>
      </w:r>
      <w:r w:rsidRPr="00796C19">
        <w:rPr>
          <w:i/>
          <w:sz w:val="20"/>
        </w:rPr>
        <w:t xml:space="preserve">Debt Collection: A Report to the Assistant Treasurer </w:t>
      </w:r>
      <w:r w:rsidRPr="00796C19">
        <w:rPr>
          <w:sz w:val="20"/>
        </w:rPr>
        <w:t>(July 2015) ch 5 (‘</w:t>
      </w:r>
      <w:r w:rsidRPr="00796C19">
        <w:rPr>
          <w:i/>
          <w:sz w:val="20"/>
        </w:rPr>
        <w:t>IGT Debt Collection Report</w:t>
      </w:r>
      <w:r w:rsidRPr="00796C19">
        <w:rPr>
          <w:sz w:val="20"/>
        </w:rPr>
        <w:t xml:space="preserve">’). </w:t>
      </w:r>
    </w:p>
  </w:footnote>
  <w:footnote w:id="2">
    <w:p w:rsidR="00957ADA" w:rsidRPr="00796C19" w:rsidRDefault="00957ADA" w:rsidP="00957ADA">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Evidence to Standing Committee on Tax and Revenue, Parliament of Australia, Canberra, 28 February 2014, 24 (Geoff Leeper). </w:t>
      </w:r>
    </w:p>
  </w:footnote>
  <w:footnote w:id="3">
    <w:p w:rsidR="00211FEC" w:rsidRPr="00796C19" w:rsidRDefault="00211FEC" w:rsidP="00211FEC">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Tax and Customs Board, Republic of Estonia, </w:t>
      </w:r>
      <w:r w:rsidRPr="00796C19">
        <w:rPr>
          <w:i/>
          <w:sz w:val="20"/>
        </w:rPr>
        <w:t>Public Databases for Conducting Background Research on Counterparties: Inquiries Available from the Website of the Estonian Tax and Customs Board</w:t>
      </w:r>
      <w:r w:rsidRPr="00796C19">
        <w:rPr>
          <w:sz w:val="20"/>
        </w:rPr>
        <w:t xml:space="preserve"> – </w:t>
      </w:r>
      <w:r w:rsidRPr="00796C19">
        <w:rPr>
          <w:i/>
          <w:sz w:val="20"/>
        </w:rPr>
        <w:t xml:space="preserve">Taxes Paid </w:t>
      </w:r>
      <w:r w:rsidRPr="00796C19">
        <w:rPr>
          <w:sz w:val="20"/>
        </w:rPr>
        <w:t>&lt;</w:t>
      </w:r>
      <w:hyperlink r:id="rId1" w:history="1">
        <w:r w:rsidRPr="00796C19">
          <w:rPr>
            <w:sz w:val="20"/>
          </w:rPr>
          <w:t>https://www.emta.ee/eng/business-client/taxation-payment-taxes/public-databases-conducting-background-research</w:t>
        </w:r>
      </w:hyperlink>
      <w:r w:rsidRPr="00796C19">
        <w:rPr>
          <w:sz w:val="20"/>
        </w:rPr>
        <w:t xml:space="preserve">&gt;: ‘The Excel spreadsheets that can be opened at the bottom of the page allow you to verify if a person such as your counterparty has paid taxes and in what amount. The tables provide the total amounts of state taxes paid on a quarterly basis by taxable persons (except private individuals) and separate amounts of total employment taxes, contributions to mandatory funded pension and unemployment insurance premiums paid.’ See Ants Karu, </w:t>
      </w:r>
      <w:r w:rsidRPr="00796C19">
        <w:rPr>
          <w:i/>
          <w:sz w:val="20"/>
        </w:rPr>
        <w:t>Amendments on Estonian Tax Legislation</w:t>
      </w:r>
      <w:r w:rsidRPr="00796C19">
        <w:rPr>
          <w:sz w:val="20"/>
        </w:rPr>
        <w:t xml:space="preserve"> (20 August 2014) Legal Knowledge Portal &lt;</w:t>
      </w:r>
      <w:hyperlink r:id="rId2" w:history="1">
        <w:r w:rsidRPr="00796C19">
          <w:rPr>
            <w:sz w:val="20"/>
          </w:rPr>
          <w:t>http://legalknowledgeportal.com/2014/08/20/amendments-on-estonian-tax-legislation/</w:t>
        </w:r>
      </w:hyperlink>
      <w:r w:rsidRPr="00796C19">
        <w:rPr>
          <w:sz w:val="20"/>
        </w:rPr>
        <w:t xml:space="preserve">&gt;. </w:t>
      </w:r>
    </w:p>
  </w:footnote>
  <w:footnote w:id="4">
    <w:p w:rsidR="00355519" w:rsidRPr="00796C19" w:rsidRDefault="00355519" w:rsidP="00355519">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Toomas Hõbemägi, </w:t>
      </w:r>
      <w:r w:rsidRPr="00796C19">
        <w:rPr>
          <w:i/>
          <w:sz w:val="20"/>
        </w:rPr>
        <w:t xml:space="preserve">Companies Become Tax Debtors because of Problems in e-Tax Board </w:t>
      </w:r>
      <w:r w:rsidRPr="00796C19">
        <w:rPr>
          <w:sz w:val="20"/>
        </w:rPr>
        <w:t>(12 March 2015) Baltic Business News &lt;</w:t>
      </w:r>
      <w:hyperlink r:id="rId3" w:history="1">
        <w:r w:rsidRPr="00796C19">
          <w:rPr>
            <w:sz w:val="20"/>
          </w:rPr>
          <w:t>http://www.balticbusinessnews.com/article/2015/3/12/companies-become-tax-debtors-because-of-problems-in-e-tax-board</w:t>
        </w:r>
      </w:hyperlink>
      <w:r w:rsidRPr="00796C19">
        <w:rPr>
          <w:sz w:val="20"/>
        </w:rPr>
        <w:t xml:space="preserve">&gt;. </w:t>
      </w:r>
    </w:p>
  </w:footnote>
  <w:footnote w:id="5">
    <w:p w:rsidR="00355519" w:rsidRPr="00796C19" w:rsidRDefault="00355519" w:rsidP="00355519">
      <w:pPr>
        <w:pStyle w:val="FootnoteText"/>
        <w:ind w:left="426" w:hanging="426"/>
        <w:jc w:val="both"/>
        <w:rPr>
          <w:rFonts w:ascii="Times New Roman" w:hAnsi="Times New Roman" w:cs="Times New Roman"/>
        </w:rPr>
      </w:pPr>
      <w:r w:rsidRPr="00796C19">
        <w:rPr>
          <w:rStyle w:val="FootnoteReference"/>
          <w:rFonts w:ascii="Times New Roman" w:hAnsi="Times New Roman" w:cs="Times New Roman"/>
        </w:rPr>
        <w:footnoteRef/>
      </w:r>
      <w:r w:rsidRPr="00796C19">
        <w:rPr>
          <w:rFonts w:ascii="Times New Roman" w:hAnsi="Times New Roman" w:cs="Times New Roman"/>
        </w:rPr>
        <w:t xml:space="preserve"> </w:t>
      </w:r>
      <w:r w:rsidRPr="00796C19">
        <w:rPr>
          <w:rFonts w:ascii="Times New Roman" w:hAnsi="Times New Roman" w:cs="Times New Roman"/>
        </w:rPr>
        <w:tab/>
        <w:t xml:space="preserve">See Swedish Tax Agency, </w:t>
      </w:r>
      <w:r w:rsidRPr="00796C19">
        <w:rPr>
          <w:rFonts w:ascii="Times New Roman" w:hAnsi="Times New Roman" w:cs="Times New Roman"/>
          <w:i/>
        </w:rPr>
        <w:t xml:space="preserve">Taxes in Sweden: An English Summary of Tax Statistical Yearbook of Sweden </w:t>
      </w:r>
      <w:r w:rsidRPr="00796C19">
        <w:rPr>
          <w:rFonts w:ascii="Times New Roman" w:hAnsi="Times New Roman" w:cs="Times New Roman"/>
        </w:rPr>
        <w:t xml:space="preserve">(2012) 17 n 3; Swedish Enforcement Authority, </w:t>
      </w:r>
      <w:r w:rsidRPr="00796C19">
        <w:rPr>
          <w:rFonts w:ascii="Times New Roman" w:hAnsi="Times New Roman" w:cs="Times New Roman"/>
          <w:i/>
        </w:rPr>
        <w:t>Information about the Activities of the Swedish Enforcement Authority</w:t>
      </w:r>
      <w:r w:rsidRPr="00796C19">
        <w:rPr>
          <w:rFonts w:ascii="Times New Roman" w:hAnsi="Times New Roman" w:cs="Times New Roman"/>
        </w:rPr>
        <w:t>, [4.1]–[4.2] &lt;</w:t>
      </w:r>
      <w:hyperlink r:id="rId4" w:history="1">
        <w:r w:rsidRPr="00796C19">
          <w:rPr>
            <w:rFonts w:ascii="Times New Roman" w:hAnsi="Times New Roman" w:cs="Times New Roman"/>
          </w:rPr>
          <w:t>https://www.kronofogden.se/InEnglish.html</w:t>
        </w:r>
      </w:hyperlink>
      <w:r w:rsidRPr="00796C19">
        <w:rPr>
          <w:rFonts w:ascii="Times New Roman" w:hAnsi="Times New Roman" w:cs="Times New Roman"/>
        </w:rPr>
        <w:t xml:space="preserve">&gt;. </w:t>
      </w:r>
    </w:p>
  </w:footnote>
  <w:footnote w:id="6">
    <w:p w:rsidR="00355519" w:rsidRPr="00796C19" w:rsidRDefault="00355519" w:rsidP="00355519">
      <w:pPr>
        <w:pStyle w:val="FootnoteText"/>
        <w:ind w:left="426" w:hanging="426"/>
        <w:jc w:val="both"/>
        <w:rPr>
          <w:rFonts w:ascii="Times New Roman" w:hAnsi="Times New Roman" w:cs="Times New Roman"/>
        </w:rPr>
      </w:pPr>
      <w:r w:rsidRPr="00796C19">
        <w:rPr>
          <w:rStyle w:val="FootnoteReference"/>
          <w:rFonts w:ascii="Times New Roman" w:hAnsi="Times New Roman" w:cs="Times New Roman"/>
        </w:rPr>
        <w:footnoteRef/>
      </w:r>
      <w:r w:rsidRPr="00796C19">
        <w:rPr>
          <w:rFonts w:ascii="Times New Roman" w:hAnsi="Times New Roman" w:cs="Times New Roman"/>
        </w:rPr>
        <w:t xml:space="preserve"> </w:t>
      </w:r>
      <w:r w:rsidRPr="00796C19">
        <w:rPr>
          <w:rFonts w:ascii="Times New Roman" w:hAnsi="Times New Roman" w:cs="Times New Roman"/>
        </w:rPr>
        <w:tab/>
        <w:t xml:space="preserve">Swedish Enforcement Authority, ibid [4.4]. </w:t>
      </w:r>
    </w:p>
  </w:footnote>
  <w:footnote w:id="7">
    <w:p w:rsidR="00355519" w:rsidRPr="00796C19" w:rsidRDefault="00355519" w:rsidP="00355519">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International Business Publications Inc, </w:t>
      </w:r>
      <w:r w:rsidRPr="00796C19">
        <w:rPr>
          <w:i/>
          <w:sz w:val="20"/>
        </w:rPr>
        <w:t>Sweden Insolvency (Bankruptcy) Laws and Regulations Handbook: Strategic Information and Basic Laws</w:t>
      </w:r>
      <w:r w:rsidRPr="00796C19">
        <w:rPr>
          <w:sz w:val="20"/>
        </w:rPr>
        <w:t xml:space="preserve"> (International Business Publications, 2015) 62. </w:t>
      </w:r>
    </w:p>
  </w:footnote>
  <w:footnote w:id="8">
    <w:p w:rsidR="00355519" w:rsidRPr="00796C19" w:rsidRDefault="00355519" w:rsidP="00355519">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r>
      <w:r w:rsidRPr="00796C19">
        <w:rPr>
          <w:i/>
          <w:sz w:val="20"/>
        </w:rPr>
        <w:t>Gedin v Sweden</w:t>
      </w:r>
      <w:r w:rsidRPr="00796C19">
        <w:rPr>
          <w:sz w:val="20"/>
        </w:rPr>
        <w:t xml:space="preserve"> (1996) 29189/95 &lt;</w:t>
      </w:r>
      <w:hyperlink r:id="rId5" w:history="1">
        <w:r w:rsidRPr="00796C19">
          <w:rPr>
            <w:sz w:val="20"/>
          </w:rPr>
          <w:t>http://echr.ketse.com/doc/29189.95-en-19961127/view/</w:t>
        </w:r>
      </w:hyperlink>
      <w:r w:rsidRPr="00796C19">
        <w:rPr>
          <w:sz w:val="20"/>
        </w:rPr>
        <w:t xml:space="preserve">&gt;. </w:t>
      </w:r>
    </w:p>
  </w:footnote>
  <w:footnote w:id="9">
    <w:p w:rsidR="00355519" w:rsidRPr="00796C19" w:rsidRDefault="00355519" w:rsidP="00355519">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See Solidtet, </w:t>
      </w:r>
      <w:r w:rsidRPr="00796C19">
        <w:rPr>
          <w:i/>
          <w:sz w:val="20"/>
        </w:rPr>
        <w:t>Our Sources</w:t>
      </w:r>
      <w:r w:rsidRPr="00796C19">
        <w:rPr>
          <w:sz w:val="20"/>
        </w:rPr>
        <w:t xml:space="preserve"> &lt;</w:t>
      </w:r>
      <w:hyperlink r:id="rId6" w:history="1">
        <w:r w:rsidRPr="00796C19">
          <w:rPr>
            <w:sz w:val="20"/>
          </w:rPr>
          <w:t>http://www.soliditet.se/cms/lang/en_GB/soliditet/AboutSoliditet/Sources</w:t>
        </w:r>
      </w:hyperlink>
      <w:r w:rsidRPr="00796C19">
        <w:rPr>
          <w:sz w:val="20"/>
        </w:rPr>
        <w:t xml:space="preserve">&gt;. </w:t>
      </w:r>
    </w:p>
  </w:footnote>
  <w:footnote w:id="10">
    <w:p w:rsidR="00355519" w:rsidRPr="00796C19" w:rsidRDefault="00355519" w:rsidP="00355519">
      <w:pPr>
        <w:pStyle w:val="Footnotetxt"/>
        <w:tabs>
          <w:tab w:val="clear" w:pos="284"/>
        </w:tabs>
        <w:ind w:left="426" w:hanging="426"/>
        <w:rPr>
          <w:sz w:val="20"/>
        </w:rPr>
      </w:pPr>
      <w:r w:rsidRPr="00796C19">
        <w:rPr>
          <w:rStyle w:val="FootnoteReference"/>
          <w:sz w:val="20"/>
        </w:rPr>
        <w:footnoteRef/>
      </w:r>
      <w:r w:rsidRPr="00796C19">
        <w:rPr>
          <w:sz w:val="20"/>
        </w:rPr>
        <w:t xml:space="preserve"> </w:t>
      </w:r>
      <w:r w:rsidRPr="00796C19">
        <w:rPr>
          <w:sz w:val="20"/>
        </w:rPr>
        <w:tab/>
        <w:t xml:space="preserve">US Government Accountability Office, </w:t>
      </w:r>
      <w:r w:rsidRPr="00796C19">
        <w:rPr>
          <w:i/>
          <w:sz w:val="20"/>
        </w:rPr>
        <w:t xml:space="preserve">Report to Congressional Requesters: Federal Tax Debts – Factors for Considering a Proposal to Report Tax Debts to Credit Bureaus </w:t>
      </w:r>
      <w:r w:rsidRPr="00796C19">
        <w:rPr>
          <w:sz w:val="20"/>
        </w:rPr>
        <w:t xml:space="preserve">(September 2012). </w:t>
      </w:r>
    </w:p>
  </w:footnote>
  <w:footnote w:id="11">
    <w:p w:rsidR="00355519" w:rsidRPr="00796C19" w:rsidRDefault="00355519" w:rsidP="00355519">
      <w:pPr>
        <w:pStyle w:val="FootnoteText"/>
        <w:ind w:left="426" w:hanging="426"/>
        <w:jc w:val="both"/>
        <w:rPr>
          <w:rFonts w:ascii="Times New Roman" w:hAnsi="Times New Roman" w:cs="Times New Roman"/>
        </w:rPr>
      </w:pPr>
      <w:r w:rsidRPr="00796C19">
        <w:rPr>
          <w:rStyle w:val="FootnoteReference"/>
          <w:rFonts w:ascii="Times New Roman" w:hAnsi="Times New Roman" w:cs="Times New Roman"/>
        </w:rPr>
        <w:footnoteRef/>
      </w:r>
      <w:r w:rsidRPr="00796C19">
        <w:rPr>
          <w:rFonts w:ascii="Times New Roman" w:hAnsi="Times New Roman" w:cs="Times New Roman"/>
        </w:rPr>
        <w:t xml:space="preserve"> </w:t>
      </w:r>
      <w:r w:rsidRPr="00796C19">
        <w:rPr>
          <w:rFonts w:ascii="Times New Roman" w:hAnsi="Times New Roman" w:cs="Times New Roman"/>
        </w:rPr>
        <w:tab/>
        <w:t xml:space="preserve">Ibid. </w:t>
      </w:r>
    </w:p>
  </w:footnote>
  <w:footnote w:id="12">
    <w:p w:rsidR="00096D56" w:rsidRPr="00796C19" w:rsidRDefault="00096D56" w:rsidP="00096D56">
      <w:pPr>
        <w:pStyle w:val="FootnoteText"/>
        <w:ind w:left="426" w:hanging="426"/>
        <w:jc w:val="both"/>
        <w:rPr>
          <w:rFonts w:ascii="Times New Roman" w:hAnsi="Times New Roman" w:cs="Times New Roman"/>
        </w:rPr>
      </w:pPr>
      <w:r w:rsidRPr="00796C19">
        <w:rPr>
          <w:rStyle w:val="FootnoteReference"/>
          <w:rFonts w:ascii="Times New Roman" w:hAnsi="Times New Roman" w:cs="Times New Roman"/>
        </w:rPr>
        <w:footnoteRef/>
      </w:r>
      <w:r w:rsidRPr="00796C19">
        <w:rPr>
          <w:rFonts w:ascii="Times New Roman" w:hAnsi="Times New Roman" w:cs="Times New Roman"/>
        </w:rPr>
        <w:t xml:space="preserve"> </w:t>
      </w:r>
      <w:r w:rsidRPr="00796C19">
        <w:rPr>
          <w:rFonts w:ascii="Times New Roman" w:hAnsi="Times New Roman" w:cs="Times New Roman"/>
        </w:rPr>
        <w:tab/>
        <w:t xml:space="preserve">Australian Government, </w:t>
      </w:r>
      <w:r w:rsidRPr="00796C19">
        <w:rPr>
          <w:rFonts w:ascii="Times New Roman" w:hAnsi="Times New Roman" w:cs="Times New Roman"/>
          <w:i/>
        </w:rPr>
        <w:t>Mid-Year Economic and Fiscal Outlook</w:t>
      </w:r>
      <w:r w:rsidRPr="00796C19">
        <w:rPr>
          <w:rFonts w:ascii="Times New Roman" w:hAnsi="Times New Roman" w:cs="Times New Roman"/>
        </w:rPr>
        <w:t xml:space="preserve"> (December 2016) 113. </w:t>
      </w:r>
    </w:p>
  </w:footnote>
  <w:footnote w:id="13">
    <w:p w:rsidR="00E34F5D" w:rsidRPr="00796C19" w:rsidRDefault="00E34F5D" w:rsidP="00E34F5D">
      <w:pPr>
        <w:pStyle w:val="FootnoteText"/>
        <w:ind w:left="426" w:hanging="426"/>
        <w:jc w:val="both"/>
        <w:rPr>
          <w:rFonts w:ascii="Times New Roman" w:hAnsi="Times New Roman" w:cs="Times New Roman"/>
        </w:rPr>
      </w:pPr>
      <w:r w:rsidRPr="00796C19">
        <w:rPr>
          <w:rStyle w:val="FootnoteReference"/>
          <w:rFonts w:ascii="Times New Roman" w:hAnsi="Times New Roman" w:cs="Times New Roman"/>
        </w:rPr>
        <w:footnoteRef/>
      </w:r>
      <w:r w:rsidRPr="00796C19">
        <w:rPr>
          <w:rFonts w:ascii="Times New Roman" w:hAnsi="Times New Roman" w:cs="Times New Roman"/>
        </w:rPr>
        <w:t xml:space="preserve"> </w:t>
      </w:r>
      <w:r w:rsidRPr="00796C19">
        <w:rPr>
          <w:rFonts w:ascii="Times New Roman" w:hAnsi="Times New Roman" w:cs="Times New Roman"/>
        </w:rPr>
        <w:tab/>
        <w:t xml:space="preserve">Ibid. </w:t>
      </w:r>
    </w:p>
  </w:footnote>
  <w:footnote w:id="14">
    <w:p w:rsidR="00135813" w:rsidRPr="00135813" w:rsidRDefault="00135813">
      <w:pPr>
        <w:pStyle w:val="FootnoteText"/>
        <w:rPr>
          <w:rFonts w:ascii="Times New Roman" w:hAnsi="Times New Roman" w:cs="Times New Roman"/>
        </w:rPr>
      </w:pPr>
      <w:r w:rsidRPr="00135813">
        <w:rPr>
          <w:rStyle w:val="FootnoteReference"/>
          <w:rFonts w:ascii="Times New Roman" w:hAnsi="Times New Roman" w:cs="Times New Roman"/>
        </w:rPr>
        <w:footnoteRef/>
      </w:r>
      <w:r w:rsidRPr="00135813">
        <w:rPr>
          <w:rFonts w:ascii="Times New Roman" w:hAnsi="Times New Roman" w:cs="Times New Roman"/>
        </w:rPr>
        <w:t xml:space="preserve"> This is confirmed in the Exposure Draft Explanatory Materials: </w:t>
      </w:r>
      <w:r w:rsidR="00957ADA">
        <w:rPr>
          <w:rFonts w:ascii="Times New Roman" w:hAnsi="Times New Roman" w:cs="Times New Roman"/>
        </w:rPr>
        <w:t>‘</w:t>
      </w:r>
      <w:r w:rsidRPr="00135813">
        <w:rPr>
          <w:rFonts w:ascii="Times New Roman" w:hAnsi="Times New Roman" w:cs="Times New Roman"/>
        </w:rPr>
        <w:t>[1.71] For the avoidance of doubt, these amendments ensure that the customers of a credit reporting bureau and any other third parties subsequently dealing with tax debt information are not exposed to criminal sanctions for recording or on-disclosing the information.</w:t>
      </w:r>
      <w:r w:rsidR="00957AD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639024"/>
      <w:docPartObj>
        <w:docPartGallery w:val="Page Numbers (Top of Page)"/>
        <w:docPartUnique/>
      </w:docPartObj>
    </w:sdtPr>
    <w:sdtEndPr>
      <w:rPr>
        <w:noProof/>
      </w:rPr>
    </w:sdtEndPr>
    <w:sdtContent>
      <w:p w:rsidR="00626D9D" w:rsidRDefault="00626D9D">
        <w:pPr>
          <w:pStyle w:val="Header"/>
          <w:jc w:val="center"/>
        </w:pPr>
        <w:r>
          <w:fldChar w:fldCharType="begin"/>
        </w:r>
        <w:r>
          <w:instrText xml:space="preserve"> PAGE   \* MERGEFORMAT </w:instrText>
        </w:r>
        <w:r>
          <w:fldChar w:fldCharType="separate"/>
        </w:r>
        <w:r w:rsidR="005C5A76">
          <w:rPr>
            <w:noProof/>
          </w:rPr>
          <w:t>1</w:t>
        </w:r>
        <w:r>
          <w:rPr>
            <w:noProof/>
          </w:rPr>
          <w:fldChar w:fldCharType="end"/>
        </w:r>
      </w:p>
    </w:sdtContent>
  </w:sdt>
  <w:p w:rsidR="00626D9D" w:rsidRDefault="0062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64"/>
    <w:multiLevelType w:val="hybridMultilevel"/>
    <w:tmpl w:val="8E249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D6454"/>
    <w:multiLevelType w:val="hybridMultilevel"/>
    <w:tmpl w:val="AA7E4236"/>
    <w:lvl w:ilvl="0" w:tplc="E86888C0">
      <w:start w:val="1"/>
      <w:numFmt w:val="upperRoman"/>
      <w:lvlText w:val="%1."/>
      <w:lvlJc w:val="left"/>
      <w:pPr>
        <w:ind w:left="1932" w:hanging="720"/>
      </w:pPr>
      <w:rPr>
        <w:rFonts w:hint="default"/>
      </w:r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2" w15:restartNumberingAfterBreak="0">
    <w:nsid w:val="311A6CD7"/>
    <w:multiLevelType w:val="hybridMultilevel"/>
    <w:tmpl w:val="AB8CA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FB6C20"/>
    <w:multiLevelType w:val="hybridMultilevel"/>
    <w:tmpl w:val="1F846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830624"/>
    <w:multiLevelType w:val="hybridMultilevel"/>
    <w:tmpl w:val="7FC8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59"/>
    <w:rsid w:val="00096D56"/>
    <w:rsid w:val="000D39B6"/>
    <w:rsid w:val="00134169"/>
    <w:rsid w:val="00135813"/>
    <w:rsid w:val="00211FEC"/>
    <w:rsid w:val="002D161A"/>
    <w:rsid w:val="003449B2"/>
    <w:rsid w:val="00347024"/>
    <w:rsid w:val="00355519"/>
    <w:rsid w:val="0038216D"/>
    <w:rsid w:val="003979E4"/>
    <w:rsid w:val="005C5A76"/>
    <w:rsid w:val="006154C0"/>
    <w:rsid w:val="00626D9D"/>
    <w:rsid w:val="00676CC3"/>
    <w:rsid w:val="00791ABF"/>
    <w:rsid w:val="00796C19"/>
    <w:rsid w:val="007E2164"/>
    <w:rsid w:val="0093180D"/>
    <w:rsid w:val="00957ADA"/>
    <w:rsid w:val="009D3DE3"/>
    <w:rsid w:val="00A17E6B"/>
    <w:rsid w:val="00AF5867"/>
    <w:rsid w:val="00B52FC6"/>
    <w:rsid w:val="00C016E7"/>
    <w:rsid w:val="00C4703E"/>
    <w:rsid w:val="00E031A5"/>
    <w:rsid w:val="00E34F5D"/>
    <w:rsid w:val="00E402B3"/>
    <w:rsid w:val="00E663AB"/>
    <w:rsid w:val="00EA5A85"/>
    <w:rsid w:val="00EF2522"/>
    <w:rsid w:val="00F33109"/>
    <w:rsid w:val="00FA3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14DAE-D07E-4404-88DC-35CB7DE0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J Footnote Text,FN"/>
    <w:basedOn w:val="Normal"/>
    <w:link w:val="FootnoteTextChar"/>
    <w:uiPriority w:val="99"/>
    <w:unhideWhenUsed/>
    <w:qFormat/>
    <w:rsid w:val="00347024"/>
    <w:pPr>
      <w:spacing w:after="0" w:line="240" w:lineRule="auto"/>
    </w:pPr>
    <w:rPr>
      <w:sz w:val="20"/>
      <w:szCs w:val="20"/>
    </w:rPr>
  </w:style>
  <w:style w:type="character" w:customStyle="1" w:styleId="FootnoteTextChar">
    <w:name w:val="Footnote Text Char"/>
    <w:aliases w:val="LJ Footnote Text Char,FN Char"/>
    <w:basedOn w:val="DefaultParagraphFont"/>
    <w:link w:val="FootnoteText"/>
    <w:uiPriority w:val="99"/>
    <w:rsid w:val="00347024"/>
    <w:rPr>
      <w:sz w:val="20"/>
      <w:szCs w:val="20"/>
    </w:rPr>
  </w:style>
  <w:style w:type="character" w:styleId="FootnoteReference">
    <w:name w:val="footnote reference"/>
    <w:aliases w:val="footnote ref,NO,Footnotes refss,Footnote,16 Point,Superscript 6 Point"/>
    <w:basedOn w:val="DefaultParagraphFont"/>
    <w:uiPriority w:val="99"/>
    <w:unhideWhenUsed/>
    <w:qFormat/>
    <w:rsid w:val="00347024"/>
    <w:rPr>
      <w:vertAlign w:val="superscript"/>
    </w:rPr>
  </w:style>
  <w:style w:type="character" w:styleId="Hyperlink">
    <w:name w:val="Hyperlink"/>
    <w:basedOn w:val="DefaultParagraphFont"/>
    <w:uiPriority w:val="99"/>
    <w:unhideWhenUsed/>
    <w:rsid w:val="00347024"/>
    <w:rPr>
      <w:color w:val="0000FF" w:themeColor="hyperlink"/>
      <w:u w:val="single"/>
    </w:rPr>
  </w:style>
  <w:style w:type="paragraph" w:styleId="ListParagraph">
    <w:name w:val="List Paragraph"/>
    <w:basedOn w:val="Normal"/>
    <w:uiPriority w:val="34"/>
    <w:qFormat/>
    <w:rsid w:val="00347024"/>
    <w:pPr>
      <w:ind w:left="720"/>
      <w:contextualSpacing/>
    </w:pPr>
  </w:style>
  <w:style w:type="paragraph" w:customStyle="1" w:styleId="Footnotetxt">
    <w:name w:val="Footnote txt"/>
    <w:basedOn w:val="FootnoteText"/>
    <w:uiPriority w:val="99"/>
    <w:qFormat/>
    <w:rsid w:val="00355519"/>
    <w:pPr>
      <w:tabs>
        <w:tab w:val="left" w:pos="284"/>
      </w:tabs>
      <w:ind w:left="284" w:hanging="284"/>
      <w:jc w:val="both"/>
    </w:pPr>
    <w:rPr>
      <w:rFonts w:ascii="Times New Roman" w:eastAsia="Times New Roman" w:hAnsi="Times New Roman" w:cs="Times New Roman"/>
      <w:sz w:val="16"/>
      <w:lang w:eastAsia="en-AU"/>
    </w:rPr>
  </w:style>
  <w:style w:type="paragraph" w:styleId="NormalWeb">
    <w:name w:val="Normal (Web)"/>
    <w:basedOn w:val="Normal"/>
    <w:uiPriority w:val="99"/>
    <w:unhideWhenUsed/>
    <w:rsid w:val="00355519"/>
    <w:pPr>
      <w:spacing w:after="0"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5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D9D"/>
  </w:style>
  <w:style w:type="paragraph" w:styleId="Footer">
    <w:name w:val="footer"/>
    <w:basedOn w:val="Normal"/>
    <w:link w:val="FooterChar"/>
    <w:uiPriority w:val="99"/>
    <w:unhideWhenUsed/>
    <w:rsid w:val="0062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D9D"/>
  </w:style>
  <w:style w:type="paragraph" w:customStyle="1" w:styleId="subsection">
    <w:name w:val="subsection"/>
    <w:aliases w:val="ss"/>
    <w:basedOn w:val="Normal"/>
    <w:rsid w:val="00626D9D"/>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rsid w:val="00626D9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3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nimelb.edu.au/__data/assets/pdf_file/0003/1730703/Defining-and-Profiling-Phoenix-Activity_Melbourne-Law-Schoo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unimelb.edu.au/__data/assets/pdf_file/0020/2274131/Phoenix-Activity-Recommendations-on-Detection-Disruption-and-Enforcement.pdf" TargetMode="External"/><Relationship Id="rId4" Type="http://schemas.openxmlformats.org/officeDocument/2006/relationships/settings" Target="settings.xml"/><Relationship Id="rId9" Type="http://schemas.openxmlformats.org/officeDocument/2006/relationships/hyperlink" Target="http://law.unimelb.edu.au/__data/assets/pdf_file/0004/2255350/Anderson,-Quantifying-Phoenix-Activity_Oct-20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lticbusinessnews.com/article/2015/3/12/companies-become-tax-debtors-because-of-problems-in-e-tax-board" TargetMode="External"/><Relationship Id="rId2" Type="http://schemas.openxmlformats.org/officeDocument/2006/relationships/hyperlink" Target="http://legalknowledgeportal.com/2014/08/20/amendments-on-estonian-tax-legislation/" TargetMode="External"/><Relationship Id="rId1" Type="http://schemas.openxmlformats.org/officeDocument/2006/relationships/hyperlink" Target="https://www.emta.ee/eng/business-client/taxation-payment-taxes/public-databases-conducting-background-research" TargetMode="External"/><Relationship Id="rId6" Type="http://schemas.openxmlformats.org/officeDocument/2006/relationships/hyperlink" Target="http://www.soliditet.se/cms/lang/en_GB/soliditet/AboutSoliditet/Sources" TargetMode="External"/><Relationship Id="rId5" Type="http://schemas.openxmlformats.org/officeDocument/2006/relationships/hyperlink" Target="http://echr.ketse.com/doc/29189.95-en-19961127/view/" TargetMode="External"/><Relationship Id="rId4" Type="http://schemas.openxmlformats.org/officeDocument/2006/relationships/hyperlink" Target="https://www.kronofogden.se/InEngli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51FB-A33C-4D13-9808-DDD72ECA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Lesley Anderson</dc:creator>
  <cp:keywords/>
  <dc:description/>
  <cp:lastModifiedBy>Corinne Tan</cp:lastModifiedBy>
  <cp:revision>2</cp:revision>
  <cp:lastPrinted>2018-01-15T23:30:00Z</cp:lastPrinted>
  <dcterms:created xsi:type="dcterms:W3CDTF">2018-01-19T03:53:00Z</dcterms:created>
  <dcterms:modified xsi:type="dcterms:W3CDTF">2018-01-19T03:53:00Z</dcterms:modified>
</cp:coreProperties>
</file>