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0DF2" w:rsidRDefault="009166CF" w:rsidP="00A30DF2">
      <w:pPr>
        <w:pStyle w:val="Heading1"/>
        <w:numPr>
          <w:ilvl w:val="0"/>
          <w:numId w:val="0"/>
        </w:numPr>
        <w:ind w:left="360"/>
      </w:pPr>
      <w:r>
        <w:t>The History and Future of the</w:t>
      </w:r>
      <w:r w:rsidR="003C3744">
        <w:t xml:space="preserve"> Definition of Charity</w:t>
      </w:r>
    </w:p>
    <w:p w:rsidR="00A30DF2" w:rsidRDefault="003C3744" w:rsidP="00A30DF2">
      <w:pPr>
        <w:pStyle w:val="author"/>
      </w:pPr>
      <w:r>
        <w:t>Dr Joyce Chia</w:t>
      </w:r>
      <w:r w:rsidR="00A30DF2">
        <w:rPr>
          <w:rStyle w:val="FootnoteReference"/>
        </w:rPr>
        <w:footnoteReference w:customMarkFollows="1" w:id="2"/>
        <w:t>*</w:t>
      </w:r>
    </w:p>
    <w:p w:rsidR="00E75E53" w:rsidRDefault="003C3744" w:rsidP="00A30DF2">
      <w:pPr>
        <w:pStyle w:val="Heading2"/>
      </w:pPr>
      <w:bookmarkStart w:id="0" w:name="_TOC314064432"/>
      <w:r>
        <w:t>Abstract</w:t>
      </w:r>
    </w:p>
    <w:p w:rsidR="003C3744" w:rsidRPr="00E75E53" w:rsidRDefault="002B654E" w:rsidP="00E75E53">
      <w:r>
        <w:t>T</w:t>
      </w:r>
      <w:r w:rsidR="00E75E53">
        <w:t xml:space="preserve">he Australian Government is proposing </w:t>
      </w:r>
      <w:r>
        <w:t xml:space="preserve">to enact </w:t>
      </w:r>
      <w:r w:rsidR="00E75E53">
        <w:t xml:space="preserve">a statutory definition of </w:t>
      </w:r>
      <w:r w:rsidR="009166CF">
        <w:t>charity later this year</w:t>
      </w:r>
      <w:r>
        <w:t xml:space="preserve">, some eleven years after </w:t>
      </w:r>
      <w:r w:rsidR="009166CF">
        <w:t xml:space="preserve">it was proposed by </w:t>
      </w:r>
      <w:r>
        <w:t>th</w:t>
      </w:r>
      <w:r w:rsidR="001D201A">
        <w:t>e Charities Definition Inquiry</w:t>
      </w:r>
      <w:r w:rsidR="009166CF">
        <w:t xml:space="preserve">, and </w:t>
      </w:r>
      <w:r w:rsidR="001D201A">
        <w:t xml:space="preserve">several years after the various jurisdictions of the United Kingdom </w:t>
      </w:r>
      <w:r w:rsidR="009166CF">
        <w:t xml:space="preserve">and Ireland have </w:t>
      </w:r>
      <w:r w:rsidR="001D201A">
        <w:t xml:space="preserve">adopted one. </w:t>
      </w:r>
      <w:r w:rsidR="00D70054">
        <w:t>This paper</w:t>
      </w:r>
      <w:r w:rsidR="001D201A">
        <w:t xml:space="preserve"> examines the </w:t>
      </w:r>
      <w:r w:rsidR="009166CF">
        <w:t xml:space="preserve">Australian Government’s </w:t>
      </w:r>
      <w:r>
        <w:t xml:space="preserve">proposal, </w:t>
      </w:r>
      <w:r w:rsidR="009166CF">
        <w:t xml:space="preserve">setting it in the context of the historical and contemporary purposes of the definition of charity and in the context of the long-running international debate over the value of a statutory definition. The key elements of the proposal are set out and briefly critiqued, before presenting a proposed statutory definition </w:t>
      </w:r>
      <w:r>
        <w:t>for discussion by the audience.</w:t>
      </w:r>
      <w:r w:rsidR="009166CF">
        <w:t xml:space="preserve"> The paper concludes by considering the prospects of the current proposal. </w:t>
      </w:r>
      <w:r>
        <w:t xml:space="preserve"> </w:t>
      </w:r>
    </w:p>
    <w:p w:rsidR="00A30DF2" w:rsidRDefault="00A30DF2" w:rsidP="00A30DF2">
      <w:pPr>
        <w:pStyle w:val="Heading2"/>
      </w:pPr>
      <w:r>
        <w:t>Introduction</w:t>
      </w:r>
      <w:bookmarkEnd w:id="0"/>
    </w:p>
    <w:p w:rsidR="00854CA3" w:rsidRDefault="00854CA3" w:rsidP="001C127B">
      <w:pPr>
        <w:ind w:firstLine="0"/>
      </w:pPr>
    </w:p>
    <w:p w:rsidR="00DE776B" w:rsidRDefault="00A94BC8" w:rsidP="00A30DF2">
      <w:r>
        <w:t>Good afternoon and welcome</w:t>
      </w:r>
      <w:r w:rsidR="00854CA3">
        <w:t xml:space="preserve">. I am especially pleased to be here today as this conference is the major event of Melbourne Law School’s Not-for-Profit Project, a three-year project on which I was, until quite recently, the full-time Research Fellow. </w:t>
      </w:r>
      <w:r>
        <w:t xml:space="preserve">I encourage </w:t>
      </w:r>
      <w:r w:rsidR="00DE776B">
        <w:t>those of you who are unaware of the Project</w:t>
      </w:r>
      <w:r>
        <w:t xml:space="preserve"> to visit </w:t>
      </w:r>
      <w:r w:rsidR="00DE776B">
        <w:t>our website (</w:t>
      </w:r>
      <w:r>
        <w:t>http://www.law.unimelb.edu.au/notforprofit</w:t>
      </w:r>
      <w:r w:rsidR="00DE776B">
        <w:t xml:space="preserve">) and its many resources. </w:t>
      </w:r>
    </w:p>
    <w:p w:rsidR="00CF05A2" w:rsidRDefault="00A94BC8" w:rsidP="00A30DF2">
      <w:r>
        <w:t>N</w:t>
      </w:r>
      <w:r w:rsidR="00854CA3">
        <w:t xml:space="preserve">one of the Project’s work would </w:t>
      </w:r>
      <w:r>
        <w:t xml:space="preserve">have been possible without an </w:t>
      </w:r>
      <w:r w:rsidR="00854CA3">
        <w:t>all-important grant</w:t>
      </w:r>
      <w:r>
        <w:t xml:space="preserve"> by the Australian Research Council</w:t>
      </w:r>
      <w:r w:rsidR="00854CA3">
        <w:t>.</w:t>
      </w:r>
      <w:r w:rsidR="00DE776B">
        <w:t xml:space="preserve"> </w:t>
      </w:r>
      <w:r>
        <w:t xml:space="preserve">In turn, that grant was made possible by </w:t>
      </w:r>
      <w:r w:rsidR="00DE776B">
        <w:t>the Chief Investigators of that Project, Professors Ann O’Connell, Miranda Stewart and Asso</w:t>
      </w:r>
      <w:r>
        <w:t xml:space="preserve">ciate Professor Matthew Harding. I would like to take this opportunity to publicly thank them for all their </w:t>
      </w:r>
      <w:r w:rsidR="00CF05A2">
        <w:t>hard work in getting the money, and for deciding to spend it principally on employing me as well as</w:t>
      </w:r>
      <w:r>
        <w:t xml:space="preserve"> on</w:t>
      </w:r>
      <w:r w:rsidR="00CF05A2">
        <w:t xml:space="preserve"> this conference.</w:t>
      </w:r>
      <w:r>
        <w:t xml:space="preserve"> In particular, I </w:t>
      </w:r>
      <w:r w:rsidR="00BA46C5">
        <w:t xml:space="preserve">would like to thank them for </w:t>
      </w:r>
      <w:r>
        <w:t>both their intellectual and administrative</w:t>
      </w:r>
      <w:r w:rsidR="00BA46C5">
        <w:t xml:space="preserve"> contributions to the Project and personally for their support, trust and kindness both during and after my employment here at the Law School.</w:t>
      </w:r>
      <w:r>
        <w:t xml:space="preserve"> I would also like to thank the research assistants, Natalie, Julia and Monique, who have done a fantastic job of picking up the organisation of the conference after I left the Law School for my new employer, the Australian Charities and Not-for-Profits Commission (ACNC), just over a month ago. </w:t>
      </w:r>
    </w:p>
    <w:p w:rsidR="005C56CA" w:rsidRDefault="00A94BC8" w:rsidP="00A30DF2">
      <w:r>
        <w:t xml:space="preserve">I should emphasise that this paper reflects views developed and mostly articulated as a Research Fellow, rather than reflecting any views of my current employer. Indeed, this paper draws heavily upon </w:t>
      </w:r>
      <w:r w:rsidR="005C56CA">
        <w:t>earlier work of the Project, including a literature review on defining charity, our submission on the statutory definition, and a seminar presentation for the Aus</w:t>
      </w:r>
      <w:r>
        <w:t>tralian Charity Law Association</w:t>
      </w:r>
      <w:r w:rsidR="005C56CA">
        <w:t xml:space="preserve">. All of these materials are available on our website. </w:t>
      </w:r>
    </w:p>
    <w:p w:rsidR="001C127B" w:rsidRDefault="00BA46C5" w:rsidP="00A30DF2">
      <w:r>
        <w:t xml:space="preserve">I </w:t>
      </w:r>
      <w:r w:rsidR="00A94BC8">
        <w:t xml:space="preserve">will begin first by discussing why the definition of charity matters, before analysing the surprisingly large literature on the issue of a statutory definition of charity. This sets the background for a brief summary and critique of the current Australian Government’s proposal for a statutory definition. I then draw on our submission concerning the statutory definition to present a draft of a statutory definition of charity for discussion by the audience. (Copies to be made available). </w:t>
      </w:r>
      <w:r>
        <w:t>Finally, I will reflect briefly on the political prospects of the current proposal for a statutory definition of charity.</w:t>
      </w:r>
    </w:p>
    <w:p w:rsidR="00BA46C5" w:rsidRDefault="001C127B" w:rsidP="001C127B">
      <w:pPr>
        <w:pStyle w:val="Heading2"/>
      </w:pPr>
      <w:r>
        <w:t>Why the Definition Matters</w:t>
      </w:r>
    </w:p>
    <w:p w:rsidR="001C127B" w:rsidRDefault="001C127B" w:rsidP="001C127B">
      <w:pPr>
        <w:ind w:firstLine="0"/>
      </w:pPr>
    </w:p>
    <w:p w:rsidR="00A44C70" w:rsidRDefault="00441572" w:rsidP="001C127B">
      <w:r>
        <w:t xml:space="preserve">The short answer to this question is, of course, that the definition of charity matters because it is the gateway to tax concessions. </w:t>
      </w:r>
      <w:r w:rsidR="00A44C70">
        <w:t>Like most short answers, it is mostly</w:t>
      </w:r>
      <w:r w:rsidR="000D2B15">
        <w:t xml:space="preserve"> but not entirely true</w:t>
      </w:r>
      <w:r w:rsidR="00A44C70">
        <w:t>.</w:t>
      </w:r>
    </w:p>
    <w:p w:rsidR="00EC573D" w:rsidRDefault="000D2B15" w:rsidP="001C127B">
      <w:r>
        <w:t xml:space="preserve">Similarly, it is often (but wrongly) said that the law of charity dates from the preamble of the </w:t>
      </w:r>
      <w:r>
        <w:rPr>
          <w:i/>
        </w:rPr>
        <w:t>Statute of Elizabeth 1601.</w:t>
      </w:r>
      <w:r w:rsidR="00987717" w:rsidRPr="00987717">
        <w:rPr>
          <w:rStyle w:val="FootnoteReference"/>
        </w:rPr>
        <w:footnoteReference w:id="3"/>
      </w:r>
      <w:r>
        <w:rPr>
          <w:i/>
        </w:rPr>
        <w:t xml:space="preserve"> </w:t>
      </w:r>
      <w:r w:rsidR="00EC573D">
        <w:t xml:space="preserve">The true source of the definition of charity, however, is </w:t>
      </w:r>
      <w:r>
        <w:t>the Catholic Church’s idea of ‘pious causes’. Under ecclesiastical law, gifts to pious causes honoured God and the Church, and included gifts for saying masses, founding chantries, repairing churches and maintaining religious houses.</w:t>
      </w:r>
      <w:r>
        <w:rPr>
          <w:rStyle w:val="FootnoteReference"/>
        </w:rPr>
        <w:footnoteReference w:id="4"/>
      </w:r>
      <w:r>
        <w:t xml:space="preserve"> Importantly, they also embraced gifts for the relief of distress and suffering on earth, including bequests for the poor, maimed and suffering, and for the maintenance of infrastructure including hospitals and roads.</w:t>
      </w:r>
      <w:r>
        <w:rPr>
          <w:rStyle w:val="FootnoteReference"/>
        </w:rPr>
        <w:footnoteReference w:id="5"/>
      </w:r>
      <w:r>
        <w:t xml:space="preserve"> </w:t>
      </w:r>
    </w:p>
    <w:p w:rsidR="005E49A4" w:rsidRDefault="000D2B15" w:rsidP="001C127B">
      <w:r>
        <w:t>The ecclesiastical courts granted bequests</w:t>
      </w:r>
      <w:r w:rsidR="00EC573D">
        <w:t xml:space="preserve"> for pious causes</w:t>
      </w:r>
      <w:r>
        <w:t xml:space="preserve"> several privileges, which </w:t>
      </w:r>
      <w:r w:rsidR="00EC573D">
        <w:t>have since been extended to charitable trusts as Chancery courts took over gradually from ecclesiastical courts.</w:t>
      </w:r>
      <w:r w:rsidR="00EC573D">
        <w:rPr>
          <w:rStyle w:val="FootnoteReference"/>
        </w:rPr>
        <w:footnoteReference w:id="6"/>
      </w:r>
      <w:r w:rsidR="00EC573D">
        <w:t xml:space="preserve"> These privileges i</w:t>
      </w:r>
      <w:r>
        <w:t>nclude</w:t>
      </w:r>
      <w:r w:rsidR="00EC573D">
        <w:t>:</w:t>
      </w:r>
      <w:r>
        <w:t xml:space="preserve"> legacies </w:t>
      </w:r>
      <w:r w:rsidR="00EC573D">
        <w:t xml:space="preserve">do not fail because they are </w:t>
      </w:r>
      <w:r>
        <w:t xml:space="preserve">too indefinite; legacies </w:t>
      </w:r>
      <w:r w:rsidR="00EC573D">
        <w:t>are</w:t>
      </w:r>
      <w:r>
        <w:t xml:space="preserve"> generously construed; the legacy could be applied to similar objects if it was impossible to execute the person’s wishes lawfully; and debts must first be satisfied from private rather than charitable legacies.</w:t>
      </w:r>
      <w:r>
        <w:rPr>
          <w:rStyle w:val="FootnoteReference"/>
        </w:rPr>
        <w:footnoteReference w:id="7"/>
      </w:r>
      <w:r>
        <w:t xml:space="preserve"> </w:t>
      </w:r>
      <w:r w:rsidR="00A656B0">
        <w:t xml:space="preserve">So the first, important, qualification to the question of why the definition matters is that, historically and still today, the definition matters to save trusts from failing. </w:t>
      </w:r>
    </w:p>
    <w:p w:rsidR="00AE7879" w:rsidRDefault="00A656B0" w:rsidP="005E49A4">
      <w:r>
        <w:t>The Statute of Elizabeth</w:t>
      </w:r>
      <w:r w:rsidR="00EC573D">
        <w:t xml:space="preserve"> was, however, hugely significant in other ways. It</w:t>
      </w:r>
      <w:r>
        <w:t xml:space="preserve"> marked an increasing secularisation of charity, with its exclusion of most religious uses</w:t>
      </w:r>
      <w:r w:rsidR="00EC573D">
        <w:t>.</w:t>
      </w:r>
      <w:r>
        <w:rPr>
          <w:rStyle w:val="FootnoteReference"/>
        </w:rPr>
        <w:footnoteReference w:id="8"/>
      </w:r>
      <w:r>
        <w:t xml:space="preserve"> </w:t>
      </w:r>
      <w:r w:rsidR="00EC573D">
        <w:t xml:space="preserve">It also marked the transfer of welfare responsibilities from the </w:t>
      </w:r>
      <w:r w:rsidR="00AE7879">
        <w:t>Church to the Tudor State, most</w:t>
      </w:r>
      <w:r w:rsidR="00EC573D">
        <w:t xml:space="preserve"> notably in the enactment of </w:t>
      </w:r>
      <w:r>
        <w:t>poor laws.</w:t>
      </w:r>
      <w:r>
        <w:rPr>
          <w:rStyle w:val="FootnoteReference"/>
        </w:rPr>
        <w:footnoteReference w:id="9"/>
      </w:r>
      <w:r>
        <w:t xml:space="preserve"> </w:t>
      </w:r>
      <w:r w:rsidR="00AE7879">
        <w:t>Finally</w:t>
      </w:r>
      <w:r>
        <w:t>, i</w:t>
      </w:r>
      <w:r w:rsidR="000D2B15">
        <w:t xml:space="preserve">t also </w:t>
      </w:r>
      <w:r w:rsidR="00AE7879">
        <w:t xml:space="preserve">authorised the first </w:t>
      </w:r>
      <w:r w:rsidR="000D2B15">
        <w:t>State regulation of charities, as it instituted a system of</w:t>
      </w:r>
      <w:r w:rsidR="00AE7879">
        <w:t xml:space="preserve"> ad hoc</w:t>
      </w:r>
      <w:r w:rsidR="000D2B15">
        <w:t xml:space="preserve"> commissions to inquire in</w:t>
      </w:r>
      <w:r w:rsidR="00AE7879">
        <w:t xml:space="preserve">to the management of charities. Charities within the preamble of the Statute of Elizabeth were subject to those commissions, while other charities were not. This system of commissions </w:t>
      </w:r>
      <w:r>
        <w:t>led ultimately to the Charity Commission of England and Wales</w:t>
      </w:r>
      <w:r w:rsidR="00AE7879">
        <w:t>, and through its example to the ACNC</w:t>
      </w:r>
      <w:r>
        <w:t>. So the second qualification is that the</w:t>
      </w:r>
      <w:r w:rsidR="00AE7879">
        <w:t xml:space="preserve"> definition of charity mattered and matters </w:t>
      </w:r>
      <w:r>
        <w:t>for the purposes of regulation.</w:t>
      </w:r>
    </w:p>
    <w:p w:rsidR="00AE7879" w:rsidRDefault="00AE7879" w:rsidP="00AE7879">
      <w:r>
        <w:t>The Reformation also caused the doctrine of ‘superstitious use’ to develop.</w:t>
      </w:r>
      <w:r>
        <w:rPr>
          <w:rStyle w:val="FootnoteReference"/>
        </w:rPr>
        <w:footnoteReference w:id="10"/>
      </w:r>
      <w:r>
        <w:t xml:space="preserve"> This doctrine meant that trusts for religions other than the officially established Church of England (and after the </w:t>
      </w:r>
      <w:r w:rsidRPr="00AE7879">
        <w:rPr>
          <w:i/>
        </w:rPr>
        <w:t>Act of Toleration</w:t>
      </w:r>
      <w:r>
        <w:t>, those tolerated religions), were illegal. Until 1700, the key questions concerning charity were whether there was a superstitious use, and whether the charity fell within or without of the Statute of Elizabeth’s preamble. The focus was on “determining the nature and extent of the privileges of charity rather than in marking out its boundaries”.</w:t>
      </w:r>
      <w:r>
        <w:rPr>
          <w:rStyle w:val="FootnoteReference"/>
        </w:rPr>
        <w:footnoteReference w:id="11"/>
      </w:r>
    </w:p>
    <w:p w:rsidR="00A656B0" w:rsidRDefault="00AE7879" w:rsidP="00AE7879">
      <w:r>
        <w:t>A key development was that, i</w:t>
      </w:r>
      <w:r w:rsidR="00A656B0">
        <w:t xml:space="preserve">n 1736, a </w:t>
      </w:r>
      <w:r w:rsidR="00A656B0">
        <w:rPr>
          <w:i/>
        </w:rPr>
        <w:t xml:space="preserve">Mortmain Act </w:t>
      </w:r>
      <w:r w:rsidR="00A656B0">
        <w:t xml:space="preserve">voided bequests of land to charity in </w:t>
      </w:r>
      <w:r>
        <w:t>favour of heirs and next of kin.</w:t>
      </w:r>
      <w:r w:rsidR="00A656B0">
        <w:t xml:space="preserve"> </w:t>
      </w:r>
      <w:r>
        <w:t xml:space="preserve">This reflected </w:t>
      </w:r>
      <w:r w:rsidR="00A656B0">
        <w:t>anti-clerical sentiments and fears that bequests to charity were swallowing up land at the expense of wronged relatives.</w:t>
      </w:r>
      <w:r w:rsidR="00A656B0">
        <w:rPr>
          <w:rStyle w:val="FootnoteReference"/>
        </w:rPr>
        <w:footnoteReference w:id="12"/>
      </w:r>
      <w:r w:rsidR="00A656B0">
        <w:t xml:space="preserve"> So the third qualification is that, at a critical period, the definition of charity </w:t>
      </w:r>
      <w:r>
        <w:t>mattered because it resulted in trusts in effect failing</w:t>
      </w:r>
      <w:r w:rsidR="00A656B0">
        <w:t>. Paradoxically, however, this encouraged anti-clerical judges to retain broad and generous definitions of charity.</w:t>
      </w:r>
      <w:r w:rsidR="00A656B0">
        <w:rPr>
          <w:rStyle w:val="FootnoteReference"/>
        </w:rPr>
        <w:footnoteReference w:id="13"/>
      </w:r>
    </w:p>
    <w:p w:rsidR="00A656B0" w:rsidRDefault="00A53F99" w:rsidP="003607F8">
      <w:r>
        <w:t xml:space="preserve">The Statute of Elizabeth’s preamble only became part of the legal definition of charity in 1804, in the case of </w:t>
      </w:r>
      <w:r>
        <w:rPr>
          <w:i/>
        </w:rPr>
        <w:t>Morice v The Bishop of Durham</w:t>
      </w:r>
      <w:r w:rsidR="00AD6482">
        <w:t>.</w:t>
      </w:r>
      <w:r>
        <w:rPr>
          <w:rStyle w:val="FootnoteReference"/>
        </w:rPr>
        <w:footnoteReference w:id="14"/>
      </w:r>
      <w:r>
        <w:t xml:space="preserve"> </w:t>
      </w:r>
      <w:r w:rsidR="00AD6482">
        <w:t>It was one of those accidents of history, for the preamble was not referred to until the matter was appealed.</w:t>
      </w:r>
      <w:r>
        <w:rPr>
          <w:rStyle w:val="FootnoteReference"/>
        </w:rPr>
        <w:footnoteReference w:id="15"/>
      </w:r>
      <w:r>
        <w:t xml:space="preserve"> </w:t>
      </w:r>
      <w:r w:rsidR="00AD6482">
        <w:t xml:space="preserve">Counsel in that case first referred to the four heads of charity that </w:t>
      </w:r>
      <w:r>
        <w:t xml:space="preserve">were later </w:t>
      </w:r>
      <w:r w:rsidR="00AD6482">
        <w:t>elevated to the ‘definition’ of charity</w:t>
      </w:r>
      <w:r>
        <w:t xml:space="preserve"> in the seminal case of </w:t>
      </w:r>
      <w:r>
        <w:rPr>
          <w:i/>
        </w:rPr>
        <w:t>Pemsel</w:t>
      </w:r>
      <w:r>
        <w:t>.</w:t>
      </w:r>
      <w:r>
        <w:rPr>
          <w:rStyle w:val="FootnoteReference"/>
        </w:rPr>
        <w:footnoteReference w:id="16"/>
      </w:r>
      <w:r>
        <w:t xml:space="preserve"> </w:t>
      </w:r>
      <w:r w:rsidR="00AD6482">
        <w:t>I</w:t>
      </w:r>
      <w:r>
        <w:t xml:space="preserve">n that </w:t>
      </w:r>
      <w:r w:rsidR="00AD6482">
        <w:t xml:space="preserve">famous </w:t>
      </w:r>
      <w:r>
        <w:t>case, the House of Lords ruled that Scottish tax laws were to be interpreted according to the English legal definition of charity, which include</w:t>
      </w:r>
      <w:r w:rsidR="00AD6482">
        <w:t>d</w:t>
      </w:r>
      <w:r>
        <w:t xml:space="preserve"> the four heads of charity: relief of poverty, advancement of education, advancement of religion, and ‘other purposes beneficial to the community’.</w:t>
      </w:r>
      <w:r w:rsidR="00A656B0">
        <w:t xml:space="preserve"> This formula is </w:t>
      </w:r>
      <w:r w:rsidR="00AD6482">
        <w:t>often</w:t>
      </w:r>
      <w:r w:rsidR="00A656B0">
        <w:t xml:space="preserve"> referred to as the ‘definition of charity’, although it is more accurately c</w:t>
      </w:r>
      <w:r w:rsidR="00AD6482">
        <w:t xml:space="preserve">onsidered as a classification. The usage is also inaccurate because </w:t>
      </w:r>
      <w:r w:rsidR="00A656B0">
        <w:t xml:space="preserve">the common law meaning of charity includes other key elements, </w:t>
      </w:r>
      <w:r w:rsidR="00AD6482">
        <w:t xml:space="preserve">of which the most important is </w:t>
      </w:r>
      <w:r w:rsidR="00A656B0">
        <w:t>the requirement of public benefit.</w:t>
      </w:r>
    </w:p>
    <w:p w:rsidR="00632E36" w:rsidRDefault="008B6D99" w:rsidP="003607F8">
      <w:r>
        <w:t>However, a</w:t>
      </w:r>
      <w:r w:rsidR="00420B2E">
        <w:t xml:space="preserve">t least since </w:t>
      </w:r>
      <w:r w:rsidR="00420B2E">
        <w:rPr>
          <w:i/>
        </w:rPr>
        <w:t xml:space="preserve">Pemsel, </w:t>
      </w:r>
      <w:r w:rsidR="00420B2E">
        <w:t xml:space="preserve">being ‘charitable’ has mostly mattered because </w:t>
      </w:r>
      <w:r w:rsidR="00852C92">
        <w:t xml:space="preserve">it grants access to </w:t>
      </w:r>
      <w:r w:rsidR="00420B2E">
        <w:t>tax concessions. As taxes have increased in the 20</w:t>
      </w:r>
      <w:r w:rsidR="00420B2E" w:rsidRPr="00420B2E">
        <w:rPr>
          <w:vertAlign w:val="superscript"/>
        </w:rPr>
        <w:t>th</w:t>
      </w:r>
      <w:r w:rsidR="00420B2E">
        <w:t xml:space="preserve"> century,</w:t>
      </w:r>
      <w:r w:rsidR="00632E36">
        <w:t xml:space="preserve"> and as the sector has grown</w:t>
      </w:r>
      <w:r w:rsidR="00420B2E">
        <w:t xml:space="preserve">, the significance of these tax concessions has also grown. </w:t>
      </w:r>
      <w:r w:rsidR="00632E36">
        <w:t xml:space="preserve">Further, as State taxation has become the default rather than </w:t>
      </w:r>
      <w:r w:rsidR="00852C92">
        <w:t>exceptional, charities have increasingly had to justify those tax concessions.</w:t>
      </w:r>
      <w:r w:rsidR="00632E36">
        <w:rPr>
          <w:rStyle w:val="FootnoteReference"/>
        </w:rPr>
        <w:footnoteReference w:id="17"/>
      </w:r>
      <w:r w:rsidR="00852C92">
        <w:t xml:space="preserve"> </w:t>
      </w:r>
    </w:p>
    <w:p w:rsidR="00BA5FB8" w:rsidRDefault="00632E36" w:rsidP="003607F8">
      <w:r>
        <w:t>I</w:t>
      </w:r>
      <w:r w:rsidR="00852C92">
        <w:t xml:space="preserve">mportantly, </w:t>
      </w:r>
      <w:r>
        <w:t>however, that the definition of charity is</w:t>
      </w:r>
      <w:r w:rsidR="00852C92">
        <w:t xml:space="preserve"> not as practically significant </w:t>
      </w:r>
      <w:r>
        <w:t xml:space="preserve">in Australia </w:t>
      </w:r>
      <w:r w:rsidR="00852C92">
        <w:t>as it is in the UK</w:t>
      </w:r>
      <w:r>
        <w:t>, where ‘charitable status’ is almost the exclusive gateway to tax concessions for the not-for-profit sector.</w:t>
      </w:r>
      <w:r w:rsidR="00852C92">
        <w:rPr>
          <w:rStyle w:val="FootnoteReference"/>
        </w:rPr>
        <w:footnoteReference w:id="18"/>
      </w:r>
      <w:r>
        <w:t xml:space="preserve"> In contrast, i</w:t>
      </w:r>
      <w:r w:rsidR="00CE073A">
        <w:t>n Australia the tax exemptions for not-for-profits range more broadly. Indeed, in the 19</w:t>
      </w:r>
      <w:r w:rsidR="00CE073A" w:rsidRPr="00CE073A">
        <w:rPr>
          <w:vertAlign w:val="superscript"/>
        </w:rPr>
        <w:t>th</w:t>
      </w:r>
      <w:r w:rsidR="00CE073A">
        <w:t xml:space="preserve"> century the State income taxes exempted not just charities but all not-for-profits.</w:t>
      </w:r>
      <w:r w:rsidR="00CE073A">
        <w:rPr>
          <w:rStyle w:val="FootnoteReference"/>
        </w:rPr>
        <w:footnoteReference w:id="19"/>
      </w:r>
      <w:r w:rsidR="00CE073A">
        <w:t xml:space="preserve"> The Australian system today is far more complex and inconsistent than the regime in the UK because there are </w:t>
      </w:r>
      <w:r>
        <w:t>other categories, such as public benevolent institutions</w:t>
      </w:r>
      <w:r w:rsidR="00CE073A">
        <w:t xml:space="preserve"> (PBIs), and because other types of not-for-profits such as hospitals are provided for separately while some deductible gift recipients are specifically named.</w:t>
      </w:r>
      <w:r w:rsidR="008B6D99">
        <w:rPr>
          <w:rStyle w:val="FootnoteReference"/>
        </w:rPr>
        <w:footnoteReference w:id="20"/>
      </w:r>
      <w:r w:rsidR="00CE073A">
        <w:t xml:space="preserve"> </w:t>
      </w:r>
    </w:p>
    <w:p w:rsidR="00420B2E" w:rsidRPr="00BA5FB8" w:rsidRDefault="00CE073A" w:rsidP="003607F8">
      <w:pPr>
        <w:rPr>
          <w:i/>
        </w:rPr>
      </w:pPr>
      <w:r>
        <w:t xml:space="preserve">Similarly, </w:t>
      </w:r>
      <w:r w:rsidR="00BA5FB8">
        <w:t xml:space="preserve">State and Territory concessions </w:t>
      </w:r>
      <w:r>
        <w:t>are far from consistent in their definition of which entities are eligible for tax exemptions and concessions</w:t>
      </w:r>
      <w:r w:rsidR="00BA5FB8">
        <w:t xml:space="preserve">. </w:t>
      </w:r>
      <w:r w:rsidR="008B6D99">
        <w:t>An exception is payroll tax, which has been harmonised.</w:t>
      </w:r>
      <w:r>
        <w:rPr>
          <w:rStyle w:val="FootnoteReference"/>
        </w:rPr>
        <w:footnoteReference w:id="21"/>
      </w:r>
      <w:r w:rsidR="008B6D99">
        <w:t xml:space="preserve"> Interestingly, this</w:t>
      </w:r>
      <w:r>
        <w:t xml:space="preserve"> harmonised</w:t>
      </w:r>
      <w:r w:rsidR="008B6D99">
        <w:t xml:space="preserve"> exemption </w:t>
      </w:r>
      <w:r>
        <w:t xml:space="preserve">extends well beyond charities, exempting all </w:t>
      </w:r>
      <w:r w:rsidR="008B6D99">
        <w:t>r</w:t>
      </w:r>
      <w:r w:rsidR="00BA5FB8">
        <w:t xml:space="preserve">eligious institutions, public benevolent institutions and non-profits if they have a sole or dominant charitable, benevolent, philanthropic or patriotic purpose. </w:t>
      </w:r>
      <w:r>
        <w:t>However, t</w:t>
      </w:r>
      <w:r w:rsidR="00BA5FB8">
        <w:t>he e</w:t>
      </w:r>
      <w:r>
        <w:t xml:space="preserve">xemption specifically excludes </w:t>
      </w:r>
      <w:r w:rsidR="00BA5FB8">
        <w:t xml:space="preserve">schools, educational institutions or companies, and State instrumentalities. Further, the exemption has been amended so that the exemption applies only where persons are employed ‘exclusively’ in work of a religious, charitable, philanthropic or patriotic nature, to preclude the use of the exemption for commercial activities of not-for-profits. </w:t>
      </w:r>
      <w:r>
        <w:t xml:space="preserve">Other similarly broad phrasing is used in fundraising laws </w:t>
      </w:r>
      <w:r w:rsidR="00BA5FB8">
        <w:t>and other legislative exemptions.</w:t>
      </w:r>
    </w:p>
    <w:p w:rsidR="00BA5FB8" w:rsidRDefault="00BA5FB8" w:rsidP="003607F8">
      <w:r>
        <w:t>Lastly, but very importantly, t</w:t>
      </w:r>
      <w:r w:rsidR="005A7C81">
        <w:t xml:space="preserve">he term ‘charity’ </w:t>
      </w:r>
      <w:r>
        <w:t>has also practical benefits in generating legitimacy and supporting fundraising.</w:t>
      </w:r>
      <w:r w:rsidR="008B6D99">
        <w:t xml:space="preserve"> ‘Charity’ is a powerful brand,</w:t>
      </w:r>
      <w:r w:rsidR="003B075E">
        <w:t xml:space="preserve"> and that brand is crucial for raising funds and attracting volunteers and employees. I</w:t>
      </w:r>
      <w:r w:rsidR="00B41ADE">
        <w:t>ndeed</w:t>
      </w:r>
      <w:r w:rsidR="008B6D99">
        <w:t xml:space="preserve"> much of the point of regulating charities is to protect that brand</w:t>
      </w:r>
      <w:r w:rsidR="001D7B9B">
        <w:t xml:space="preserve"> from being undermined</w:t>
      </w:r>
      <w:r w:rsidR="008B6D99">
        <w:t>.</w:t>
      </w:r>
      <w:r w:rsidR="00CE073A">
        <w:t xml:space="preserve"> </w:t>
      </w:r>
    </w:p>
    <w:p w:rsidR="00707119" w:rsidRDefault="00707119" w:rsidP="00707119">
      <w:pPr>
        <w:pStyle w:val="Heading2"/>
      </w:pPr>
      <w:r>
        <w:t>History of Definitional Reform</w:t>
      </w:r>
    </w:p>
    <w:p w:rsidR="00775412" w:rsidRDefault="00707119" w:rsidP="00933C2D">
      <w:r>
        <w:t xml:space="preserve">The </w:t>
      </w:r>
      <w:r w:rsidR="00775412">
        <w:t xml:space="preserve">legal and practical significance of the term ‘charity’ lies behind the surprisingly long and vexed </w:t>
      </w:r>
      <w:r>
        <w:t>debate over the need</w:t>
      </w:r>
      <w:r w:rsidR="00775412">
        <w:t xml:space="preserve"> to</w:t>
      </w:r>
      <w:r>
        <w:t xml:space="preserve"> reform the</w:t>
      </w:r>
      <w:r w:rsidR="00775412">
        <w:t xml:space="preserve"> common law definition of charity</w:t>
      </w:r>
      <w:r>
        <w:t>.</w:t>
      </w:r>
      <w:r w:rsidR="008B6D99">
        <w:t xml:space="preserve"> In </w:t>
      </w:r>
      <w:r w:rsidR="008B6D99">
        <w:rPr>
          <w:i/>
        </w:rPr>
        <w:t xml:space="preserve">Pemsel </w:t>
      </w:r>
      <w:r w:rsidR="00775412">
        <w:t xml:space="preserve">itself, the House of Lords split 3-2 on the breadth of the concept of charity in the interpretation of </w:t>
      </w:r>
      <w:r w:rsidR="008B6D99">
        <w:t>tax concessions.</w:t>
      </w:r>
      <w:r w:rsidR="00775412">
        <w:t xml:space="preserve"> But for that extra judge, we would not be here today debating a statutory definition.</w:t>
      </w:r>
    </w:p>
    <w:p w:rsidR="006D05CF" w:rsidRDefault="00292C95" w:rsidP="007D5254">
      <w:r>
        <w:t>For the most part, this long debate</w:t>
      </w:r>
      <w:r w:rsidR="007D5254">
        <w:t xml:space="preserve"> came to nothing until the beginning of the 21</w:t>
      </w:r>
      <w:r w:rsidR="007D5254" w:rsidRPr="007D5254">
        <w:rPr>
          <w:vertAlign w:val="superscript"/>
        </w:rPr>
        <w:t>st</w:t>
      </w:r>
      <w:r w:rsidR="007D5254">
        <w:t xml:space="preserve"> century</w:t>
      </w:r>
      <w:r w:rsidR="003A41A7">
        <w:t xml:space="preserve">. </w:t>
      </w:r>
      <w:r w:rsidR="004D3E51">
        <w:t>In the 1970s, concern over the state of charity law led the National Council for Voluntary Organisations (NCVO) to convene an independent inquiry into chari</w:t>
      </w:r>
      <w:r w:rsidR="000C7D6A">
        <w:t>ty law including the definition, known as the Goodman Inquiry.</w:t>
      </w:r>
      <w:r w:rsidR="000C7D6A">
        <w:rPr>
          <w:rStyle w:val="FootnoteReference"/>
        </w:rPr>
        <w:footnoteReference w:id="22"/>
      </w:r>
      <w:r w:rsidR="000C7D6A">
        <w:t xml:space="preserve">  In the preface of its report, the Chair remarked that they were likely to be criticised for having:</w:t>
      </w:r>
      <w:r w:rsidR="004D3E51">
        <w:t xml:space="preserve"> </w:t>
      </w:r>
    </w:p>
    <w:p w:rsidR="006D05CF" w:rsidRDefault="006D05CF" w:rsidP="000C7D6A">
      <w:pPr>
        <w:pStyle w:val="Quote"/>
        <w:ind w:firstLine="0"/>
      </w:pPr>
      <w:r>
        <w:t>produced no adventurous new definition of charity. Our every inclination was to do just that. We started off, or most of us did, in the firm belief that the old definitions could be discarded like old hats and in no time at all the talented milliners on the committee would produce a totally new model. Discussion and exper</w:t>
      </w:r>
      <w:r w:rsidR="000C7D6A">
        <w:t>ience have taught us otherwise.</w:t>
      </w:r>
      <w:r w:rsidR="000C7D6A">
        <w:rPr>
          <w:rStyle w:val="FootnoteReference"/>
        </w:rPr>
        <w:footnoteReference w:id="23"/>
      </w:r>
    </w:p>
    <w:p w:rsidR="00292C95" w:rsidRDefault="00D31CA0" w:rsidP="000C7D6A">
      <w:r>
        <w:t>This quote expresses vi</w:t>
      </w:r>
      <w:r w:rsidR="00612A47">
        <w:t xml:space="preserve">vidly, I think, why proposals for redefinitions of charity law end up looking so much alike. </w:t>
      </w:r>
      <w:r w:rsidR="000C7D6A">
        <w:t xml:space="preserve">The Goodman Report ended up recommending a more comprehensive definition </w:t>
      </w:r>
      <w:r w:rsidR="007C0242">
        <w:t>that</w:t>
      </w:r>
      <w:r w:rsidR="000C7D6A">
        <w:t xml:space="preserve"> they suggested should act as a guideline, rather than as a statutory provision. Nevertheless, Barbados adopted that </w:t>
      </w:r>
      <w:r w:rsidR="00292C95">
        <w:t>definition from a UK report produced in the 1970s, the Goodman report,</w:t>
      </w:r>
      <w:r w:rsidR="007C0242">
        <w:t xml:space="preserve"> </w:t>
      </w:r>
      <w:r w:rsidR="00292C95">
        <w:t>in 1980.</w:t>
      </w:r>
      <w:r w:rsidR="00292C95">
        <w:rPr>
          <w:rStyle w:val="FootnoteReference"/>
        </w:rPr>
        <w:footnoteReference w:id="24"/>
      </w:r>
      <w:r w:rsidR="00292C95">
        <w:t xml:space="preserve"> In 1999, the Katz report in </w:t>
      </w:r>
      <w:r w:rsidR="007D5254">
        <w:t xml:space="preserve">South Africa </w:t>
      </w:r>
      <w:r w:rsidR="00292C95">
        <w:t xml:space="preserve">recommended that, instead of using </w:t>
      </w:r>
      <w:r w:rsidR="007D5254">
        <w:t xml:space="preserve">‘charity’, with all </w:t>
      </w:r>
      <w:r w:rsidR="00292C95">
        <w:t>the baggage that came with it, tax exemptions should be conferred on</w:t>
      </w:r>
      <w:r w:rsidR="007D5254">
        <w:t xml:space="preserve"> ‘public benefit organisations’</w:t>
      </w:r>
      <w:r w:rsidR="00292C95">
        <w:t>, with the legislation specifying public benefit purposes in a Schedule.</w:t>
      </w:r>
      <w:r w:rsidR="007D5254">
        <w:rPr>
          <w:rStyle w:val="FootnoteReference"/>
        </w:rPr>
        <w:footnoteReference w:id="25"/>
      </w:r>
      <w:r w:rsidR="0031273D">
        <w:t xml:space="preserve"> </w:t>
      </w:r>
      <w:r w:rsidR="00F96C0F">
        <w:t>This was also recommended in Canada.</w:t>
      </w:r>
    </w:p>
    <w:p w:rsidR="00612A47" w:rsidRDefault="007D5254" w:rsidP="00292C95">
      <w:r>
        <w:t xml:space="preserve">As </w:t>
      </w:r>
      <w:r w:rsidR="00292C95">
        <w:t>is well known to the audience, in 2</w:t>
      </w:r>
      <w:r w:rsidR="00EA619C">
        <w:t>001 there was a landmark independen</w:t>
      </w:r>
      <w:r w:rsidR="00292C95">
        <w:t>t inquiry</w:t>
      </w:r>
      <w:r w:rsidR="00EA619C">
        <w:t>, commonly known as the Charities Definition Inquiry or CDI,</w:t>
      </w:r>
      <w:r w:rsidR="00292C95">
        <w:t xml:space="preserve"> into the definition of charity</w:t>
      </w:r>
      <w:r w:rsidR="004D3E51">
        <w:t>.</w:t>
      </w:r>
      <w:r w:rsidR="004D3E51">
        <w:rPr>
          <w:rStyle w:val="FootnoteReference"/>
        </w:rPr>
        <w:footnoteReference w:id="26"/>
      </w:r>
      <w:r w:rsidR="004D3E51">
        <w:t xml:space="preserve"> </w:t>
      </w:r>
      <w:r w:rsidR="00EA619C">
        <w:t>The inquiry was</w:t>
      </w:r>
      <w:r w:rsidR="00292C95">
        <w:t xml:space="preserve"> chaired by a judge, Ian Sheppard, and </w:t>
      </w:r>
      <w:r w:rsidR="00EA619C">
        <w:t>with Robert Fitzgerald and David Gonski as members</w:t>
      </w:r>
      <w:r w:rsidR="00292C95">
        <w:t xml:space="preserve">. The context was </w:t>
      </w:r>
      <w:r>
        <w:t xml:space="preserve">the introduction of </w:t>
      </w:r>
      <w:r w:rsidR="00EA619C">
        <w:t>the</w:t>
      </w:r>
      <w:r>
        <w:t xml:space="preserve"> Goods and Services Tax</w:t>
      </w:r>
      <w:r w:rsidR="00CE4066">
        <w:t>, a tax</w:t>
      </w:r>
      <w:r w:rsidR="00292C95">
        <w:t xml:space="preserve"> </w:t>
      </w:r>
      <w:r w:rsidR="00CE4066">
        <w:t>that required</w:t>
      </w:r>
      <w:r w:rsidR="00292C95">
        <w:t xml:space="preserve"> many charities </w:t>
      </w:r>
      <w:r w:rsidR="00CE4066">
        <w:t xml:space="preserve">to interact for the first time </w:t>
      </w:r>
      <w:r w:rsidR="00292C95">
        <w:t>with the Australian Taxation Office.</w:t>
      </w:r>
      <w:r>
        <w:t xml:space="preserve"> </w:t>
      </w:r>
      <w:r w:rsidR="00612A47">
        <w:t>Much like the Goodman Report, t</w:t>
      </w:r>
      <w:r w:rsidR="00EA619C">
        <w:t xml:space="preserve">he </w:t>
      </w:r>
      <w:r>
        <w:t>report proposed a statutory definition largely based on common law but settling particular points of debate. This report was influential in subsequent reform reports, including in New Zealand,</w:t>
      </w:r>
      <w:r w:rsidR="002F627E">
        <w:rPr>
          <w:rStyle w:val="FootnoteReference"/>
        </w:rPr>
        <w:footnoteReference w:id="27"/>
      </w:r>
      <w:r w:rsidR="002F627E">
        <w:t xml:space="preserve"> Ireland</w:t>
      </w:r>
      <w:r>
        <w:t>,</w:t>
      </w:r>
      <w:r w:rsidR="002F627E">
        <w:rPr>
          <w:rStyle w:val="FootnoteReference"/>
        </w:rPr>
        <w:footnoteReference w:id="28"/>
      </w:r>
      <w:r>
        <w:t xml:space="preserve"> and the United Kingdom.</w:t>
      </w:r>
      <w:r w:rsidR="002F627E">
        <w:rPr>
          <w:rStyle w:val="FootnoteReference"/>
        </w:rPr>
        <w:footnoteReference w:id="29"/>
      </w:r>
      <w:r>
        <w:t xml:space="preserve"> </w:t>
      </w:r>
    </w:p>
    <w:p w:rsidR="002F627E" w:rsidRDefault="007D5254" w:rsidP="00292C95">
      <w:r>
        <w:t xml:space="preserve">As is </w:t>
      </w:r>
      <w:r w:rsidR="00612A47">
        <w:t>notorious to many of you</w:t>
      </w:r>
      <w:r>
        <w:t>, however, the then Australian Government released an Exposure Draft that modified in key respects the proposals of the CDI.</w:t>
      </w:r>
      <w:r w:rsidR="002F627E">
        <w:rPr>
          <w:rStyle w:val="FootnoteReference"/>
        </w:rPr>
        <w:footnoteReference w:id="30"/>
      </w:r>
      <w:r>
        <w:t xml:space="preserve"> In particular, the Draft sought to include an attempt to codify the common law restrictions on advocacy, which provoked much concern. After a further inquiry by the Board of Taxation,</w:t>
      </w:r>
      <w:r w:rsidR="002F627E">
        <w:rPr>
          <w:rStyle w:val="FootnoteReference"/>
        </w:rPr>
        <w:footnoteReference w:id="31"/>
      </w:r>
      <w:r>
        <w:t xml:space="preserve"> the Government decided ultimately instead to limit itself to extending chari</w:t>
      </w:r>
      <w:r w:rsidR="002F627E">
        <w:t>table status for some particular purposes, such as non-profit child centres.</w:t>
      </w:r>
      <w:r w:rsidR="002F627E">
        <w:rPr>
          <w:rStyle w:val="FootnoteReference"/>
        </w:rPr>
        <w:footnoteReference w:id="32"/>
      </w:r>
      <w:r w:rsidR="002F627E">
        <w:t xml:space="preserve"> </w:t>
      </w:r>
    </w:p>
    <w:p w:rsidR="00D662FF" w:rsidRDefault="007F64CC" w:rsidP="00D662FF">
      <w:r>
        <w:t>In the</w:t>
      </w:r>
      <w:r w:rsidR="00612A47">
        <w:t xml:space="preserve"> eleven years since, suddenly much has happened on the definitional front.</w:t>
      </w:r>
      <w:r w:rsidR="00D662FF">
        <w:t xml:space="preserve"> Most significantly, the Labor Government of the United Kingdom began a much broader agenda for the third sector that included as part of its reforms (slightly different) definitions of reform in England and Wales,</w:t>
      </w:r>
      <w:r w:rsidR="00D662FF">
        <w:rPr>
          <w:rStyle w:val="FootnoteReference"/>
        </w:rPr>
        <w:footnoteReference w:id="33"/>
      </w:r>
      <w:r w:rsidR="00D662FF">
        <w:t xml:space="preserve"> Scotland,</w:t>
      </w:r>
      <w:r w:rsidR="00D662FF">
        <w:rPr>
          <w:rStyle w:val="FootnoteReference"/>
        </w:rPr>
        <w:footnoteReference w:id="34"/>
      </w:r>
      <w:r w:rsidR="00D662FF">
        <w:t xml:space="preserve"> and Northern Ireland.</w:t>
      </w:r>
      <w:r w:rsidR="00D662FF">
        <w:rPr>
          <w:rStyle w:val="FootnoteReference"/>
        </w:rPr>
        <w:footnoteReference w:id="35"/>
      </w:r>
      <w:r w:rsidR="00612A47">
        <w:t xml:space="preserve"> </w:t>
      </w:r>
      <w:r w:rsidR="00D662FF">
        <w:t>Ireland has also introduced a statutory definition,</w:t>
      </w:r>
      <w:r w:rsidR="00D662FF">
        <w:rPr>
          <w:rStyle w:val="FootnoteReference"/>
        </w:rPr>
        <w:footnoteReference w:id="36"/>
      </w:r>
      <w:r w:rsidR="00D662FF">
        <w:t xml:space="preserve"> although its proposed regulator has yet to be established and looks unlikely to be in the future.</w:t>
      </w:r>
      <w:r w:rsidR="00D662FF">
        <w:rPr>
          <w:rStyle w:val="FootnoteReference"/>
        </w:rPr>
        <w:footnoteReference w:id="37"/>
      </w:r>
    </w:p>
    <w:p w:rsidR="00F96C0F" w:rsidRDefault="00F96C0F" w:rsidP="00775412">
      <w:r>
        <w:t>Other jurisdictions, however, did not join the rush for definitional reform</w:t>
      </w:r>
      <w:r w:rsidR="00D662FF">
        <w:t xml:space="preserve">. New Zealand </w:t>
      </w:r>
      <w:r w:rsidR="00DD48FC">
        <w:t xml:space="preserve">has defined charitable purpose only in terms of enacting the </w:t>
      </w:r>
      <w:r w:rsidR="00DD48FC">
        <w:rPr>
          <w:i/>
        </w:rPr>
        <w:t xml:space="preserve">Pemsel </w:t>
      </w:r>
      <w:r w:rsidR="00DD48FC">
        <w:t>heads and clarifying particular points in relation to the Maori and ancillary purposes (and now amateur sport)</w:t>
      </w:r>
      <w:r w:rsidR="00D662FF">
        <w:t>.</w:t>
      </w:r>
      <w:r w:rsidR="00D662FF">
        <w:rPr>
          <w:rStyle w:val="FootnoteReference"/>
        </w:rPr>
        <w:footnoteReference w:id="38"/>
      </w:r>
      <w:r>
        <w:t xml:space="preserve"> R</w:t>
      </w:r>
      <w:r w:rsidR="007F64CC">
        <w:t>ecently</w:t>
      </w:r>
      <w:r>
        <w:t>, however,</w:t>
      </w:r>
      <w:r w:rsidR="007F64CC">
        <w:t xml:space="preserve"> the (just disestablished) New Zealand Charities Commission has revived discussion of this pending the statutory review of the </w:t>
      </w:r>
      <w:r w:rsidR="007F64CC">
        <w:rPr>
          <w:i/>
        </w:rPr>
        <w:t xml:space="preserve">Charities Act 2005 </w:t>
      </w:r>
      <w:r w:rsidR="00D6063E">
        <w:t>(NZ)</w:t>
      </w:r>
      <w:r w:rsidR="007F64CC">
        <w:t>.</w:t>
      </w:r>
      <w:r w:rsidR="00D6063E">
        <w:rPr>
          <w:rStyle w:val="FootnoteReference"/>
        </w:rPr>
        <w:footnoteReference w:id="39"/>
      </w:r>
      <w:r w:rsidR="00D6063E">
        <w:t xml:space="preserve"> Canada also retains the common law definition</w:t>
      </w:r>
      <w:r>
        <w:t>, although there too it was debated</w:t>
      </w:r>
      <w:r w:rsidR="00D6063E">
        <w:t>.</w:t>
      </w:r>
      <w:r>
        <w:rPr>
          <w:rStyle w:val="FootnoteReference"/>
        </w:rPr>
        <w:footnoteReference w:id="40"/>
      </w:r>
      <w:r>
        <w:t xml:space="preserve"> </w:t>
      </w:r>
      <w:r w:rsidR="00D6063E">
        <w:t xml:space="preserve"> </w:t>
      </w:r>
    </w:p>
    <w:p w:rsidR="003257A0" w:rsidRDefault="00F96C0F" w:rsidP="00F96C0F">
      <w:r>
        <w:t>The recent spate of charity law reform across the common law world, of which definitional reform is but part,</w:t>
      </w:r>
      <w:r>
        <w:rPr>
          <w:rStyle w:val="FootnoteReference"/>
        </w:rPr>
        <w:footnoteReference w:id="41"/>
      </w:r>
      <w:r>
        <w:t xml:space="preserve"> often obscures the older origins of the definitional debate. For the purposes of visualising this, I have created a timeline (hosted on the Project’s website) marking the key moments of this debate across time and the globe. As you can see, </w:t>
      </w:r>
      <w:r w:rsidR="00775412">
        <w:t>there has been sporadic debate on the question of the definition of charity since the early 20</w:t>
      </w:r>
      <w:r w:rsidR="00775412" w:rsidRPr="008B6D99">
        <w:rPr>
          <w:vertAlign w:val="superscript"/>
        </w:rPr>
        <w:t>th</w:t>
      </w:r>
      <w:r w:rsidR="00775412">
        <w:t xml:space="preserve"> century, with particular ‘bursts’ in England in the 1950s and 1970s, and in Canada in the 1990s. </w:t>
      </w:r>
    </w:p>
    <w:p w:rsidR="0015149F" w:rsidRDefault="003257A0" w:rsidP="007A49E8">
      <w:r>
        <w:t xml:space="preserve">There is much to be gleaned from this debate, but because of time I will make here only three important points. First, the debate tells us much about that foundational question: what is (so) wrong with the definition of charity? </w:t>
      </w:r>
      <w:r w:rsidR="0015149F">
        <w:t>That question itself may presume too much. Indeed, for many decades, the majority view appeared to be that there was nothing</w:t>
      </w:r>
      <w:r w:rsidR="00BA7E1E">
        <w:t xml:space="preserve"> really wrong </w:t>
      </w:r>
      <w:r w:rsidR="0015149F">
        <w:t>with the common law definition of charity, a position taken by the UK Government as late as 1989</w:t>
      </w:r>
      <w:r w:rsidR="00BA7E1E">
        <w:t>.</w:t>
      </w:r>
      <w:r w:rsidR="0015149F">
        <w:rPr>
          <w:rStyle w:val="FootnoteReference"/>
        </w:rPr>
        <w:footnoteReference w:id="42"/>
      </w:r>
      <w:r w:rsidR="00BA7E1E">
        <w:t xml:space="preserve"> Perhaps a more unusual reading was that of the Ontario Law Reform Commission in 1996 which, in one of its final reports, suggested a ‘real’ meaning of charity that could be inferred from the case law.</w:t>
      </w:r>
      <w:r w:rsidR="00BA7E1E">
        <w:rPr>
          <w:rStyle w:val="FootnoteReference"/>
        </w:rPr>
        <w:footnoteReference w:id="43"/>
      </w:r>
      <w:r w:rsidR="0015149F">
        <w:t xml:space="preserve">  </w:t>
      </w:r>
    </w:p>
    <w:p w:rsidR="0031273D" w:rsidRDefault="007A49E8" w:rsidP="007A49E8">
      <w:r>
        <w:t xml:space="preserve">Three types of criticism can be identified. One level of criticism </w:t>
      </w:r>
      <w:r w:rsidR="005B0B39">
        <w:t xml:space="preserve">are mostly ‘formal’ arguments. These draw on legal values that are so commonly agreed upon that they begin to take on a ‘legalistic’ character—values such clarity and certainty. For many, the argument was simply that the law was too complex, too uncertain and too unclear. For some, the argument was also that there were particular parts of it—such as the so-called </w:t>
      </w:r>
      <w:r w:rsidR="005B0B39">
        <w:rPr>
          <w:i/>
        </w:rPr>
        <w:t xml:space="preserve">Compton-Oppenheim </w:t>
      </w:r>
      <w:r w:rsidR="005B0B39">
        <w:t xml:space="preserve">test of public benefit—that were unsound. </w:t>
      </w:r>
      <w:r w:rsidR="0031273D">
        <w:t>Much academic c</w:t>
      </w:r>
      <w:r w:rsidR="005B0B39">
        <w:t>ommentary falls into this camp.</w:t>
      </w:r>
      <w:r w:rsidR="005B0B39">
        <w:rPr>
          <w:rStyle w:val="FootnoteReference"/>
        </w:rPr>
        <w:footnoteReference w:id="44"/>
      </w:r>
    </w:p>
    <w:p w:rsidR="003B0F68" w:rsidRDefault="007A49E8" w:rsidP="00933C2D">
      <w:r>
        <w:t xml:space="preserve">Another </w:t>
      </w:r>
      <w:r w:rsidR="005B0B39">
        <w:t>type</w:t>
      </w:r>
      <w:r>
        <w:t xml:space="preserve"> of criticism can be thought of as ‘institutional’ criticisms. These </w:t>
      </w:r>
      <w:r w:rsidR="005B0B39">
        <w:t xml:space="preserve">criticisms are directed at the exercise of power over the definition of charity, and in particular rework the age-old debate about </w:t>
      </w:r>
      <w:r w:rsidR="0031273D">
        <w:t xml:space="preserve">the role of judges in </w:t>
      </w:r>
      <w:r w:rsidR="005B0B39">
        <w:t>making law</w:t>
      </w:r>
      <w:r w:rsidR="0031273D">
        <w:t>.</w:t>
      </w:r>
      <w:r w:rsidR="00F43677">
        <w:t xml:space="preserve"> Here the question is, who should have the power. For some, judges should not have this power because of each individual harbours  particular (and often conservative) ideological conceptions of charity, and because their role is by their nature anti-democratic. For others, judge-made law is more responsive to individual context and circumstance, </w:t>
      </w:r>
      <w:r w:rsidR="003B0F68">
        <w:t xml:space="preserve">plays a vital part in correcting democratic deficiencies, may exhibit a more sympathetic approach embedded in society, and even expresses the original genius of the common law. </w:t>
      </w:r>
      <w:r w:rsidR="00F8268E">
        <w:t>These debates recur in different contexts throughout the common law.</w:t>
      </w:r>
    </w:p>
    <w:p w:rsidR="002E3724" w:rsidRDefault="00F8268E" w:rsidP="00933C2D">
      <w:r>
        <w:t xml:space="preserve"> In the context of charity law, this debate surfaces particularly because by its nature, c</w:t>
      </w:r>
      <w:r w:rsidR="0031273D">
        <w:t>harity law thrust</w:t>
      </w:r>
      <w:r>
        <w:t>s</w:t>
      </w:r>
      <w:r w:rsidR="0031273D">
        <w:t xml:space="preserve"> judges into political </w:t>
      </w:r>
      <w:r>
        <w:t xml:space="preserve">controversies. </w:t>
      </w:r>
      <w:r w:rsidR="0031273D">
        <w:t xml:space="preserve"> For</w:t>
      </w:r>
      <w:r>
        <w:t xml:space="preserve"> example, judges have had</w:t>
      </w:r>
      <w:r w:rsidR="0031273D">
        <w:t xml:space="preserve"> to determine whether vivisection was a benefit to the public,</w:t>
      </w:r>
      <w:r w:rsidR="00800C7B">
        <w:rPr>
          <w:rStyle w:val="FootnoteReference"/>
        </w:rPr>
        <w:footnoteReference w:id="45"/>
      </w:r>
      <w:r w:rsidR="0031273D">
        <w:t xml:space="preserve"> whether Scientology was a religion,</w:t>
      </w:r>
      <w:r w:rsidR="00800C7B">
        <w:rPr>
          <w:rStyle w:val="FootnoteReference"/>
        </w:rPr>
        <w:footnoteReference w:id="46"/>
      </w:r>
      <w:r w:rsidR="0031273D">
        <w:t xml:space="preserve"> and whether Amnesty International was political.</w:t>
      </w:r>
      <w:r w:rsidR="00800C7B">
        <w:rPr>
          <w:rStyle w:val="FootnoteReference"/>
        </w:rPr>
        <w:footnoteReference w:id="47"/>
      </w:r>
      <w:r w:rsidR="00800C7B">
        <w:t xml:space="preserve"> </w:t>
      </w:r>
      <w:r>
        <w:t xml:space="preserve">The tenor of the debate has shifted as the composition of judges has become more diverse. </w:t>
      </w:r>
      <w:r w:rsidR="002E3724">
        <w:t xml:space="preserve">Whereas much of the debate in England in the 1970s focused on how out of touch judges were, charity advocates in Australia have had much reason to cheer the High Court, with its liberalising trilogy of decisions in </w:t>
      </w:r>
      <w:r w:rsidR="002E3724">
        <w:rPr>
          <w:i/>
        </w:rPr>
        <w:t>Central Bayside,</w:t>
      </w:r>
      <w:r w:rsidR="002E3724">
        <w:rPr>
          <w:rStyle w:val="FootnoteReference"/>
          <w:i/>
        </w:rPr>
        <w:footnoteReference w:id="48"/>
      </w:r>
      <w:r w:rsidR="002E3724">
        <w:rPr>
          <w:i/>
        </w:rPr>
        <w:t xml:space="preserve"> Word Investments</w:t>
      </w:r>
      <w:r w:rsidR="002E3724">
        <w:rPr>
          <w:rStyle w:val="FootnoteReference"/>
          <w:i/>
        </w:rPr>
        <w:footnoteReference w:id="49"/>
      </w:r>
      <w:r w:rsidR="002E3724">
        <w:rPr>
          <w:i/>
        </w:rPr>
        <w:t xml:space="preserve"> </w:t>
      </w:r>
      <w:r w:rsidR="002E3724">
        <w:t xml:space="preserve">and </w:t>
      </w:r>
      <w:r w:rsidR="002E3724">
        <w:rPr>
          <w:i/>
        </w:rPr>
        <w:t>Aid/Watch</w:t>
      </w:r>
      <w:r w:rsidR="002E3724">
        <w:t>.</w:t>
      </w:r>
      <w:r w:rsidR="002E3724">
        <w:rPr>
          <w:rStyle w:val="FootnoteReference"/>
        </w:rPr>
        <w:footnoteReference w:id="50"/>
      </w:r>
      <w:r w:rsidR="002E3724">
        <w:t xml:space="preserve"> </w:t>
      </w:r>
    </w:p>
    <w:p w:rsidR="00933C2D" w:rsidRPr="00A30DF2" w:rsidRDefault="002E3724" w:rsidP="00933C2D">
      <w:r>
        <w:t>Another institutional issue has been the structural factor that charities are reluctant to risk expensive litigation and, therefore, the development of charity law can seem painfully slow. It was for this reason that in England and Wales a Charity Tribunal was formed, and similar proposals have been made in Canada.</w:t>
      </w:r>
      <w:r>
        <w:rPr>
          <w:rStyle w:val="FootnoteReference"/>
        </w:rPr>
        <w:footnoteReference w:id="51"/>
      </w:r>
      <w:r>
        <w:t xml:space="preserve"> </w:t>
      </w:r>
    </w:p>
    <w:p w:rsidR="002E3724" w:rsidRDefault="002E3724" w:rsidP="00775412">
      <w:r>
        <w:t xml:space="preserve">At the base of all criticisms, however, is an underlying contest over </w:t>
      </w:r>
      <w:r w:rsidR="0031273D">
        <w:t xml:space="preserve">the scope of charity. </w:t>
      </w:r>
      <w:r w:rsidR="001C213A">
        <w:t>Those who wish to change the definition have</w:t>
      </w:r>
      <w:r>
        <w:t xml:space="preserve"> done so because they believed it was too wide—</w:t>
      </w:r>
      <w:r w:rsidR="001C213A">
        <w:t xml:space="preserve">a view </w:t>
      </w:r>
      <w:r w:rsidR="00800C7B">
        <w:t>that</w:t>
      </w:r>
      <w:r w:rsidR="001C213A">
        <w:t xml:space="preserve"> prevailed i</w:t>
      </w:r>
      <w:r>
        <w:t>n the first half of the century—</w:t>
      </w:r>
      <w:r w:rsidR="001C213A">
        <w:t xml:space="preserve">or that it is too narrow, a view that has tended to prevail in more recent times. </w:t>
      </w:r>
    </w:p>
    <w:p w:rsidR="002E3724" w:rsidRDefault="001C213A" w:rsidP="00775412">
      <w:r>
        <w:t>In earlier periods, the concern</w:t>
      </w:r>
      <w:r w:rsidR="002E3724">
        <w:t xml:space="preserve"> tended to be</w:t>
      </w:r>
      <w:r>
        <w:t xml:space="preserve"> that the legal definition of charity was much more expansive than the so-called ‘popular’ meaning of charity. </w:t>
      </w:r>
      <w:r w:rsidR="00775412">
        <w:t>For example, in 1920, the Colwyn Commission in England recommended restricting charity to those affecting people with small incomes or relieving the burden of the State, and which would include charities with the objects of saving lives, relieving the poor, or caring for the sick and aged.</w:t>
      </w:r>
      <w:r w:rsidR="00775412">
        <w:rPr>
          <w:rStyle w:val="FootnoteReference"/>
        </w:rPr>
        <w:footnoteReference w:id="52"/>
      </w:r>
      <w:r w:rsidR="00775412">
        <w:t xml:space="preserve"> </w:t>
      </w:r>
      <w:r w:rsidR="002E3724">
        <w:t>In Australia, Justice Isaacs made the same point repeatedly on the Bench:</w:t>
      </w:r>
      <w:r w:rsidR="002E3724">
        <w:rPr>
          <w:rStyle w:val="FootnoteReference"/>
        </w:rPr>
        <w:footnoteReference w:id="53"/>
      </w:r>
      <w:r w:rsidR="002E3724">
        <w:t xml:space="preserve"> </w:t>
      </w:r>
    </w:p>
    <w:p w:rsidR="002E3724" w:rsidRPr="00B11BFE" w:rsidRDefault="002E3724" w:rsidP="002E3724">
      <w:pPr>
        <w:pStyle w:val="Quote"/>
      </w:pPr>
      <w:r w:rsidRPr="00EE34E7">
        <w:t xml:space="preserve">Litigation, perhaps protracted and expensive, is inevitable unless Parliament by a few words declares whether by </w:t>
      </w:r>
      <w:r>
        <w:t>“</w:t>
      </w:r>
      <w:r w:rsidRPr="00EE34E7">
        <w:t>charitable</w:t>
      </w:r>
      <w:r>
        <w:t>”</w:t>
      </w:r>
      <w:r w:rsidRPr="00EE34E7">
        <w:t xml:space="preserve"> it means to use that word in its ordinary modern sense, or in the technical Elizabethan sense that some quaint Chancery decisions in connection with trusts have affixed to it as its primary legal meaning, extending to objects which include, as I have said, purposes quite outside what any ordinary person would understand by charitable.</w:t>
      </w:r>
      <w:r w:rsidRPr="003129E2">
        <w:rPr>
          <w:rStyle w:val="FootnoteReference"/>
        </w:rPr>
        <w:footnoteReference w:id="54"/>
      </w:r>
    </w:p>
    <w:p w:rsidR="002E3724" w:rsidRDefault="002E3724" w:rsidP="00775412"/>
    <w:p w:rsidR="00775412" w:rsidRDefault="002E3724" w:rsidP="00775412">
      <w:r>
        <w:t>This cry was ultimately the origin of the creation of that unique category of entities, the ‘public benevolent institution’.</w:t>
      </w:r>
      <w:r w:rsidR="006948AD">
        <w:rPr>
          <w:rStyle w:val="FootnoteReference"/>
        </w:rPr>
        <w:footnoteReference w:id="55"/>
      </w:r>
    </w:p>
    <w:p w:rsidR="00DD48FC" w:rsidRDefault="0031273D" w:rsidP="005B0B39">
      <w:r>
        <w:t xml:space="preserve"> A more unusual</w:t>
      </w:r>
      <w:r w:rsidR="006948AD">
        <w:t xml:space="preserve"> type of reform</w:t>
      </w:r>
      <w:r w:rsidR="00DF0015">
        <w:t xml:space="preserve"> proposal</w:t>
      </w:r>
      <w:r w:rsidR="006948AD">
        <w:t>, originally advanced by Lord Cross, was to divide the term charity by policy function: there would be one meaning for charity for tax, and another for trusts.</w:t>
      </w:r>
      <w:bookmarkStart w:id="1" w:name="_Ref286307433"/>
      <w:r w:rsidR="006948AD" w:rsidRPr="00FA0CF0">
        <w:rPr>
          <w:rStyle w:val="FootnoteReference"/>
        </w:rPr>
        <w:footnoteReference w:id="56"/>
      </w:r>
      <w:bookmarkEnd w:id="1"/>
      <w:r w:rsidR="006948AD">
        <w:t xml:space="preserve"> This </w:t>
      </w:r>
      <w:r w:rsidR="00DF0015">
        <w:t xml:space="preserve">proposal, too, assumed a narrower definition for tax purposes. </w:t>
      </w:r>
      <w:r w:rsidR="00881EDA">
        <w:t xml:space="preserve"> </w:t>
      </w:r>
    </w:p>
    <w:p w:rsidR="00DD48FC" w:rsidRDefault="00881EDA" w:rsidP="005B0B39">
      <w:r>
        <w:t>In the middle of the 20</w:t>
      </w:r>
      <w:r w:rsidRPr="00881EDA">
        <w:rPr>
          <w:vertAlign w:val="superscript"/>
        </w:rPr>
        <w:t>th</w:t>
      </w:r>
      <w:r>
        <w:t xml:space="preserve"> century, a more conservative approach sought merely to codify the common law for the purposes of increasing accessibility.</w:t>
      </w:r>
      <w:r w:rsidR="0031273D">
        <w:t xml:space="preserve"> </w:t>
      </w:r>
      <w:r w:rsidR="00DD48FC">
        <w:t>For example, the Nathan Committee in England in 1952 found that most witnesses thought the common law meaning was “about right”, b</w:t>
      </w:r>
      <w:r w:rsidR="00E87254">
        <w:t xml:space="preserve">ut considered that </w:t>
      </w:r>
      <w:r w:rsidR="00DD48FC">
        <w:t>statutory form would improve accessibility.</w:t>
      </w:r>
      <w:r w:rsidR="00DD48FC" w:rsidRPr="00FA0CF0">
        <w:rPr>
          <w:rStyle w:val="FootnoteReference"/>
        </w:rPr>
        <w:footnoteReference w:id="57"/>
      </w:r>
      <w:r w:rsidR="00DD48FC">
        <w:t xml:space="preserve"> </w:t>
      </w:r>
      <w:r w:rsidR="00E87254">
        <w:t>For some, that extended to settling particular doctrinal points.</w:t>
      </w:r>
      <w:r w:rsidR="00E87254">
        <w:rPr>
          <w:rStyle w:val="FootnoteReference"/>
        </w:rPr>
        <w:footnoteReference w:id="58"/>
      </w:r>
      <w:r>
        <w:t xml:space="preserve"> </w:t>
      </w:r>
    </w:p>
    <w:p w:rsidR="005B0B39" w:rsidRDefault="001C213A" w:rsidP="005B0B39">
      <w:r>
        <w:t xml:space="preserve">In later periods, the sector has </w:t>
      </w:r>
      <w:r w:rsidR="00E87254">
        <w:t>tended to push</w:t>
      </w:r>
      <w:r>
        <w:t xml:space="preserve"> for the meaning to be ‘modernised’</w:t>
      </w:r>
      <w:r w:rsidR="00E87254">
        <w:t>, partly as a result of the effect of progressive movements on charities as well as different approaches to ‘doing’ charity. A key player in this field has been the National Council for Voluntary Organisations in England, which instituted a series of reports on this issue from the 1970s onwards.</w:t>
      </w:r>
      <w:r w:rsidR="00E87254">
        <w:rPr>
          <w:rStyle w:val="FootnoteReference"/>
        </w:rPr>
        <w:footnoteReference w:id="59"/>
      </w:r>
      <w:r w:rsidR="00E87254">
        <w:t xml:space="preserve"> </w:t>
      </w:r>
      <w:r w:rsidR="00BA7E1E">
        <w:t>The NCVO has also been</w:t>
      </w:r>
      <w:r w:rsidR="0018084C">
        <w:t xml:space="preserve"> instrumental in elevating the discourse of public benefit</w:t>
      </w:r>
      <w:r w:rsidR="0015149F">
        <w:t xml:space="preserve"> in the debate.</w:t>
      </w:r>
      <w:r w:rsidR="0018084C">
        <w:rPr>
          <w:rStyle w:val="FootnoteReference"/>
        </w:rPr>
        <w:footnoteReference w:id="60"/>
      </w:r>
      <w:r w:rsidR="0015149F">
        <w:t xml:space="preserve"> </w:t>
      </w:r>
      <w:r w:rsidR="0018084C">
        <w:t xml:space="preserve"> </w:t>
      </w:r>
      <w:r w:rsidR="00E87254">
        <w:t xml:space="preserve"> </w:t>
      </w:r>
    </w:p>
    <w:p w:rsidR="00D00F5F" w:rsidRDefault="00BA7E1E" w:rsidP="00BA7E1E">
      <w:r>
        <w:t>In the contest over the scope of charity, we argue over our differing intuitions of charity. L</w:t>
      </w:r>
      <w:r w:rsidR="001C213A">
        <w:t xml:space="preserve">ike obscenity, we ‘know’ charity when we see it, even if we can’t define it. </w:t>
      </w:r>
      <w:r>
        <w:t>Yet there are two other ways in which charity is like obscenity. First, what is obscene to one person is not necessarily so to another. Second, our understanding of charity is highly contextual and is shaped by time and practice. Most significantly, our understanding is profoundly shaped by t</w:t>
      </w:r>
      <w:r w:rsidR="00364E72">
        <w:t xml:space="preserve">he historical shifts between the charitable sector, the </w:t>
      </w:r>
      <w:r>
        <w:t>State and the commercial sector</w:t>
      </w:r>
      <w:r w:rsidR="00364E72">
        <w:t>. For those in the pre-modern era, charity was the chief source of welfare; for those in the era of the welfare State, charity was often seen as patronising a</w:t>
      </w:r>
      <w:r w:rsidR="009923AF">
        <w:t>nd reinforcing class structures.</w:t>
      </w:r>
      <w:r>
        <w:rPr>
          <w:rStyle w:val="FootnoteReference"/>
        </w:rPr>
        <w:footnoteReference w:id="61"/>
      </w:r>
      <w:r w:rsidR="009923AF">
        <w:t xml:space="preserve"> Indeed, in this era ‘charity’ became </w:t>
      </w:r>
      <w:r>
        <w:t>almost</w:t>
      </w:r>
      <w:r w:rsidR="009923AF">
        <w:t xml:space="preserve"> a dirty word, </w:t>
      </w:r>
      <w:r>
        <w:t>with</w:t>
      </w:r>
      <w:r w:rsidR="009923AF">
        <w:t xml:space="preserve"> its connotations of relief and patronage, as well as </w:t>
      </w:r>
      <w:r>
        <w:t xml:space="preserve">its narrowness. This led in part to the </w:t>
      </w:r>
      <w:r w:rsidR="009923AF">
        <w:t xml:space="preserve">renewed emphasis on the focus of ‘public benefit’ and on broader terms such as </w:t>
      </w:r>
      <w:r w:rsidR="00BA6ED3">
        <w:t xml:space="preserve">not-for-profit sector, </w:t>
      </w:r>
      <w:r w:rsidR="009923AF">
        <w:t>civil society,</w:t>
      </w:r>
      <w:r w:rsidR="00BA6ED3">
        <w:t xml:space="preserve"> and</w:t>
      </w:r>
      <w:r w:rsidR="009923AF">
        <w:t xml:space="preserve"> the </w:t>
      </w:r>
      <w:r w:rsidR="00BA6ED3">
        <w:t>third sector</w:t>
      </w:r>
      <w:r w:rsidR="009923AF">
        <w:t xml:space="preserve">. </w:t>
      </w:r>
      <w:r w:rsidR="00BA6ED3">
        <w:t>Perhaps the last is the most ironic, for in historical terms charity was first, preceding both the free market or government in their modern senses.</w:t>
      </w:r>
    </w:p>
    <w:p w:rsidR="00D00F5F" w:rsidRDefault="00D00F5F" w:rsidP="00BA7E1E">
      <w:r>
        <w:t>Here again the Goodman Report hit the nail on the head on its very first page, where the Chair observed that the principal problem in the definition is the</w:t>
      </w:r>
    </w:p>
    <w:p w:rsidR="00D00F5F" w:rsidRDefault="00D00F5F" w:rsidP="00BA7E1E"/>
    <w:p w:rsidR="0031273D" w:rsidRDefault="00D00F5F" w:rsidP="00D00F5F">
      <w:pPr>
        <w:pStyle w:val="Quote"/>
      </w:pPr>
      <w:r>
        <w:t>dichotomy in relation to charities between those whose objects are the relief of poverty and illness and other forms of misery and deprivation and those whose objects are of a modern hedonistic nature which contribute to the quality of life. There are austere thinkers who believe that the latter category should not be charities at all but we have come down on what we hope is the side of common sense in that anything that can effectively contribute to the cause of humanity without special advantage to any individuals is in general terms eligible for consideration as a charity.</w:t>
      </w:r>
      <w:r>
        <w:rPr>
          <w:rStyle w:val="FootnoteReference"/>
        </w:rPr>
        <w:footnoteReference w:id="62"/>
      </w:r>
      <w:r>
        <w:t xml:space="preserve"> </w:t>
      </w:r>
    </w:p>
    <w:p w:rsidR="00FA017A" w:rsidRDefault="00D00F5F" w:rsidP="00AF4925">
      <w:r>
        <w:t>This succinctly goes to the heart of the two distinct, although related,</w:t>
      </w:r>
      <w:r w:rsidR="00800C7B">
        <w:t xml:space="preserve"> components of the l</w:t>
      </w:r>
      <w:r>
        <w:t>e</w:t>
      </w:r>
      <w:r w:rsidR="00800C7B">
        <w:t xml:space="preserve">gal definition </w:t>
      </w:r>
      <w:r w:rsidR="00364E72">
        <w:t xml:space="preserve">of charity. At the core of our understanding of charity, I think, is the idea of the purpose of addressing </w:t>
      </w:r>
      <w:r w:rsidR="00800C7B">
        <w:t>disadvantage</w:t>
      </w:r>
      <w:r w:rsidR="00364E72">
        <w:t>. Relieving poverty or sickness, promoting equality of participation, and promoting international development all fall squarely into this hallowed core, for which there is strong societal support. However, the legal definition of charity also encompasses other purposes that speak to the non-economic dimensions of what we might consider a ‘full life’, such as the arts, philosophy, and religion.</w:t>
      </w:r>
      <w:r w:rsidR="004B4774">
        <w:rPr>
          <w:rStyle w:val="FootnoteReference"/>
        </w:rPr>
        <w:footnoteReference w:id="63"/>
      </w:r>
      <w:r w:rsidR="00364E72">
        <w:t xml:space="preserve"> Since we naturally differ on the elements required to sustain a ‘full life’, we naturally differ on the extent to which the legal definition of charity should encompass particular </w:t>
      </w:r>
      <w:r>
        <w:t>purposes</w:t>
      </w:r>
      <w:r w:rsidR="00364E72">
        <w:t>. The secular might not support tax concessions for the religion; those who don’t like art might object to subsidising galleries</w:t>
      </w:r>
      <w:r>
        <w:t>; and those who don’t see sport as spiritually enriching baulk at including sport</w:t>
      </w:r>
      <w:r w:rsidR="00364E72">
        <w:t xml:space="preserve">. </w:t>
      </w:r>
    </w:p>
    <w:p w:rsidR="004B4774" w:rsidRDefault="00FA017A" w:rsidP="004B4774">
      <w:r>
        <w:t xml:space="preserve">Yet this picture of charity is </w:t>
      </w:r>
      <w:r w:rsidR="00364E72">
        <w:t>comp</w:t>
      </w:r>
      <w:r w:rsidR="009923AF">
        <w:t xml:space="preserve">licated by the fact that the non-economic dimensions of life turn out to be important in addressing inequality. For example, the promotion of classical music in Venezuela among the disadvantaged gave them an alternative activity, one </w:t>
      </w:r>
      <w:r w:rsidR="00800C7B">
        <w:t>that</w:t>
      </w:r>
      <w:r w:rsidR="009923AF">
        <w:t xml:space="preserve"> gave them discipline, skills and hope</w:t>
      </w:r>
      <w:r w:rsidR="003C05A6">
        <w:t>.</w:t>
      </w:r>
      <w:r w:rsidR="003C05A6">
        <w:rPr>
          <w:rStyle w:val="FootnoteReference"/>
        </w:rPr>
        <w:footnoteReference w:id="64"/>
      </w:r>
      <w:r w:rsidR="003C05A6">
        <w:t xml:space="preserve"> </w:t>
      </w:r>
      <w:r w:rsidR="004B4774">
        <w:t xml:space="preserve">For, in the end, for many of us art, religion, sport, philosophy and all those non-economic dimensions are what make life worth living. </w:t>
      </w:r>
    </w:p>
    <w:p w:rsidR="007076DA" w:rsidRDefault="00F20D69" w:rsidP="004B4774">
      <w:pPr>
        <w:pStyle w:val="Heading2"/>
      </w:pPr>
      <w:r>
        <w:t>C</w:t>
      </w:r>
      <w:r w:rsidR="007076DA">
        <w:t>ontext</w:t>
      </w:r>
      <w:r>
        <w:t xml:space="preserve"> of the Proposal</w:t>
      </w:r>
    </w:p>
    <w:p w:rsidR="00933C2D" w:rsidRDefault="00933C2D" w:rsidP="00A30DF2"/>
    <w:p w:rsidR="00933C2D" w:rsidRDefault="00933C2D" w:rsidP="00A30DF2">
      <w:r>
        <w:t xml:space="preserve">The </w:t>
      </w:r>
      <w:r w:rsidR="00800C7B">
        <w:t xml:space="preserve">present Australian Government’s proposal </w:t>
      </w:r>
      <w:r w:rsidR="002762A4">
        <w:t xml:space="preserve">should be read in light of these currents of debate. It must also be read in </w:t>
      </w:r>
      <w:r w:rsidR="00800C7B">
        <w:t>the</w:t>
      </w:r>
      <w:r>
        <w:t xml:space="preserve"> context of the Australian Government’s </w:t>
      </w:r>
      <w:r w:rsidR="002762A4">
        <w:t xml:space="preserve">broader </w:t>
      </w:r>
      <w:r>
        <w:t>not-for-profit reform agenda. While for many of you this agenda may be familiar, it is useful to briefly recap the elements and drivers of the agenda.</w:t>
      </w:r>
    </w:p>
    <w:p w:rsidR="007D0641" w:rsidRDefault="00933C2D" w:rsidP="00A30DF2">
      <w:r>
        <w:t xml:space="preserve">The </w:t>
      </w:r>
      <w:r w:rsidR="002762A4">
        <w:t xml:space="preserve">Labor </w:t>
      </w:r>
      <w:r>
        <w:t>Rudd Government came to power in 2007</w:t>
      </w:r>
      <w:r w:rsidR="002762A4">
        <w:t>, after twenty years of a Coalition government,</w:t>
      </w:r>
      <w:r>
        <w:t xml:space="preserve"> with an agenda of social inclusion that married well with an agenda of strengthening not-for-profits. Early achievements in this vein included </w:t>
      </w:r>
      <w:r w:rsidR="007D0641">
        <w:t>the signing of a National Compact between the sector and the government,</w:t>
      </w:r>
      <w:r w:rsidR="002762A4">
        <w:rPr>
          <w:rStyle w:val="FootnoteReference"/>
        </w:rPr>
        <w:footnoteReference w:id="65"/>
      </w:r>
      <w:r w:rsidR="007D0641">
        <w:t xml:space="preserve"> the establishment of an Office for the Not-for-Profit Sector in the Departmen</w:t>
      </w:r>
      <w:r w:rsidR="002762A4">
        <w:t>t of Prime Minister and Cabinet and</w:t>
      </w:r>
      <w:r w:rsidR="007D0641">
        <w:t xml:space="preserve"> the NFP Reform Council,</w:t>
      </w:r>
      <w:r w:rsidR="002762A4">
        <w:rPr>
          <w:rStyle w:val="FootnoteReference"/>
        </w:rPr>
        <w:footnoteReference w:id="66"/>
      </w:r>
      <w:r w:rsidR="007D0641">
        <w:t xml:space="preserve"> </w:t>
      </w:r>
      <w:r>
        <w:t>some harmonisation of Australian government contracts and the commissioning of the Productivity Commission to report on the sector’s contribution to Australia.</w:t>
      </w:r>
      <w:r w:rsidR="000F44BC">
        <w:rPr>
          <w:rStyle w:val="FootnoteReference"/>
        </w:rPr>
        <w:footnoteReference w:id="67"/>
      </w:r>
      <w:r>
        <w:t xml:space="preserve"> The Gillard Government, before the 2010 election, </w:t>
      </w:r>
      <w:r w:rsidR="007D0641">
        <w:t>launched an agenda that included the establishment of a national regulator for not-for-profits – the Australian Charities and Not-for-Profits Commission – as well as a statutory definition of charity.</w:t>
      </w:r>
      <w:r w:rsidR="000F44BC">
        <w:rPr>
          <w:rStyle w:val="FootnoteReference"/>
        </w:rPr>
        <w:footnoteReference w:id="68"/>
      </w:r>
      <w:r w:rsidR="007D0641">
        <w:t xml:space="preserve"> In its budget of 2010</w:t>
      </w:r>
      <w:r w:rsidR="000F44BC">
        <w:t>-2011</w:t>
      </w:r>
      <w:r w:rsidR="007D0641">
        <w:t>, it also announced an unrelated business income tax</w:t>
      </w:r>
      <w:r w:rsidR="000F44BC">
        <w:rPr>
          <w:rStyle w:val="FootnoteReference"/>
        </w:rPr>
        <w:footnoteReference w:id="69"/>
      </w:r>
      <w:r w:rsidR="007D0641">
        <w:t xml:space="preserve"> and a proposal to restrict the tax concessions for not-for-profits geographically (known as the ‘in Australia’ conditions).</w:t>
      </w:r>
      <w:r w:rsidR="000F44BC">
        <w:rPr>
          <w:rStyle w:val="FootnoteReference"/>
        </w:rPr>
        <w:footnoteReference w:id="70"/>
      </w:r>
      <w:r w:rsidR="007D0641">
        <w:t xml:space="preserve"> There are also other elements of the agenda, such as new conditions for private and public ancillary funds, and a promised review of companies limited by guarantee.</w:t>
      </w:r>
    </w:p>
    <w:p w:rsidR="007D0641" w:rsidRPr="007D0641" w:rsidRDefault="007D0641" w:rsidP="00A30DF2">
      <w:r>
        <w:t xml:space="preserve">The drivers behind this reform agenda were multiple, and not always in harmony. The not-for-profit reform agenda </w:t>
      </w:r>
      <w:r w:rsidR="000F44BC">
        <w:t>meshed</w:t>
      </w:r>
      <w:r>
        <w:t xml:space="preserve"> with the Rudd Government’s promises of a socially inclusive society that borrowed heavily from the consensus of New Left ‘Third Way’ ideology. It also fit in well with sporadic calls for increased accountability and transparency of charities</w:t>
      </w:r>
      <w:r w:rsidR="000F44BC">
        <w:t>.</w:t>
      </w:r>
      <w:r w:rsidR="000F44BC">
        <w:rPr>
          <w:rStyle w:val="FootnoteReference"/>
        </w:rPr>
        <w:footnoteReference w:id="71"/>
      </w:r>
      <w:r>
        <w:t xml:space="preserve"> </w:t>
      </w:r>
      <w:r w:rsidR="000F44BC">
        <w:t xml:space="preserve">These calls came in part from leaders of the sector, who were both aware of the sector’s vulnerability to scandals (as had happened overseas) and were also genuinely interested in professionalising the sector. </w:t>
      </w:r>
      <w:r>
        <w:t xml:space="preserve">Another key theme was the desire by the sector to reduce its regulatory burden, a theme that also sat well with the deregulatory drive of modern governments. </w:t>
      </w:r>
      <w:r w:rsidR="000F44BC">
        <w:t xml:space="preserve">The reform agenda also </w:t>
      </w:r>
      <w:r>
        <w:t xml:space="preserve">gave the government an opportunity to address the tax implications of recent High Court decisions, most notably </w:t>
      </w:r>
      <w:r>
        <w:rPr>
          <w:i/>
        </w:rPr>
        <w:t>Word Investments</w:t>
      </w:r>
      <w:r>
        <w:t>.</w:t>
      </w:r>
      <w:r w:rsidR="00800C7B">
        <w:rPr>
          <w:rStyle w:val="FootnoteReference"/>
        </w:rPr>
        <w:footnoteReference w:id="72"/>
      </w:r>
    </w:p>
    <w:p w:rsidR="007D0641" w:rsidRDefault="007D0641" w:rsidP="00A30DF2">
      <w:r>
        <w:t xml:space="preserve">In many ways, too, this reform agenda seemed ‘belated’. </w:t>
      </w:r>
      <w:r w:rsidR="00800C7B">
        <w:t xml:space="preserve">It followed </w:t>
      </w:r>
      <w:r>
        <w:t>extensive reforms and debates in comparable jurisdictions. There had also been a number of earlier reform processes</w:t>
      </w:r>
      <w:r w:rsidR="00800C7B">
        <w:t xml:space="preserve"> in Australia</w:t>
      </w:r>
      <w:r>
        <w:t>, including the Charities Definition Inquiry and other reports and inquiries, which had made numerous recommendations.</w:t>
      </w:r>
      <w:r w:rsidR="000F44BC">
        <w:rPr>
          <w:rStyle w:val="FootnoteReference"/>
        </w:rPr>
        <w:footnoteReference w:id="73"/>
      </w:r>
      <w:r>
        <w:t xml:space="preserve"> In some ways, then, the agenda may ha</w:t>
      </w:r>
      <w:r w:rsidR="000F44BC">
        <w:t>ve seemed easy enough to fulfil–</w:t>
      </w:r>
      <w:r>
        <w:t xml:space="preserve">simply adopt the earlier recommendations or overseas models, and fine-tune the details. This may account for the stringent timetable that was set </w:t>
      </w:r>
      <w:r w:rsidR="000F44BC">
        <w:t xml:space="preserve">for the agenda (approximately a year), </w:t>
      </w:r>
      <w:r>
        <w:t xml:space="preserve">although that it is </w:t>
      </w:r>
      <w:r w:rsidR="000F44BC">
        <w:t>more than likely</w:t>
      </w:r>
      <w:r>
        <w:t xml:space="preserve"> that the </w:t>
      </w:r>
      <w:r w:rsidR="003F4B38">
        <w:t xml:space="preserve">timetable </w:t>
      </w:r>
      <w:r>
        <w:t>was set with an eye to the volatile fortunes of the governing ALP minority coalition.</w:t>
      </w:r>
    </w:p>
    <w:p w:rsidR="00A30DF2" w:rsidRPr="00A30DF2" w:rsidRDefault="003F4B38" w:rsidP="00B0180D">
      <w:r>
        <w:t xml:space="preserve">Perhaps not surprisingly, that timetable has proved </w:t>
      </w:r>
      <w:r w:rsidR="00B269A9">
        <w:t xml:space="preserve">optimistic. </w:t>
      </w:r>
      <w:r w:rsidR="00427B09">
        <w:t xml:space="preserve">Agenda items that had been largely supported by the sector, in particular the establishment of </w:t>
      </w:r>
      <w:r>
        <w:t>the ACNC</w:t>
      </w:r>
      <w:r w:rsidR="00427B09">
        <w:t xml:space="preserve"> and a statutory definition of charity, have become entangled with </w:t>
      </w:r>
      <w:r>
        <w:t>more controversial tax measures</w:t>
      </w:r>
      <w:r w:rsidR="00427B09">
        <w:t>. Not-for-profits have increasingly come to feel they are facing a dilemma: the tension between the desire to do reform right (slowly) and the desire to ensure reform</w:t>
      </w:r>
      <w:r>
        <w:t xml:space="preserve"> is done at all</w:t>
      </w:r>
      <w:r w:rsidR="00427B09">
        <w:t>.</w:t>
      </w:r>
    </w:p>
    <w:p w:rsidR="00A30DF2" w:rsidRPr="00A30DF2" w:rsidRDefault="00A8280B" w:rsidP="00427B09">
      <w:pPr>
        <w:pStyle w:val="Heading2"/>
      </w:pPr>
      <w:r>
        <w:t>The Consultation Paper</w:t>
      </w:r>
    </w:p>
    <w:p w:rsidR="00A30DF2" w:rsidRPr="00A30DF2" w:rsidRDefault="00A30DF2" w:rsidP="00A30DF2"/>
    <w:p w:rsidR="00195E7F" w:rsidRDefault="00B0180D" w:rsidP="00195E7F">
      <w:r>
        <w:t xml:space="preserve">The </w:t>
      </w:r>
      <w:r w:rsidR="00EC7083">
        <w:t xml:space="preserve">promised </w:t>
      </w:r>
      <w:r>
        <w:t xml:space="preserve">proposal for a statutory definition manifested itself publicly in </w:t>
      </w:r>
      <w:r w:rsidR="00800C7B">
        <w:t>a consultation paper of 28 October 2011</w:t>
      </w:r>
      <w:r w:rsidR="00195E7F">
        <w:t>.</w:t>
      </w:r>
      <w:r w:rsidR="00800C7B">
        <w:rPr>
          <w:rStyle w:val="FootnoteReference"/>
        </w:rPr>
        <w:footnoteReference w:id="74"/>
      </w:r>
      <w:r w:rsidR="00D65D2C">
        <w:t xml:space="preserve"> </w:t>
      </w:r>
      <w:r w:rsidR="00195E7F">
        <w:t>The Paper set out several</w:t>
      </w:r>
      <w:r w:rsidR="00EC7083">
        <w:t xml:space="preserve"> standard</w:t>
      </w:r>
      <w:r w:rsidR="00195E7F">
        <w:t xml:space="preserve"> justifications for introducing a statutory definition: to improve the clarity of the law;</w:t>
      </w:r>
      <w:r w:rsidR="00195E7F">
        <w:rPr>
          <w:rStyle w:val="FootnoteReference"/>
        </w:rPr>
        <w:footnoteReference w:id="75"/>
      </w:r>
      <w:r w:rsidR="00195E7F">
        <w:t xml:space="preserve"> to increase certainty for charities;</w:t>
      </w:r>
      <w:r w:rsidR="00195E7F">
        <w:rPr>
          <w:rStyle w:val="FootnoteReference"/>
        </w:rPr>
        <w:footnoteReference w:id="76"/>
      </w:r>
      <w:r w:rsidR="00195E7F">
        <w:t xml:space="preserve"> and to </w:t>
      </w:r>
      <w:r w:rsidR="00EC7083">
        <w:t>modernise</w:t>
      </w:r>
      <w:r w:rsidR="00195E7F">
        <w:t xml:space="preserve"> the law.</w:t>
      </w:r>
      <w:r w:rsidR="00195E7F">
        <w:rPr>
          <w:rStyle w:val="FootnoteReference"/>
        </w:rPr>
        <w:footnoteReference w:id="77"/>
      </w:r>
      <w:r w:rsidR="00195E7F">
        <w:t xml:space="preserve">  </w:t>
      </w:r>
    </w:p>
    <w:p w:rsidR="00EB1E7C" w:rsidRDefault="00195E7F" w:rsidP="005611B5">
      <w:r>
        <w:t xml:space="preserve">The Paper </w:t>
      </w:r>
      <w:r w:rsidR="00D65D2C">
        <w:t>originally proposed an Exposure Draft in the first half of 2012 and a statutory definition to commence from 1 July 2013,</w:t>
      </w:r>
      <w:r w:rsidR="00D65D2C">
        <w:rPr>
          <w:rStyle w:val="FootnoteReference"/>
        </w:rPr>
        <w:footnoteReference w:id="78"/>
      </w:r>
      <w:r w:rsidR="00D65D2C">
        <w:t xml:space="preserve"> a year after the original expected date of commencement of the ACNC. </w:t>
      </w:r>
      <w:r w:rsidR="00800C7B">
        <w:t>However, the mooted Exposure Draft</w:t>
      </w:r>
      <w:r w:rsidR="005611B5">
        <w:t xml:space="preserve"> has been delayed until ‘later 2012’ as priority has been, naturally, placed on the establishment of the ACNC. </w:t>
      </w:r>
    </w:p>
    <w:p w:rsidR="00CE3690" w:rsidRDefault="001A5EA7" w:rsidP="005611B5">
      <w:r>
        <w:t>The Paper</w:t>
      </w:r>
      <w:r w:rsidR="00CE3690">
        <w:t>’s discussion can be summarised briefly as follows:</w:t>
      </w:r>
    </w:p>
    <w:tbl>
      <w:tblPr>
        <w:tblStyle w:val="TableGrid"/>
        <w:tblW w:w="0" w:type="auto"/>
        <w:tblBorders>
          <w:top w:val="single" w:sz="12" w:space="0" w:color="000000"/>
          <w:left w:val="nil"/>
          <w:bottom w:val="single" w:sz="12" w:space="0" w:color="000000"/>
          <w:right w:val="nil"/>
          <w:insideH w:val="nil"/>
          <w:insideV w:val="nil"/>
        </w:tblBorders>
        <w:tblLook w:val="00BF"/>
      </w:tblPr>
      <w:tblGrid>
        <w:gridCol w:w="2195"/>
        <w:gridCol w:w="1032"/>
        <w:gridCol w:w="6009"/>
      </w:tblGrid>
      <w:tr w:rsidR="00260C93" w:rsidRPr="00260C93">
        <w:tc>
          <w:tcPr>
            <w:tcW w:w="2195" w:type="dxa"/>
            <w:tcBorders>
              <w:bottom w:val="single" w:sz="6" w:space="0" w:color="000000"/>
            </w:tcBorders>
            <w:shd w:val="solid" w:color="800080" w:fill="FFFFFF"/>
          </w:tcPr>
          <w:p w:rsidR="00260C93" w:rsidRPr="00260C93" w:rsidRDefault="00260C93" w:rsidP="00EC7083">
            <w:pPr>
              <w:pageBreakBefore/>
              <w:ind w:firstLine="0"/>
              <w:rPr>
                <w:b/>
                <w:color w:val="FFFFFF"/>
              </w:rPr>
            </w:pPr>
            <w:r w:rsidRPr="00260C93">
              <w:rPr>
                <w:b/>
                <w:color w:val="FFFFFF"/>
              </w:rPr>
              <w:t>Issue</w:t>
            </w:r>
          </w:p>
        </w:tc>
        <w:tc>
          <w:tcPr>
            <w:tcW w:w="1032" w:type="dxa"/>
            <w:tcBorders>
              <w:bottom w:val="single" w:sz="6" w:space="0" w:color="000000"/>
            </w:tcBorders>
            <w:shd w:val="solid" w:color="800080" w:fill="FFFFFF"/>
          </w:tcPr>
          <w:p w:rsidR="00260C93" w:rsidRPr="00260C93" w:rsidRDefault="00260C93" w:rsidP="00EC7083">
            <w:pPr>
              <w:pageBreakBefore/>
              <w:ind w:firstLine="0"/>
              <w:rPr>
                <w:color w:val="FFFFFF"/>
              </w:rPr>
            </w:pPr>
            <w:r>
              <w:rPr>
                <w:color w:val="FFFFFF"/>
              </w:rPr>
              <w:t>Para</w:t>
            </w:r>
            <w:r w:rsidRPr="00260C93">
              <w:rPr>
                <w:color w:val="FFFFFF"/>
              </w:rPr>
              <w:t>s</w:t>
            </w:r>
          </w:p>
        </w:tc>
        <w:tc>
          <w:tcPr>
            <w:tcW w:w="6009" w:type="dxa"/>
            <w:tcBorders>
              <w:bottom w:val="single" w:sz="6" w:space="0" w:color="000000"/>
            </w:tcBorders>
            <w:shd w:val="solid" w:color="800080" w:fill="FFFFFF"/>
          </w:tcPr>
          <w:p w:rsidR="00260C93" w:rsidRPr="00260C93" w:rsidRDefault="00260C93" w:rsidP="00EC7083">
            <w:pPr>
              <w:pageBreakBefore/>
              <w:ind w:firstLine="0"/>
              <w:rPr>
                <w:color w:val="FFFFFF"/>
              </w:rPr>
            </w:pPr>
            <w:r w:rsidRPr="00260C93">
              <w:rPr>
                <w:color w:val="FFFFFF"/>
              </w:rPr>
              <w:t>Suggestions</w:t>
            </w:r>
          </w:p>
        </w:tc>
      </w:tr>
      <w:tr w:rsidR="00260C93" w:rsidRPr="00260C93">
        <w:tc>
          <w:tcPr>
            <w:tcW w:w="2195" w:type="dxa"/>
            <w:tcBorders>
              <w:top w:val="single" w:sz="6" w:space="0" w:color="000000"/>
            </w:tcBorders>
            <w:shd w:val="solid" w:color="C0C0C0" w:fill="FFFFFF"/>
          </w:tcPr>
          <w:p w:rsidR="00260C93" w:rsidRPr="00260C93" w:rsidRDefault="00260C93" w:rsidP="00260C93">
            <w:pPr>
              <w:ind w:firstLine="0"/>
              <w:rPr>
                <w:b/>
              </w:rPr>
            </w:pPr>
            <w:r>
              <w:rPr>
                <w:b/>
              </w:rPr>
              <w:t>‘N</w:t>
            </w:r>
            <w:r w:rsidRPr="00260C93">
              <w:rPr>
                <w:b/>
              </w:rPr>
              <w:t xml:space="preserve">ot-for-profit’ </w:t>
            </w:r>
          </w:p>
        </w:tc>
        <w:tc>
          <w:tcPr>
            <w:tcW w:w="1032" w:type="dxa"/>
            <w:tcBorders>
              <w:top w:val="single" w:sz="6" w:space="0" w:color="000000"/>
            </w:tcBorders>
            <w:shd w:val="clear" w:color="auto" w:fill="auto"/>
          </w:tcPr>
          <w:p w:rsidR="00260C93" w:rsidRPr="00260C93" w:rsidRDefault="00260C93" w:rsidP="005611B5">
            <w:pPr>
              <w:ind w:firstLine="0"/>
            </w:pPr>
            <w:r w:rsidRPr="00260C93">
              <w:t>47-50</w:t>
            </w:r>
          </w:p>
        </w:tc>
        <w:tc>
          <w:tcPr>
            <w:tcW w:w="6009" w:type="dxa"/>
            <w:tcBorders>
              <w:top w:val="single" w:sz="6" w:space="0" w:color="000000"/>
            </w:tcBorders>
            <w:shd w:val="clear" w:color="auto" w:fill="auto"/>
          </w:tcPr>
          <w:p w:rsidR="00260C93" w:rsidRPr="00260C93" w:rsidRDefault="00260C93" w:rsidP="005611B5">
            <w:pPr>
              <w:ind w:firstLine="0"/>
            </w:pPr>
            <w:r w:rsidRPr="00260C93">
              <w:t>Referred to parallel consultation on this in ‘in Australia’ process</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Dominant charitable purpose </w:t>
            </w:r>
          </w:p>
        </w:tc>
        <w:tc>
          <w:tcPr>
            <w:tcW w:w="1032" w:type="dxa"/>
            <w:shd w:val="clear" w:color="auto" w:fill="auto"/>
          </w:tcPr>
          <w:p w:rsidR="00260C93" w:rsidRPr="00260C93" w:rsidRDefault="00260C93" w:rsidP="005611B5">
            <w:pPr>
              <w:ind w:firstLine="0"/>
            </w:pPr>
            <w:r w:rsidRPr="00260C93">
              <w:t>51-56</w:t>
            </w:r>
          </w:p>
        </w:tc>
        <w:tc>
          <w:tcPr>
            <w:tcW w:w="6009" w:type="dxa"/>
            <w:shd w:val="clear" w:color="auto" w:fill="auto"/>
          </w:tcPr>
          <w:p w:rsidR="00260C93" w:rsidRPr="00260C93" w:rsidRDefault="00260C93" w:rsidP="005611B5">
            <w:pPr>
              <w:ind w:firstLine="0"/>
            </w:pPr>
            <w:r w:rsidRPr="00260C93">
              <w:t>Replace with ‘exclusively charitable’ or similar</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Peak bodies </w:t>
            </w:r>
          </w:p>
        </w:tc>
        <w:tc>
          <w:tcPr>
            <w:tcW w:w="1032" w:type="dxa"/>
            <w:shd w:val="clear" w:color="auto" w:fill="auto"/>
          </w:tcPr>
          <w:p w:rsidR="00260C93" w:rsidRPr="00260C93" w:rsidRDefault="00260C93" w:rsidP="005611B5">
            <w:pPr>
              <w:ind w:firstLine="0"/>
            </w:pPr>
            <w:r w:rsidRPr="00260C93">
              <w:t>57</w:t>
            </w:r>
          </w:p>
        </w:tc>
        <w:tc>
          <w:tcPr>
            <w:tcW w:w="6009" w:type="dxa"/>
            <w:shd w:val="clear" w:color="auto" w:fill="auto"/>
          </w:tcPr>
          <w:p w:rsidR="00260C93" w:rsidRPr="00260C93" w:rsidRDefault="00260C93" w:rsidP="005611B5">
            <w:pPr>
              <w:ind w:firstLine="0"/>
            </w:pPr>
            <w:r w:rsidRPr="00260C93">
              <w:t>Suggestion that adequately clarified by tribunal decision in NSW</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Public benefit </w:t>
            </w:r>
          </w:p>
        </w:tc>
        <w:tc>
          <w:tcPr>
            <w:tcW w:w="1032" w:type="dxa"/>
            <w:shd w:val="clear" w:color="auto" w:fill="auto"/>
          </w:tcPr>
          <w:p w:rsidR="00260C93" w:rsidRPr="00260C93" w:rsidRDefault="00260C93" w:rsidP="005611B5">
            <w:pPr>
              <w:ind w:firstLine="0"/>
            </w:pPr>
            <w:r w:rsidRPr="00260C93">
              <w:t>58-76</w:t>
            </w:r>
          </w:p>
        </w:tc>
        <w:tc>
          <w:tcPr>
            <w:tcW w:w="6009" w:type="dxa"/>
            <w:shd w:val="clear" w:color="auto" w:fill="auto"/>
          </w:tcPr>
          <w:p w:rsidR="00260C93" w:rsidRPr="00260C93" w:rsidRDefault="00260C93" w:rsidP="005611B5">
            <w:pPr>
              <w:ind w:firstLine="0"/>
            </w:pPr>
            <w:r w:rsidRPr="00260C93">
              <w:t>Statutory clarification of ‘public benefit’ or ‘public’ and ‘benefit’, overriding ‘poor relatives’ case law, change to allow familial ties in case of Indigenous</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Presumption of public benefit </w:t>
            </w:r>
          </w:p>
        </w:tc>
        <w:tc>
          <w:tcPr>
            <w:tcW w:w="1032" w:type="dxa"/>
            <w:shd w:val="clear" w:color="auto" w:fill="auto"/>
          </w:tcPr>
          <w:p w:rsidR="00260C93" w:rsidRPr="00260C93" w:rsidRDefault="00260C93" w:rsidP="005611B5">
            <w:pPr>
              <w:ind w:firstLine="0"/>
            </w:pPr>
            <w:r w:rsidRPr="00260C93">
              <w:t>78-87</w:t>
            </w:r>
          </w:p>
        </w:tc>
        <w:tc>
          <w:tcPr>
            <w:tcW w:w="6009" w:type="dxa"/>
            <w:shd w:val="clear" w:color="auto" w:fill="auto"/>
          </w:tcPr>
          <w:p w:rsidR="00260C93" w:rsidRPr="00260C93" w:rsidRDefault="00260C93" w:rsidP="005611B5">
            <w:pPr>
              <w:ind w:firstLine="0"/>
            </w:pPr>
            <w:r w:rsidRPr="00260C93">
              <w:t>Removal of the presumption of public benefit</w:t>
            </w:r>
          </w:p>
        </w:tc>
      </w:tr>
      <w:tr w:rsidR="00260C93" w:rsidRPr="00260C93">
        <w:tc>
          <w:tcPr>
            <w:tcW w:w="2195" w:type="dxa"/>
            <w:shd w:val="solid" w:color="C0C0C0" w:fill="FFFFFF"/>
          </w:tcPr>
          <w:p w:rsidR="00260C93" w:rsidRPr="00260C93" w:rsidRDefault="00260C93" w:rsidP="00260C93">
            <w:pPr>
              <w:ind w:firstLine="0"/>
              <w:rPr>
                <w:b/>
              </w:rPr>
            </w:pPr>
            <w:r w:rsidRPr="00260C93">
              <w:rPr>
                <w:b/>
              </w:rPr>
              <w:t>Religion</w:t>
            </w:r>
          </w:p>
        </w:tc>
        <w:tc>
          <w:tcPr>
            <w:tcW w:w="1032" w:type="dxa"/>
            <w:shd w:val="clear" w:color="auto" w:fill="auto"/>
          </w:tcPr>
          <w:p w:rsidR="00260C93" w:rsidRPr="00260C93" w:rsidRDefault="00260C93" w:rsidP="004E29A6">
            <w:pPr>
              <w:ind w:firstLine="0"/>
            </w:pPr>
            <w:r w:rsidRPr="00260C93">
              <w:t>88-92</w:t>
            </w:r>
          </w:p>
        </w:tc>
        <w:tc>
          <w:tcPr>
            <w:tcW w:w="6009" w:type="dxa"/>
            <w:shd w:val="clear" w:color="auto" w:fill="auto"/>
          </w:tcPr>
          <w:p w:rsidR="00260C93" w:rsidRPr="00260C93" w:rsidRDefault="00260C93" w:rsidP="004E29A6">
            <w:pPr>
              <w:ind w:firstLine="0"/>
            </w:pPr>
            <w:r w:rsidRPr="00260C93">
              <w:t>Statutory definition of religion base</w:t>
            </w:r>
            <w:r w:rsidR="00A8280B">
              <w:t>d</w:t>
            </w:r>
            <w:r w:rsidRPr="00260C93">
              <w:t xml:space="preserve"> on common law (Church of New Faith)</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Political advocacy </w:t>
            </w:r>
          </w:p>
        </w:tc>
        <w:tc>
          <w:tcPr>
            <w:tcW w:w="1032" w:type="dxa"/>
            <w:shd w:val="clear" w:color="auto" w:fill="auto"/>
          </w:tcPr>
          <w:p w:rsidR="00260C93" w:rsidRPr="00260C93" w:rsidRDefault="00260C93" w:rsidP="005611B5">
            <w:pPr>
              <w:ind w:firstLine="0"/>
            </w:pPr>
            <w:r w:rsidRPr="00260C93">
              <w:t>103-113</w:t>
            </w:r>
          </w:p>
        </w:tc>
        <w:tc>
          <w:tcPr>
            <w:tcW w:w="6009" w:type="dxa"/>
            <w:shd w:val="clear" w:color="auto" w:fill="auto"/>
          </w:tcPr>
          <w:p w:rsidR="00260C93" w:rsidRPr="00260C93" w:rsidRDefault="00260C93" w:rsidP="005611B5">
            <w:pPr>
              <w:ind w:firstLine="0"/>
            </w:pPr>
            <w:r w:rsidRPr="00260C93">
              <w:t>Removal of attempting to change the law or policy from ‘disqualifying activities’; clarification of requirement that political advocacy would still need to relate to existing charitable purposes; definition of political activities; specific exclusion of party political activities; addition of ‘political’ to cause</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Illegal activities </w:t>
            </w:r>
          </w:p>
        </w:tc>
        <w:tc>
          <w:tcPr>
            <w:tcW w:w="1032" w:type="dxa"/>
            <w:shd w:val="clear" w:color="auto" w:fill="auto"/>
          </w:tcPr>
          <w:p w:rsidR="00260C93" w:rsidRPr="00260C93" w:rsidRDefault="00260C93" w:rsidP="005611B5">
            <w:pPr>
              <w:ind w:firstLine="0"/>
            </w:pPr>
            <w:r w:rsidRPr="00260C93">
              <w:t>115-116</w:t>
            </w:r>
          </w:p>
        </w:tc>
        <w:tc>
          <w:tcPr>
            <w:tcW w:w="6009" w:type="dxa"/>
            <w:shd w:val="clear" w:color="auto" w:fill="auto"/>
          </w:tcPr>
          <w:p w:rsidR="00260C93" w:rsidRPr="00260C93" w:rsidRDefault="00260C93" w:rsidP="005611B5">
            <w:pPr>
              <w:ind w:firstLine="0"/>
            </w:pPr>
            <w:r w:rsidRPr="00260C93">
              <w:t>Make illegal activities disqualifying activity rather than core element</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Type of entity </w:t>
            </w:r>
          </w:p>
        </w:tc>
        <w:tc>
          <w:tcPr>
            <w:tcW w:w="1032" w:type="dxa"/>
            <w:shd w:val="clear" w:color="auto" w:fill="auto"/>
          </w:tcPr>
          <w:p w:rsidR="00260C93" w:rsidRPr="00260C93" w:rsidRDefault="00260C93" w:rsidP="005611B5">
            <w:pPr>
              <w:ind w:firstLine="0"/>
            </w:pPr>
            <w:r w:rsidRPr="00260C93">
              <w:t>118-123</w:t>
            </w:r>
          </w:p>
        </w:tc>
        <w:tc>
          <w:tcPr>
            <w:tcW w:w="6009" w:type="dxa"/>
            <w:shd w:val="clear" w:color="auto" w:fill="auto"/>
          </w:tcPr>
          <w:p w:rsidR="00260C93" w:rsidRPr="00260C93" w:rsidRDefault="00260C93" w:rsidP="005611B5">
            <w:pPr>
              <w:ind w:firstLine="0"/>
            </w:pPr>
            <w:r w:rsidRPr="00260C93">
              <w:t>Definition of ‘government body’ to include local government; clarification of ‘partnership’</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Charitable purposes </w:t>
            </w:r>
          </w:p>
        </w:tc>
        <w:tc>
          <w:tcPr>
            <w:tcW w:w="1032" w:type="dxa"/>
            <w:shd w:val="clear" w:color="auto" w:fill="auto"/>
          </w:tcPr>
          <w:p w:rsidR="00260C93" w:rsidRPr="00260C93" w:rsidRDefault="00260C93" w:rsidP="005611B5">
            <w:pPr>
              <w:ind w:firstLine="0"/>
            </w:pPr>
            <w:r w:rsidRPr="00260C93">
              <w:t>124-135</w:t>
            </w:r>
          </w:p>
        </w:tc>
        <w:tc>
          <w:tcPr>
            <w:tcW w:w="6009" w:type="dxa"/>
            <w:shd w:val="clear" w:color="auto" w:fill="auto"/>
          </w:tcPr>
          <w:p w:rsidR="00260C93" w:rsidRPr="00260C93" w:rsidRDefault="00260C93" w:rsidP="005611B5">
            <w:pPr>
              <w:ind w:firstLine="0"/>
            </w:pPr>
            <w:r w:rsidRPr="00260C93">
              <w:t>Clarification of ‘advancement’; exclusion of sport and recreation; different ways of listing purposes</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Harmonisation with States or Territories </w:t>
            </w:r>
          </w:p>
        </w:tc>
        <w:tc>
          <w:tcPr>
            <w:tcW w:w="1032" w:type="dxa"/>
            <w:shd w:val="clear" w:color="auto" w:fill="auto"/>
          </w:tcPr>
          <w:p w:rsidR="00260C93" w:rsidRPr="00260C93" w:rsidRDefault="00260C93" w:rsidP="005611B5">
            <w:pPr>
              <w:ind w:firstLine="0"/>
            </w:pPr>
            <w:r w:rsidRPr="00260C93">
              <w:t>136-143</w:t>
            </w:r>
          </w:p>
        </w:tc>
        <w:tc>
          <w:tcPr>
            <w:tcW w:w="6009" w:type="dxa"/>
            <w:shd w:val="clear" w:color="auto" w:fill="auto"/>
          </w:tcPr>
          <w:p w:rsidR="00260C93" w:rsidRPr="00260C93" w:rsidRDefault="00260C93" w:rsidP="005611B5">
            <w:pPr>
              <w:ind w:firstLine="0"/>
            </w:pPr>
            <w:r w:rsidRPr="00260C93">
              <w:t>Single statutory definition for all purposes; narrowing down from charity to subsets; inclusion of sport or recreation; mixed charitable/non-charitable trusts</w:t>
            </w:r>
          </w:p>
        </w:tc>
      </w:tr>
      <w:tr w:rsidR="00260C93" w:rsidRPr="00260C93">
        <w:tc>
          <w:tcPr>
            <w:tcW w:w="2195" w:type="dxa"/>
            <w:shd w:val="solid" w:color="C0C0C0" w:fill="FFFFFF"/>
          </w:tcPr>
          <w:p w:rsidR="00260C93" w:rsidRPr="00260C93" w:rsidRDefault="00260C93" w:rsidP="00260C93">
            <w:pPr>
              <w:ind w:firstLine="0"/>
              <w:rPr>
                <w:b/>
              </w:rPr>
            </w:pPr>
            <w:r w:rsidRPr="00260C93">
              <w:rPr>
                <w:b/>
              </w:rPr>
              <w:t xml:space="preserve">Australian disaster relief funds </w:t>
            </w:r>
          </w:p>
        </w:tc>
        <w:tc>
          <w:tcPr>
            <w:tcW w:w="1032" w:type="dxa"/>
            <w:shd w:val="clear" w:color="auto" w:fill="auto"/>
          </w:tcPr>
          <w:p w:rsidR="00260C93" w:rsidRPr="00260C93" w:rsidRDefault="00260C93" w:rsidP="005611B5">
            <w:pPr>
              <w:ind w:firstLine="0"/>
            </w:pPr>
            <w:r w:rsidRPr="00260C93">
              <w:t>145-152</w:t>
            </w:r>
          </w:p>
        </w:tc>
        <w:tc>
          <w:tcPr>
            <w:tcW w:w="6009" w:type="dxa"/>
            <w:shd w:val="clear" w:color="auto" w:fill="auto"/>
          </w:tcPr>
          <w:p w:rsidR="00260C93" w:rsidRPr="00260C93" w:rsidRDefault="00260C93" w:rsidP="005611B5">
            <w:pPr>
              <w:ind w:firstLine="0"/>
            </w:pPr>
            <w:r w:rsidRPr="00260C93">
              <w:t>Definition of charity to be used for ADRFs</w:t>
            </w:r>
          </w:p>
        </w:tc>
      </w:tr>
      <w:tr w:rsidR="00260C93" w:rsidRPr="00260C93">
        <w:tc>
          <w:tcPr>
            <w:tcW w:w="2195" w:type="dxa"/>
            <w:shd w:val="solid" w:color="C0C0C0" w:fill="FFFFFF"/>
          </w:tcPr>
          <w:p w:rsidR="00260C93" w:rsidRPr="00260C93" w:rsidRDefault="00260C93" w:rsidP="005611B5">
            <w:pPr>
              <w:ind w:firstLine="0"/>
              <w:rPr>
                <w:b/>
              </w:rPr>
            </w:pPr>
            <w:r w:rsidRPr="00260C93">
              <w:rPr>
                <w:b/>
              </w:rPr>
              <w:t xml:space="preserve">Transitional </w:t>
            </w:r>
          </w:p>
        </w:tc>
        <w:tc>
          <w:tcPr>
            <w:tcW w:w="1032" w:type="dxa"/>
            <w:shd w:val="clear" w:color="auto" w:fill="auto"/>
          </w:tcPr>
          <w:p w:rsidR="00260C93" w:rsidRPr="00260C93" w:rsidRDefault="00260C93" w:rsidP="005611B5">
            <w:pPr>
              <w:ind w:firstLine="0"/>
            </w:pPr>
            <w:r w:rsidRPr="00260C93">
              <w:t>153-154</w:t>
            </w:r>
          </w:p>
        </w:tc>
        <w:tc>
          <w:tcPr>
            <w:tcW w:w="6009" w:type="dxa"/>
            <w:shd w:val="clear" w:color="auto" w:fill="auto"/>
          </w:tcPr>
          <w:p w:rsidR="00260C93" w:rsidRPr="00260C93" w:rsidRDefault="00260C93" w:rsidP="005611B5">
            <w:pPr>
              <w:ind w:firstLine="0"/>
            </w:pPr>
            <w:r w:rsidRPr="00260C93">
              <w:t>Existing charities to self-assess eligibility</w:t>
            </w:r>
          </w:p>
        </w:tc>
      </w:tr>
    </w:tbl>
    <w:p w:rsidR="00CE3690" w:rsidRDefault="00CE3690" w:rsidP="005611B5"/>
    <w:p w:rsidR="000C6A45" w:rsidRDefault="00A8280B" w:rsidP="00067390">
      <w:r>
        <w:t xml:space="preserve">The Consultation Paper, like most such papers, was far from perfect. </w:t>
      </w:r>
      <w:r w:rsidR="000C6A45">
        <w:t xml:space="preserve">There were, to be sure, some welcome indications. Importantly, it was not intended to change the outcome of </w:t>
      </w:r>
      <w:r w:rsidR="000C6A45">
        <w:rPr>
          <w:i/>
        </w:rPr>
        <w:t>Aid/Watch</w:t>
      </w:r>
      <w:r w:rsidR="000C6A45">
        <w:t xml:space="preserve">. There were some useful suggestions, such as ensuring charitable status was available to Indigenous groups. </w:t>
      </w:r>
    </w:p>
    <w:p w:rsidR="00067390" w:rsidRDefault="000C6A45" w:rsidP="00067390">
      <w:r>
        <w:t xml:space="preserve">However, there were also some significant issues. </w:t>
      </w:r>
      <w:r w:rsidR="00067390">
        <w:t>To begin with, the Paper was expressly based on the 2003 Exposure Draft and the further inquiry into that Draft, as well as legislative developments overseas and judicial developments in Australia.</w:t>
      </w:r>
      <w:r w:rsidR="00067390">
        <w:rPr>
          <w:rStyle w:val="FootnoteReference"/>
        </w:rPr>
        <w:footnoteReference w:id="79"/>
      </w:r>
      <w:r w:rsidR="00067390">
        <w:t xml:space="preserve"> This itself set off alarm b</w:t>
      </w:r>
      <w:r w:rsidR="00EC7083">
        <w:t>ells for some</w:t>
      </w:r>
      <w:r w:rsidR="00067390">
        <w:t xml:space="preserve">. </w:t>
      </w:r>
    </w:p>
    <w:p w:rsidR="000C6A45" w:rsidRDefault="00EC7083" w:rsidP="005611B5">
      <w:r>
        <w:t>There were also s</w:t>
      </w:r>
      <w:r w:rsidR="00A8280B">
        <w:t xml:space="preserve">ome </w:t>
      </w:r>
      <w:r>
        <w:t>confused passages that reflected an imperfect grasp of charity law. These included a failure to recognise</w:t>
      </w:r>
      <w:r w:rsidR="00A8280B">
        <w:t xml:space="preserve"> the equivalency between the ‘dominant’ charitable purpose and ‘exclusively cha</w:t>
      </w:r>
      <w:r>
        <w:t xml:space="preserve">ritable’ purpose test; a mistaken understanding of the </w:t>
      </w:r>
      <w:r w:rsidR="00A8280B">
        <w:t>role of activities in determining charitable purposes;</w:t>
      </w:r>
      <w:r>
        <w:t xml:space="preserve"> the assumption that </w:t>
      </w:r>
      <w:r w:rsidR="000C6A45">
        <w:t xml:space="preserve">the removal of the presumption of public benefit </w:t>
      </w:r>
      <w:r>
        <w:t>was ‘best practice’</w:t>
      </w:r>
      <w:r w:rsidR="000C6A45">
        <w:t>;</w:t>
      </w:r>
      <w:r w:rsidR="00A8280B">
        <w:t xml:space="preserve"> and its understanding of the implications of the </w:t>
      </w:r>
      <w:r w:rsidR="00A8280B">
        <w:rPr>
          <w:i/>
        </w:rPr>
        <w:t xml:space="preserve">Aid/Watch </w:t>
      </w:r>
      <w:r w:rsidR="00A8280B">
        <w:t>decision (which, to be fair, is difficult even for charity lawyers). It also assumed that a single statutory definition of charity would serve all the different policy contexts equally.</w:t>
      </w:r>
      <w:r w:rsidR="000C6A45">
        <w:t xml:space="preserve"> It did not detail the extensions made in the statutory lists of charitable purposes overseas.</w:t>
      </w:r>
      <w:r w:rsidR="00A8280B">
        <w:t xml:space="preserve"> Rather interestingly, it made no proposal in relation to the </w:t>
      </w:r>
      <w:r w:rsidR="00A8280B">
        <w:rPr>
          <w:i/>
        </w:rPr>
        <w:t>Word Investments</w:t>
      </w:r>
      <w:r w:rsidR="00A8280B">
        <w:t xml:space="preserve"> decision on the relationship between commercial ac</w:t>
      </w:r>
      <w:r w:rsidR="000C6A45">
        <w:t xml:space="preserve">tivities and charitable status. </w:t>
      </w:r>
      <w:r w:rsidR="00A8280B">
        <w:t xml:space="preserve">Perhaps most problematically, it argued that the list of charitable purposes should </w:t>
      </w:r>
      <w:r w:rsidR="00F27FA9">
        <w:t>be “limited to those purposes that have strong recognition in the existing common law”, leaving it up to courts and future Parliaments to change that list.</w:t>
      </w:r>
      <w:r w:rsidR="00067390">
        <w:rPr>
          <w:rStyle w:val="FootnoteReference"/>
        </w:rPr>
        <w:footnoteReference w:id="80"/>
      </w:r>
      <w:r>
        <w:t xml:space="preserve"> This, of course, removes one of the main purposes of enacting a statutory definition.</w:t>
      </w:r>
    </w:p>
    <w:p w:rsidR="001A5EA7" w:rsidRPr="00A8280B" w:rsidRDefault="00EC7083" w:rsidP="000C6A45">
      <w:pPr>
        <w:pStyle w:val="Heading2"/>
      </w:pPr>
      <w:r>
        <w:t xml:space="preserve">Principles to Guide </w:t>
      </w:r>
      <w:r w:rsidR="00DB31AE">
        <w:t>Law Reform</w:t>
      </w:r>
    </w:p>
    <w:p w:rsidR="00D65D2C" w:rsidRDefault="00D65D2C" w:rsidP="005611B5"/>
    <w:p w:rsidR="000C6A45" w:rsidRDefault="00EC7083" w:rsidP="005611B5">
      <w:r>
        <w:t>In all its submissions, t</w:t>
      </w:r>
      <w:r w:rsidR="00206B6F">
        <w:t xml:space="preserve">he Not-for-Profit Project </w:t>
      </w:r>
      <w:r w:rsidR="00030598">
        <w:t xml:space="preserve">followed three key principles </w:t>
      </w:r>
      <w:r w:rsidR="00E71CC4">
        <w:t>in thinking about law reform</w:t>
      </w:r>
      <w:r w:rsidR="000C6A45">
        <w:t xml:space="preserve">: </w:t>
      </w:r>
    </w:p>
    <w:p w:rsidR="000C6A45" w:rsidRDefault="00E71CC4" w:rsidP="000C6A45">
      <w:pPr>
        <w:pStyle w:val="ListParagraph"/>
        <w:numPr>
          <w:ilvl w:val="0"/>
          <w:numId w:val="32"/>
        </w:numPr>
      </w:pPr>
      <w:r>
        <w:t>We should recognise and</w:t>
      </w:r>
      <w:r w:rsidR="000C6A45">
        <w:t xml:space="preserve"> embrace the contemporary sector, </w:t>
      </w:r>
      <w:r w:rsidR="00030598">
        <w:t xml:space="preserve">rather than trying to impose limits as to </w:t>
      </w:r>
      <w:r>
        <w:t>what we think charity should be.</w:t>
      </w:r>
    </w:p>
    <w:p w:rsidR="000C6A45" w:rsidRDefault="00E71CC4" w:rsidP="000C6A45">
      <w:pPr>
        <w:pStyle w:val="ListParagraph"/>
        <w:numPr>
          <w:ilvl w:val="0"/>
          <w:numId w:val="32"/>
        </w:numPr>
      </w:pPr>
      <w:r>
        <w:t>We should</w:t>
      </w:r>
      <w:r w:rsidR="00030598">
        <w:t xml:space="preserve"> respect the autonomy of the sector. The sector will pursue goals in diverse ways, and following diverse values and beliefs. </w:t>
      </w:r>
      <w:r>
        <w:t>I</w:t>
      </w:r>
      <w:r w:rsidR="00030598">
        <w:t xml:space="preserve">t is not the purpose of charity law to approve some and disapprove other social goals. There must be limits, but they should be broadly drawn. </w:t>
      </w:r>
    </w:p>
    <w:p w:rsidR="00030598" w:rsidRDefault="00E71CC4" w:rsidP="000C6A45">
      <w:pPr>
        <w:pStyle w:val="ListParagraph"/>
        <w:numPr>
          <w:ilvl w:val="0"/>
          <w:numId w:val="32"/>
        </w:numPr>
      </w:pPr>
      <w:r>
        <w:t xml:space="preserve">We should </w:t>
      </w:r>
      <w:r w:rsidR="00030598">
        <w:t>facilitate the sector to achiev</w:t>
      </w:r>
      <w:r w:rsidR="000C6A45">
        <w:t>e its own goals</w:t>
      </w:r>
      <w:r w:rsidR="00030598">
        <w:t>.</w:t>
      </w:r>
    </w:p>
    <w:p w:rsidR="00DB31AE" w:rsidRDefault="00DB31AE" w:rsidP="00030598">
      <w:r>
        <w:t xml:space="preserve">Additionally, it </w:t>
      </w:r>
      <w:r w:rsidR="00030598">
        <w:t>is important to bear in mind the four reasons for adopting such a definition. First, a statutory definition will improve the accessibility of the law. Second, the statutory definition will clarify particular areas of charity law. Third, the statutory definition will modernise charity law. Lastly,</w:t>
      </w:r>
      <w:r>
        <w:t xml:space="preserve"> and perhaps too readily glossed over,</w:t>
      </w:r>
      <w:r w:rsidR="00030598">
        <w:t xml:space="preserve"> a statutory definition will enable us to correct illogical or unsound parts of charity law.</w:t>
      </w:r>
    </w:p>
    <w:p w:rsidR="0051205A" w:rsidRDefault="00DB31AE" w:rsidP="00DB31AE">
      <w:pPr>
        <w:pStyle w:val="Heading2"/>
      </w:pPr>
      <w:r>
        <w:t>Our Submission</w:t>
      </w:r>
    </w:p>
    <w:p w:rsidR="0051205A" w:rsidRDefault="0051205A" w:rsidP="00030598">
      <w:r>
        <w:t xml:space="preserve">Our </w:t>
      </w:r>
      <w:r w:rsidR="00DB31AE">
        <w:t xml:space="preserve">submission on the statutory definition dealt with all of the issues raised in the Consultation Paper. However, for present purposes it is convenient to set out the submission in the form of a draft statutory definition (to be distributed). </w:t>
      </w:r>
      <w:r w:rsidR="00A34B17">
        <w:t>This definition combines the definition set out in the Charities Definition Inquiry with amendments as appropriate from the English, Scottish, Northern Irish and Irish definitions for the main part. In this, it follows the well-trodden path signalled so clearly by the Goodman Report: a lengthy inclusive list of charitable purposes, together with some clarification of unsettled aspects of charity law.</w:t>
      </w:r>
    </w:p>
    <w:p w:rsidR="0051205A" w:rsidRDefault="0051205A" w:rsidP="00030598"/>
    <w:p w:rsidR="0051205A" w:rsidRDefault="0051205A" w:rsidP="00030598">
      <w:r>
        <w:rPr>
          <w:b/>
        </w:rPr>
        <w:t>Section 1</w:t>
      </w:r>
    </w:p>
    <w:p w:rsidR="00BB3CC3" w:rsidRDefault="0076098D" w:rsidP="00BB3CC3">
      <w:r>
        <w:t>(1)</w:t>
      </w:r>
      <w:r w:rsidR="00BB3CC3">
        <w:t>(a)</w:t>
      </w:r>
      <w:r>
        <w:t xml:space="preserve"> </w:t>
      </w:r>
      <w:r w:rsidR="00BB3CC3">
        <w:t xml:space="preserve">To qualify as a charity, an entity </w:t>
      </w:r>
      <w:r w:rsidR="00BB3CC3" w:rsidRPr="00213E8B">
        <w:t xml:space="preserve">must have a purpose or purposes that are </w:t>
      </w:r>
      <w:r w:rsidR="00BB3CC3" w:rsidRPr="00BB3CC3">
        <w:rPr>
          <w:b/>
        </w:rPr>
        <w:t>charitable only</w:t>
      </w:r>
      <w:r w:rsidR="00BB3CC3" w:rsidRPr="00213E8B">
        <w:t xml:space="preserve">. </w:t>
      </w:r>
    </w:p>
    <w:p w:rsidR="003C4976" w:rsidRDefault="00BB3CC3" w:rsidP="00BB3CC3">
      <w:r>
        <w:t xml:space="preserve">(b) </w:t>
      </w:r>
      <w:r w:rsidRPr="00213E8B">
        <w:t>To avoid doubt, this does not preclude the existence of other purposes that further, are in aid of, or are ancillary or incidental to these charitable purposes.</w:t>
      </w:r>
    </w:p>
    <w:p w:rsidR="00A656B0" w:rsidRDefault="00BB3CC3" w:rsidP="00BB3CC3">
      <w:r>
        <w:t xml:space="preserve">(2) </w:t>
      </w:r>
      <w:r w:rsidR="0051205A" w:rsidRPr="00BB3CC3">
        <w:rPr>
          <w:b/>
        </w:rPr>
        <w:t>Charitable purposes</w:t>
      </w:r>
      <w:r w:rsidR="00030598">
        <w:t xml:space="preserve"> </w:t>
      </w:r>
      <w:r w:rsidR="0051205A">
        <w:t>include:</w:t>
      </w:r>
    </w:p>
    <w:p w:rsidR="00A656B0" w:rsidRPr="00213E8B" w:rsidRDefault="00A656B0" w:rsidP="00A656B0">
      <w:r w:rsidRPr="00213E8B">
        <w:t>(a) the advancement of health or the saving of lives, including:</w:t>
      </w:r>
    </w:p>
    <w:p w:rsidR="00A656B0" w:rsidRPr="00213E8B" w:rsidRDefault="00A656B0" w:rsidP="00A656B0">
      <w:r w:rsidRPr="00213E8B">
        <w:tab/>
        <w:t xml:space="preserve">(ii) </w:t>
      </w:r>
      <w:r w:rsidRPr="00213E8B">
        <w:rPr>
          <w:rStyle w:val="legds"/>
          <w:rFonts w:asciiTheme="minorHAnsi" w:hAnsiTheme="minorHAnsi" w:cstheme="minorHAnsi"/>
        </w:rPr>
        <w:t>prevention or relief of sickness, disease or human suffering;</w:t>
      </w:r>
    </w:p>
    <w:p w:rsidR="00A656B0" w:rsidRPr="00213E8B" w:rsidRDefault="00A656B0" w:rsidP="00A656B0">
      <w:r w:rsidRPr="00213E8B">
        <w:t>(b) the advancement of education;</w:t>
      </w:r>
    </w:p>
    <w:p w:rsidR="00A656B0" w:rsidRPr="00213E8B" w:rsidRDefault="00A656B0" w:rsidP="00A656B0">
      <w:r w:rsidRPr="00213E8B">
        <w:t>(c) the advancement of social or community welfare, including:</w:t>
      </w:r>
    </w:p>
    <w:p w:rsidR="00A656B0" w:rsidRPr="00213E8B" w:rsidRDefault="00A656B0" w:rsidP="00A656B0">
      <w:r w:rsidRPr="00213E8B">
        <w:tab/>
        <w:t>(i) the prevention or relief of poverty;</w:t>
      </w:r>
    </w:p>
    <w:p w:rsidR="00A656B0" w:rsidRPr="00213E8B" w:rsidRDefault="00A656B0" w:rsidP="00A656B0">
      <w:pPr>
        <w:rPr>
          <w:rStyle w:val="legds"/>
        </w:rPr>
      </w:pPr>
      <w:r w:rsidRPr="00213E8B">
        <w:tab/>
        <w:t xml:space="preserve">(ii) the care, support </w:t>
      </w:r>
      <w:r>
        <w:t>or</w:t>
      </w:r>
      <w:r w:rsidRPr="00213E8B">
        <w:t xml:space="preserve"> relief </w:t>
      </w:r>
      <w:r w:rsidRPr="00213E8B">
        <w:rPr>
          <w:rStyle w:val="legds"/>
          <w:rFonts w:asciiTheme="minorHAnsi" w:hAnsiTheme="minorHAnsi" w:cstheme="minorHAnsi"/>
        </w:rPr>
        <w:t xml:space="preserve">of those in need by reason of youth, age, ill-health, disability, financial hardship, disaster, </w:t>
      </w:r>
      <w:r>
        <w:rPr>
          <w:rStyle w:val="legds"/>
          <w:rFonts w:asciiTheme="minorHAnsi" w:hAnsiTheme="minorHAnsi" w:cstheme="minorHAnsi"/>
        </w:rPr>
        <w:t xml:space="preserve">geographical location </w:t>
      </w:r>
      <w:r w:rsidRPr="00213E8B">
        <w:rPr>
          <w:rStyle w:val="legds"/>
          <w:rFonts w:asciiTheme="minorHAnsi" w:hAnsiTheme="minorHAnsi" w:cstheme="minorHAnsi"/>
        </w:rPr>
        <w:t>or other disadvantage, including by the provision of accommodation;</w:t>
      </w:r>
    </w:p>
    <w:p w:rsidR="00A656B0" w:rsidRPr="00213E8B" w:rsidRDefault="00A656B0" w:rsidP="00A656B0">
      <w:pPr>
        <w:rPr>
          <w:rStyle w:val="legds"/>
        </w:rPr>
      </w:pPr>
      <w:r w:rsidRPr="00213E8B">
        <w:rPr>
          <w:rStyle w:val="legds"/>
          <w:rFonts w:asciiTheme="minorHAnsi" w:hAnsiTheme="minorHAnsi" w:cstheme="minorHAnsi"/>
        </w:rPr>
        <w:tab/>
        <w:t xml:space="preserve">(iii) the integration </w:t>
      </w:r>
      <w:r>
        <w:rPr>
          <w:rStyle w:val="legds"/>
          <w:rFonts w:asciiTheme="minorHAnsi" w:hAnsiTheme="minorHAnsi" w:cstheme="minorHAnsi"/>
        </w:rPr>
        <w:t>of, or</w:t>
      </w:r>
      <w:r w:rsidRPr="00213E8B">
        <w:rPr>
          <w:rStyle w:val="legds"/>
          <w:rFonts w:asciiTheme="minorHAnsi" w:hAnsiTheme="minorHAnsi" w:cstheme="minorHAnsi"/>
        </w:rPr>
        <w:t xml:space="preserve"> participation </w:t>
      </w:r>
      <w:r>
        <w:rPr>
          <w:rStyle w:val="legds"/>
          <w:rFonts w:asciiTheme="minorHAnsi" w:hAnsiTheme="minorHAnsi" w:cstheme="minorHAnsi"/>
        </w:rPr>
        <w:t xml:space="preserve">by, </w:t>
      </w:r>
      <w:r w:rsidRPr="00213E8B">
        <w:rPr>
          <w:rStyle w:val="legds"/>
          <w:rFonts w:asciiTheme="minorHAnsi" w:hAnsiTheme="minorHAnsi" w:cstheme="minorHAnsi"/>
        </w:rPr>
        <w:t xml:space="preserve">the disadvantaged; </w:t>
      </w:r>
    </w:p>
    <w:p w:rsidR="00A656B0" w:rsidRPr="00213E8B" w:rsidRDefault="00A656B0" w:rsidP="00A656B0">
      <w:pPr>
        <w:rPr>
          <w:rStyle w:val="legds"/>
        </w:rPr>
      </w:pPr>
      <w:r w:rsidRPr="00213E8B">
        <w:rPr>
          <w:rStyle w:val="legds"/>
          <w:rFonts w:asciiTheme="minorHAnsi" w:hAnsiTheme="minorHAnsi" w:cstheme="minorHAnsi"/>
        </w:rPr>
        <w:tab/>
        <w:t xml:space="preserve">(iv) the care </w:t>
      </w:r>
      <w:r>
        <w:rPr>
          <w:rStyle w:val="legds"/>
          <w:rFonts w:asciiTheme="minorHAnsi" w:hAnsiTheme="minorHAnsi" w:cstheme="minorHAnsi"/>
        </w:rPr>
        <w:t>or</w:t>
      </w:r>
      <w:r w:rsidRPr="00213E8B">
        <w:rPr>
          <w:rStyle w:val="legds"/>
          <w:rFonts w:asciiTheme="minorHAnsi" w:hAnsiTheme="minorHAnsi" w:cstheme="minorHAnsi"/>
        </w:rPr>
        <w:t xml:space="preserve"> support of members or former members of the armed forces or the civil defence forces and their families; and</w:t>
      </w:r>
    </w:p>
    <w:p w:rsidR="00A656B0" w:rsidRPr="00213E8B" w:rsidRDefault="00A656B0" w:rsidP="00A656B0">
      <w:pPr>
        <w:rPr>
          <w:rStyle w:val="legds"/>
        </w:rPr>
      </w:pPr>
      <w:r w:rsidRPr="00213E8B">
        <w:rPr>
          <w:rStyle w:val="legds"/>
          <w:rFonts w:asciiTheme="minorHAnsi" w:hAnsiTheme="minorHAnsi" w:cstheme="minorHAnsi"/>
        </w:rPr>
        <w:tab/>
        <w:t>(v) the provision of child care services;</w:t>
      </w:r>
    </w:p>
    <w:p w:rsidR="00A656B0" w:rsidRPr="00213E8B" w:rsidRDefault="00A656B0" w:rsidP="00A656B0">
      <w:r w:rsidRPr="00213E8B">
        <w:t>(d) the advancement of religion or analogous philosophical beliefs;</w:t>
      </w:r>
    </w:p>
    <w:p w:rsidR="00A656B0" w:rsidRPr="00213E8B" w:rsidRDefault="00A656B0" w:rsidP="00A656B0">
      <w:r w:rsidRPr="00213E8B">
        <w:t xml:space="preserve">(e) the advancement of arts, culture, heritage, the sciences </w:t>
      </w:r>
      <w:r>
        <w:t>or</w:t>
      </w:r>
      <w:r w:rsidRPr="00213E8B">
        <w:t xml:space="preserve"> philosophy, including:</w:t>
      </w:r>
    </w:p>
    <w:p w:rsidR="00A656B0" w:rsidRPr="00213E8B" w:rsidRDefault="00A656B0" w:rsidP="00A656B0">
      <w:r w:rsidRPr="00213E8B">
        <w:tab/>
        <w:t xml:space="preserve">(i) the cultures </w:t>
      </w:r>
      <w:r>
        <w:t>or</w:t>
      </w:r>
      <w:r w:rsidRPr="00213E8B">
        <w:t xml:space="preserve"> customs of Indigenous peoples or ethnic or language groups;</w:t>
      </w:r>
    </w:p>
    <w:p w:rsidR="00A656B0" w:rsidRPr="00213E8B" w:rsidRDefault="00A656B0" w:rsidP="00A656B0">
      <w:r w:rsidRPr="00213E8B">
        <w:t xml:space="preserve">(f) the advancement of the natural environment; </w:t>
      </w:r>
    </w:p>
    <w:p w:rsidR="00A656B0" w:rsidRPr="00213E8B" w:rsidRDefault="00A656B0" w:rsidP="00A656B0">
      <w:r w:rsidRPr="00213E8B">
        <w:t>(g) the advancement of citizenship or community development, including:</w:t>
      </w:r>
    </w:p>
    <w:p w:rsidR="00A656B0" w:rsidRPr="00213E8B" w:rsidRDefault="00A656B0" w:rsidP="00A656B0">
      <w:r w:rsidRPr="00213E8B">
        <w:tab/>
        <w:t xml:space="preserve">(i) </w:t>
      </w:r>
      <w:r>
        <w:t>urban or rural</w:t>
      </w:r>
      <w:r w:rsidRPr="00213E8B">
        <w:t xml:space="preserve"> regeneration;</w:t>
      </w:r>
    </w:p>
    <w:p w:rsidR="00A656B0" w:rsidRPr="00213E8B" w:rsidRDefault="00A656B0" w:rsidP="00A656B0">
      <w:r w:rsidRPr="00213E8B">
        <w:tab/>
        <w:t xml:space="preserve">(ii) volunteering, the voluntary sector, </w:t>
      </w:r>
      <w:r>
        <w:t>or</w:t>
      </w:r>
      <w:r w:rsidRPr="00213E8B">
        <w:t xml:space="preserve"> the effectiveness and efficiency of charities; </w:t>
      </w:r>
    </w:p>
    <w:p w:rsidR="00A656B0" w:rsidRPr="00213E8B" w:rsidRDefault="00A656B0" w:rsidP="00A656B0">
      <w:r w:rsidRPr="00213E8B">
        <w:t xml:space="preserve">(h) the advancement of sport </w:t>
      </w:r>
      <w:r>
        <w:t>or</w:t>
      </w:r>
      <w:r w:rsidRPr="00213E8B">
        <w:t xml:space="preserve"> the provision of facilities for recreation and leisure; </w:t>
      </w:r>
    </w:p>
    <w:p w:rsidR="00A656B0" w:rsidRPr="00213E8B" w:rsidRDefault="00A656B0" w:rsidP="00A656B0">
      <w:r w:rsidRPr="00213E8B">
        <w:t>(i) the advancement of civil or human rights;</w:t>
      </w:r>
    </w:p>
    <w:p w:rsidR="00A656B0" w:rsidRPr="00213E8B" w:rsidRDefault="00A656B0" w:rsidP="00A656B0">
      <w:r w:rsidRPr="00213E8B">
        <w:t xml:space="preserve">(j) the advancement of reconciliation, conflict resolution, harmonious community relations, </w:t>
      </w:r>
      <w:r>
        <w:t>or</w:t>
      </w:r>
      <w:r w:rsidRPr="00213E8B">
        <w:t xml:space="preserve"> equality or diversity, including:</w:t>
      </w:r>
    </w:p>
    <w:p w:rsidR="00A656B0" w:rsidRPr="00213E8B" w:rsidRDefault="00A656B0" w:rsidP="00A656B0">
      <w:r w:rsidRPr="00213E8B">
        <w:tab/>
        <w:t xml:space="preserve">(i) assistance </w:t>
      </w:r>
      <w:r>
        <w:t>or</w:t>
      </w:r>
      <w:r w:rsidRPr="00213E8B">
        <w:t xml:space="preserve"> support for immigrants and refugees;</w:t>
      </w:r>
    </w:p>
    <w:p w:rsidR="00A656B0" w:rsidRDefault="00A656B0" w:rsidP="00A656B0">
      <w:r w:rsidRPr="00213E8B">
        <w:t xml:space="preserve">(k) the advancement of animal welfare; </w:t>
      </w:r>
    </w:p>
    <w:p w:rsidR="00A656B0" w:rsidRDefault="00A656B0" w:rsidP="00A656B0">
      <w:r>
        <w:t>(l) the advancement</w:t>
      </w:r>
      <w:r w:rsidRPr="00213E8B">
        <w:t xml:space="preserve"> of industry or commerce</w:t>
      </w:r>
      <w:r>
        <w:t xml:space="preserve">; </w:t>
      </w:r>
    </w:p>
    <w:p w:rsidR="00A656B0" w:rsidRPr="00213E8B" w:rsidRDefault="00A656B0" w:rsidP="00A656B0">
      <w:r>
        <w:t>(m) the advancement of access to advice or information; and</w:t>
      </w:r>
    </w:p>
    <w:p w:rsidR="00A656B0" w:rsidRPr="00213E8B" w:rsidRDefault="00A656B0" w:rsidP="00A656B0">
      <w:r w:rsidRPr="00213E8B">
        <w:t>(</w:t>
      </w:r>
      <w:r>
        <w:t>n</w:t>
      </w:r>
      <w:r w:rsidRPr="00213E8B">
        <w:t>) other purposes beneficial to the community.</w:t>
      </w:r>
    </w:p>
    <w:p w:rsidR="0051205A" w:rsidRDefault="0051205A" w:rsidP="00A656B0"/>
    <w:p w:rsidR="0076098D" w:rsidRDefault="00BB3CC3" w:rsidP="0076098D">
      <w:pPr>
        <w:ind w:firstLine="0"/>
      </w:pPr>
      <w:r w:rsidRPr="00BB3CC3">
        <w:t>(3</w:t>
      </w:r>
      <w:r w:rsidR="0076098D" w:rsidRPr="00BB3CC3">
        <w:t>)</w:t>
      </w:r>
      <w:r w:rsidR="0076098D">
        <w:rPr>
          <w:b/>
        </w:rPr>
        <w:t xml:space="preserve"> </w:t>
      </w:r>
      <w:r w:rsidR="0051205A">
        <w:t>In determining whether a purpose i</w:t>
      </w:r>
      <w:r>
        <w:t>s charitable under section 2(n)</w:t>
      </w:r>
      <w:r w:rsidR="0076098D">
        <w:t xml:space="preserve">, a court need not consider whether the purpose is within or analogous to a purpose in </w:t>
      </w:r>
      <w:r w:rsidR="0051205A">
        <w:t xml:space="preserve">the preamble of the </w:t>
      </w:r>
      <w:r w:rsidR="0051205A" w:rsidRPr="0076098D">
        <w:rPr>
          <w:i/>
        </w:rPr>
        <w:t>Statute of Elizabeth</w:t>
      </w:r>
      <w:r w:rsidR="0076098D">
        <w:rPr>
          <w:i/>
        </w:rPr>
        <w:t xml:space="preserve"> 1601</w:t>
      </w:r>
      <w:r w:rsidR="0051205A" w:rsidRPr="0076098D">
        <w:rPr>
          <w:i/>
        </w:rPr>
        <w:t>.</w:t>
      </w:r>
      <w:r w:rsidR="0051205A">
        <w:t xml:space="preserve"> </w:t>
      </w:r>
    </w:p>
    <w:p w:rsidR="005868D2" w:rsidRDefault="00BB3CC3" w:rsidP="0076098D">
      <w:pPr>
        <w:ind w:firstLine="0"/>
      </w:pPr>
      <w:r>
        <w:t>(4</w:t>
      </w:r>
      <w:r w:rsidR="0076098D">
        <w:t xml:space="preserve">) If a </w:t>
      </w:r>
      <w:r>
        <w:t>purpose is listed in s 2</w:t>
      </w:r>
      <w:r w:rsidR="0076098D">
        <w:t>(1)(a)-(m), the purpose is for the public benefit unless otherwise proven.</w:t>
      </w:r>
    </w:p>
    <w:p w:rsidR="0051205A" w:rsidRDefault="00BB3CC3" w:rsidP="0076098D">
      <w:pPr>
        <w:ind w:firstLine="0"/>
      </w:pPr>
      <w:r>
        <w:t>(5</w:t>
      </w:r>
      <w:r w:rsidR="005868D2">
        <w:t>) P</w:t>
      </w:r>
      <w:r w:rsidR="005868D2" w:rsidRPr="00213E8B">
        <w:t xml:space="preserve">rescribed corporate bodies under the </w:t>
      </w:r>
      <w:r w:rsidR="005868D2" w:rsidRPr="00213E8B">
        <w:rPr>
          <w:i/>
        </w:rPr>
        <w:t xml:space="preserve">Native Title Act 1993 </w:t>
      </w:r>
      <w:r w:rsidR="005868D2" w:rsidRPr="00213E8B">
        <w:t xml:space="preserve">(Cth) are </w:t>
      </w:r>
      <w:r w:rsidR="0079548D">
        <w:t xml:space="preserve">taken to be </w:t>
      </w:r>
      <w:r w:rsidR="005868D2" w:rsidRPr="00213E8B">
        <w:t>charitable</w:t>
      </w:r>
      <w:r w:rsidR="0024331E">
        <w:t xml:space="preserve"> organisations.</w:t>
      </w:r>
    </w:p>
    <w:p w:rsidR="0051205A" w:rsidRPr="0051205A" w:rsidRDefault="0051205A" w:rsidP="00A656B0"/>
    <w:p w:rsidR="0076098D" w:rsidRDefault="0076098D" w:rsidP="00A656B0">
      <w:pPr>
        <w:rPr>
          <w:i/>
        </w:rPr>
      </w:pPr>
      <w:r>
        <w:rPr>
          <w:b/>
        </w:rPr>
        <w:t>Section 3.</w:t>
      </w:r>
      <w:r w:rsidR="0051205A">
        <w:t xml:space="preserve"> </w:t>
      </w:r>
      <w:r w:rsidR="0051205A">
        <w:rPr>
          <w:i/>
        </w:rPr>
        <w:t>Public benefit</w:t>
      </w:r>
    </w:p>
    <w:p w:rsidR="0076098D" w:rsidRDefault="0076098D" w:rsidP="0076098D">
      <w:r>
        <w:t xml:space="preserve">(1) In determining whether an organisation is established to ‘benefit’ the public, a court should have regard to the following: </w:t>
      </w:r>
    </w:p>
    <w:p w:rsidR="0076098D" w:rsidRPr="00213E8B" w:rsidRDefault="0076098D" w:rsidP="0076098D">
      <w:r w:rsidRPr="00213E8B">
        <w:t>(a) the benefit(s) may be tangible or intangible, direct or indirect</w:t>
      </w:r>
      <w:r>
        <w:t>, present or future</w:t>
      </w:r>
      <w:r w:rsidRPr="00213E8B">
        <w:t>;</w:t>
      </w:r>
    </w:p>
    <w:p w:rsidR="0076098D" w:rsidRPr="00213E8B" w:rsidRDefault="0076098D" w:rsidP="0076098D">
      <w:r w:rsidRPr="00213E8B">
        <w:t xml:space="preserve">(b) the benefit(s) </w:t>
      </w:r>
      <w:r>
        <w:t>should</w:t>
      </w:r>
      <w:r w:rsidRPr="00213E8B">
        <w:t xml:space="preserve"> be assessed in the light of contemporary needs and circumstances;</w:t>
      </w:r>
    </w:p>
    <w:p w:rsidR="0076098D" w:rsidRPr="00213E8B" w:rsidRDefault="0076098D" w:rsidP="0076098D">
      <w:r w:rsidRPr="00213E8B">
        <w:t>(c) the benefit(s) may, where appropriate, be assessed against potential detriment(s); and</w:t>
      </w:r>
    </w:p>
    <w:p w:rsidR="0076098D" w:rsidRPr="00213E8B" w:rsidRDefault="0076098D" w:rsidP="0076098D">
      <w:r w:rsidRPr="00213E8B">
        <w:t>(d) the inquiry is not into the merits of the methods or opinions of the organi</w:t>
      </w:r>
      <w:r>
        <w:t>s</w:t>
      </w:r>
      <w:r w:rsidRPr="00213E8B">
        <w:t>ation.</w:t>
      </w:r>
    </w:p>
    <w:p w:rsidR="0076098D" w:rsidRDefault="0076098D" w:rsidP="0076098D">
      <w:r>
        <w:t>(2) In determining whether an organisation benefits ‘the public’, a court should consider:</w:t>
      </w:r>
    </w:p>
    <w:p w:rsidR="0076098D" w:rsidRPr="00213E8B" w:rsidRDefault="0076098D" w:rsidP="0076098D">
      <w:r>
        <w:tab/>
        <w:t xml:space="preserve">(a) whether there are </w:t>
      </w:r>
      <w:r w:rsidRPr="00213E8B">
        <w:t>wider benefits to the general community;</w:t>
      </w:r>
      <w:r w:rsidRPr="00213E8B">
        <w:tab/>
      </w:r>
    </w:p>
    <w:p w:rsidR="0076098D" w:rsidRPr="00213E8B" w:rsidRDefault="0076098D" w:rsidP="0076098D">
      <w:r>
        <w:tab/>
        <w:t xml:space="preserve">(b) </w:t>
      </w:r>
      <w:r w:rsidRPr="00213E8B">
        <w:t>the nature of any limitations on the class to be benefited, and in particular:</w:t>
      </w:r>
    </w:p>
    <w:p w:rsidR="0076098D" w:rsidRPr="00213E8B" w:rsidRDefault="0076098D" w:rsidP="0076098D">
      <w:r w:rsidRPr="00213E8B">
        <w:tab/>
      </w:r>
      <w:r>
        <w:t xml:space="preserve">(i)   </w:t>
      </w:r>
      <w:r w:rsidRPr="00213E8B">
        <w:t xml:space="preserve">the extent to which the class of potential beneficiaries is open in nature; </w:t>
      </w:r>
    </w:p>
    <w:p w:rsidR="0076098D" w:rsidRPr="00213E8B" w:rsidRDefault="0076098D" w:rsidP="0076098D">
      <w:pPr>
        <w:ind w:left="1134" w:hanging="414"/>
      </w:pPr>
      <w:r w:rsidRPr="00213E8B">
        <w:t>(ii)</w:t>
      </w:r>
      <w:r w:rsidRPr="00213E8B">
        <w:tab/>
        <w:t>whether such limitations are reasonably related to the nature of the charitable purpose; and</w:t>
      </w:r>
    </w:p>
    <w:p w:rsidR="005868D2" w:rsidRDefault="0076098D" w:rsidP="0076098D">
      <w:r w:rsidRPr="00213E8B">
        <w:tab/>
      </w:r>
      <w:r>
        <w:t xml:space="preserve">(iii) </w:t>
      </w:r>
      <w:r w:rsidRPr="00213E8B">
        <w:t xml:space="preserve">the practical need for such limitations.  </w:t>
      </w:r>
    </w:p>
    <w:p w:rsidR="005868D2" w:rsidRDefault="005868D2" w:rsidP="0076098D">
      <w:r>
        <w:t>(3) The Australian Charities and Not-for-Profits Commission must provide guidance on the meaning of public benefit.</w:t>
      </w:r>
    </w:p>
    <w:p w:rsidR="005868D2" w:rsidRDefault="005868D2" w:rsidP="0076098D">
      <w:r>
        <w:t>(4) Organisations established after the commencement date for the relief of poverty must satisfy the public benefit test.</w:t>
      </w:r>
    </w:p>
    <w:p w:rsidR="00F64883" w:rsidRDefault="005868D2" w:rsidP="005868D2">
      <w:r>
        <w:t>(5) T</w:t>
      </w:r>
      <w:r w:rsidRPr="00213E8B">
        <w:t xml:space="preserve">he purpose of a trust, society, or institution is a charitable purpose if it would satisfy the public benefit requirement apart from the fact that the beneficiaries of the trust, or the members of the society or institution, are related by blood. </w:t>
      </w:r>
    </w:p>
    <w:p w:rsidR="00F64883" w:rsidRDefault="00F64883" w:rsidP="005868D2">
      <w:r>
        <w:t>(6) Self-help groups may satisfy the public benefit test provided there are no unreasonable restrictions on membership.</w:t>
      </w:r>
    </w:p>
    <w:p w:rsidR="00F64883" w:rsidRDefault="00F64883" w:rsidP="005868D2">
      <w:r>
        <w:t>(7) Closed or contemplative orders may satisfy the public benefit test even if they do not make intercessory prayers.</w:t>
      </w:r>
    </w:p>
    <w:p w:rsidR="005868D2" w:rsidRPr="00213E8B" w:rsidRDefault="005868D2" w:rsidP="005868D2"/>
    <w:p w:rsidR="006B6BB1" w:rsidRDefault="00A34B17" w:rsidP="0076098D">
      <w:r>
        <w:t>For the most part, much of what is in the proposed list of charitable purposes is common law or in existing charity definitions. There are some controversial inclusions. Sport is one of them, with other definitions re</w:t>
      </w:r>
      <w:r w:rsidR="001C1467">
        <w:t>stricting it to ‘amateur sport’.</w:t>
      </w:r>
      <w:r>
        <w:t xml:space="preserve"> The inclusion of sport and recreation is in part to reconcile the federal definition with state or territory legislation that provides that sport or the provision of recreational facilities for the social welfare is charitable. However, in Tasmania there is no reference to the need to advance social welfare. As sport attracts some of the highest volunteering numbers in Australia, the exclusion of sport is out of line with community understanding. We also note that organisations for the advancement of professional sport are, i</w:t>
      </w:r>
      <w:r w:rsidR="006B6BB1">
        <w:t>n any event, already tax-exempt</w:t>
      </w:r>
      <w:r>
        <w:t xml:space="preserve">. </w:t>
      </w:r>
    </w:p>
    <w:p w:rsidR="006B6BB1" w:rsidRDefault="006B6BB1" w:rsidP="0076098D">
      <w:r>
        <w:t>Another potentially controversial head is that of promotion of access to information. It is important to note that this does not make charitable the mere provision of information. Rather, it is the access that is key here. Deprivation of information is, in my view, a significant disadvantage in our information society. The category also includes several recognised charitable types, such as community Internet facilities or community legal centres, as well as extending that principle more broadly to cases such as Wikimedia, the owner of Wikipedia (recently recognised as charitable in England and Wales).</w:t>
      </w:r>
      <w:r>
        <w:rPr>
          <w:rStyle w:val="FootnoteReference"/>
        </w:rPr>
        <w:footnoteReference w:id="81"/>
      </w:r>
    </w:p>
    <w:p w:rsidR="003D32CF" w:rsidRDefault="006B6BB1" w:rsidP="0076098D">
      <w:r>
        <w:t xml:space="preserve">Although there are arguments both ways, we also suggested that the presumptions of public benefit played a useful evidential role, and that their removal would have significant symbolic and administrative drawbacks while making little legal difference. In our view, rather than removing them, we thought it would be logical to extend them to all the identified charitable heads, on the basis that identifying a purpose as charitable prima facie meant it had to be for the public benefit. </w:t>
      </w:r>
    </w:p>
    <w:p w:rsidR="00A76BE3" w:rsidRDefault="003D32CF" w:rsidP="0076098D">
      <w:r>
        <w:t>We also proposed expressly ousting the reference to the preamble of the Statute of Elizabeth. Here we would differ from the UK model which generally retains the requirement that any other purposes be within the spirit or intendment of that preamble. As already noted, that preamble has gained a rather unwarranted status, and the most plausible explanation of this is that judges have sought some reliable limit to their discretion in determining the rather broad phrase of ‘other purposes beneficial to the community’. Yet that limit is not founded on logical, and in our view judges are more than capable of assessing public benefit openly on a proper consideration of relevant contextual factors without resorting to the preamble.</w:t>
      </w:r>
    </w:p>
    <w:p w:rsidR="00A76BE3" w:rsidRPr="0084675F" w:rsidRDefault="00A76BE3" w:rsidP="0076098D">
      <w:r>
        <w:t xml:space="preserve">Another aspect in which we departed was by trying to make a little more sense to the public benefit requirement. The case law here is confused and needs correction as well as clarification. </w:t>
      </w:r>
      <w:r w:rsidR="0084675F">
        <w:t xml:space="preserve">For the sake of clarity, we also included the current legislative references to self-help groups and closed or contemplative orders in the </w:t>
      </w:r>
      <w:r w:rsidR="0084675F">
        <w:rPr>
          <w:i/>
        </w:rPr>
        <w:t xml:space="preserve">Extension of Charitable Purposes Act 2004 </w:t>
      </w:r>
      <w:r w:rsidR="0084675F">
        <w:t>(Cth) in this section.</w:t>
      </w:r>
    </w:p>
    <w:p w:rsidR="00003504" w:rsidRDefault="0084675F" w:rsidP="00003504">
      <w:r>
        <w:t xml:space="preserve">Finally, </w:t>
      </w:r>
      <w:r w:rsidR="00A34B17">
        <w:t>I note that</w:t>
      </w:r>
      <w:r w:rsidR="00D2415B">
        <w:t xml:space="preserve"> we proposed that no reference should be made at all to political activities, or illegal activities, and that no definition be inserted for religion or government bodies. </w:t>
      </w:r>
      <w:r w:rsidR="00A34B17">
        <w:t xml:space="preserve"> In our view, there were dangers in doing so because of the indefinite limits of both the </w:t>
      </w:r>
      <w:r w:rsidR="00A34B17">
        <w:rPr>
          <w:i/>
        </w:rPr>
        <w:t xml:space="preserve">Aid/Watch </w:t>
      </w:r>
      <w:r w:rsidR="00A34B17">
        <w:t xml:space="preserve">decision and the doctrine against illegality, </w:t>
      </w:r>
      <w:r w:rsidR="00003504">
        <w:t>as well as</w:t>
      </w:r>
      <w:r w:rsidR="00A34B17">
        <w:t xml:space="preserve"> the complexity of defining religion or government bodies.</w:t>
      </w:r>
      <w:r>
        <w:t xml:space="preserve"> </w:t>
      </w:r>
      <w:r w:rsidR="00003504">
        <w:t xml:space="preserve"> However, given the controversy concerning political activities, it may be desirable to simply state in section 1 that an entity may be a charity notwithstanding that its purpose or activities challenge laws or government policies. This states the core ruling of </w:t>
      </w:r>
      <w:r w:rsidR="00003504">
        <w:rPr>
          <w:i/>
        </w:rPr>
        <w:t xml:space="preserve">Aid/Watch </w:t>
      </w:r>
      <w:r w:rsidR="00003504">
        <w:t>without trespassing on some of its wider implications.</w:t>
      </w:r>
    </w:p>
    <w:p w:rsidR="0084675F" w:rsidRDefault="0084675F" w:rsidP="0084675F">
      <w:r>
        <w:t>In particular, I was concerned that the breadth with which the doctrine of illegality is often stated both raises a real risk of inhibiting legitimate law reform and advocacy and fails to reflect the true operation of the law. For example, one of the few cases that deal with this issue had the effect of impeding relief to beggars on the basis that, at the time, begging was illegal. Similarly, one can think of legitimate objects of charity (for example, the provision of reproductive health services including abortion) that may offend one of the numerous laws that now govern our lives.</w:t>
      </w:r>
    </w:p>
    <w:p w:rsidR="0051205A" w:rsidRPr="0051205A" w:rsidRDefault="00D2415B" w:rsidP="00D2415B">
      <w:pPr>
        <w:pStyle w:val="Heading2"/>
      </w:pPr>
      <w:r>
        <w:t>Prospects for the Statutory Definition</w:t>
      </w:r>
    </w:p>
    <w:p w:rsidR="007076DA" w:rsidRPr="00A656B0" w:rsidRDefault="007076DA" w:rsidP="00A656B0"/>
    <w:p w:rsidR="003A201A" w:rsidRDefault="003A201A" w:rsidP="00A30DF2">
      <w:r>
        <w:t xml:space="preserve">The delay in issuing the Exposure Draft on the statutory definition of charity can be interpreted </w:t>
      </w:r>
      <w:r w:rsidR="00003504">
        <w:t>in</w:t>
      </w:r>
      <w:r>
        <w:t xml:space="preserve"> one of two ways. First, it might indicate that a statutory definition will not make into the current Government’s legislative agenda and mark yet another </w:t>
      </w:r>
      <w:r w:rsidR="008E5C43">
        <w:t>landmark</w:t>
      </w:r>
      <w:r>
        <w:t xml:space="preserve"> of failed charity reform in Australia. </w:t>
      </w:r>
      <w:r w:rsidR="006907B4">
        <w:t>I should note that this would not necessarily be the end of the road for definitional reform. The Charity Commission of England and Wales, prior to getting a statutory definition, began reviewing the definition to update and modernise key aspects of it. If no statutory definition came, the ACNC could begin a similar exercise.</w:t>
      </w:r>
    </w:p>
    <w:p w:rsidR="000C6A45" w:rsidRDefault="006907B4" w:rsidP="003A201A">
      <w:r>
        <w:t xml:space="preserve">That is not, however, my first choice, and nor is it my view. Instead, </w:t>
      </w:r>
      <w:r w:rsidR="003A201A">
        <w:t>I take</w:t>
      </w:r>
      <w:r>
        <w:t xml:space="preserve"> </w:t>
      </w:r>
      <w:r w:rsidR="003A201A">
        <w:t xml:space="preserve">the optimist’s view. </w:t>
      </w:r>
      <w:r>
        <w:t>The truth is that</w:t>
      </w:r>
      <w:r w:rsidR="003A201A">
        <w:t xml:space="preserve"> this agenda item should be one of the easiest in t</w:t>
      </w:r>
      <w:r w:rsidR="008E5C43">
        <w:t>he not-for-profit reform agenda</w:t>
      </w:r>
      <w:r w:rsidR="003A201A">
        <w:t xml:space="preserve">. There is a great deal of agreement within the sector as to what should be included. We have </w:t>
      </w:r>
      <w:r>
        <w:t>decent</w:t>
      </w:r>
      <w:r w:rsidR="003A201A">
        <w:t xml:space="preserve"> examples from four jurisdictions with very similar legal systems. The definition itself is only a start</w:t>
      </w:r>
      <w:r w:rsidR="002156D2">
        <w:t xml:space="preserve">ing point for tax concessions. Therefore, </w:t>
      </w:r>
      <w:r w:rsidR="003A201A">
        <w:t>the definition should be liberal</w:t>
      </w:r>
      <w:r w:rsidR="002156D2">
        <w:t xml:space="preserve"> and inclusive. If desired, </w:t>
      </w:r>
      <w:r w:rsidR="003A201A">
        <w:t xml:space="preserve">the tax legislation should carve out particular purposes. Finally, at the end of the day, </w:t>
      </w:r>
      <w:r w:rsidR="000C6A45">
        <w:t xml:space="preserve">the proposal amounts to no more than two or three sections of legislation. </w:t>
      </w:r>
    </w:p>
    <w:p w:rsidR="006907B4" w:rsidRDefault="00137A88" w:rsidP="00137A88">
      <w:r>
        <w:t>The optimist in me says that the delay in issuing the Exposure Draft is, if anything, an opportunity. It is an opportunity for the sector to come together and decide on key principles and, in the ideal world, a workable d</w:t>
      </w:r>
      <w:r w:rsidR="002156D2">
        <w:t xml:space="preserve">raft. </w:t>
      </w:r>
      <w:r>
        <w:t xml:space="preserve">If the sector is able to seize the </w:t>
      </w:r>
      <w:r w:rsidR="002156D2">
        <w:t xml:space="preserve">opportunity and could present </w:t>
      </w:r>
      <w:r>
        <w:t>to this Government a reasonable draft of a statutory definition before they have time to turn to it themselves, it would surely be an unwise Government that looked</w:t>
      </w:r>
      <w:r w:rsidR="00C40594">
        <w:t xml:space="preserve"> such</w:t>
      </w:r>
      <w:r>
        <w:t xml:space="preserve"> a gift horse in the mouth.</w:t>
      </w:r>
      <w:r w:rsidR="000973B6">
        <w:t xml:space="preserve"> And, I would suggest, it would also be unwise for the sector to do the same, and to let </w:t>
      </w:r>
      <w:r w:rsidR="004366FC">
        <w:t xml:space="preserve">slip </w:t>
      </w:r>
      <w:r w:rsidR="000973B6">
        <w:t xml:space="preserve">the opportunity to </w:t>
      </w:r>
      <w:r w:rsidR="004366FC">
        <w:t>finally achieve the statutory definition of charity for which it has advocated for many years</w:t>
      </w:r>
      <w:r w:rsidR="000973B6">
        <w:t>.</w:t>
      </w:r>
    </w:p>
    <w:p w:rsidR="000973B6" w:rsidRDefault="000973B6" w:rsidP="00137A88">
      <w:r>
        <w:t xml:space="preserve"> </w:t>
      </w:r>
    </w:p>
    <w:p w:rsidR="007076DA" w:rsidRDefault="007076DA" w:rsidP="00137A88"/>
    <w:p w:rsidR="00A30DF2" w:rsidRDefault="00A30DF2"/>
    <w:sectPr w:rsidR="00A30DF2" w:rsidSect="00A30DF2">
      <w:headerReference w:type="default" r:id="rId7"/>
      <w:footerReference w:type="default" r:id="rId8"/>
      <w:pgSz w:w="11900" w:h="16840"/>
      <w:pgMar w:top="1440" w:right="1440" w:bottom="1440" w:left="144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B33B0" w:rsidRDefault="001B33B0">
      <w:r>
        <w:separator/>
      </w:r>
    </w:p>
  </w:endnote>
  <w:endnote w:type="continuationSeparator" w:id="1">
    <w:p w:rsidR="001B33B0" w:rsidRDefault="001B33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altName w:val="ヒラギノ角ゴ Pro W3"/>
    <w:charset w:val="4E"/>
    <w:family w:val="auto"/>
    <w:pitch w:val="variable"/>
    <w:sig w:usb0="00000001" w:usb1="08070000" w:usb2="00000010" w:usb3="00000000" w:csb0="00020000" w:csb1="00000000"/>
  </w:font>
  <w:font w:name="Optima">
    <w:panose1 w:val="020005030600000200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33B0" w:rsidRDefault="00373043">
    <w:pPr>
      <w:pStyle w:val="Footer"/>
      <w:jc w:val="right"/>
    </w:pPr>
    <w:fldSimple w:instr=" PAGE   \* MERGEFORMAT ">
      <w:r w:rsidR="001D2B28">
        <w:rPr>
          <w:noProof/>
        </w:rPr>
        <w:t>10</w:t>
      </w:r>
    </w:fldSimple>
  </w:p>
  <w:p w:rsidR="001B33B0" w:rsidRDefault="001B33B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B33B0" w:rsidRDefault="001B33B0">
      <w:r>
        <w:separator/>
      </w:r>
    </w:p>
  </w:footnote>
  <w:footnote w:type="continuationSeparator" w:id="1">
    <w:p w:rsidR="001B33B0" w:rsidRDefault="001B33B0">
      <w:r>
        <w:continuationSeparator/>
      </w:r>
    </w:p>
  </w:footnote>
  <w:footnote w:id="2">
    <w:p w:rsidR="001B33B0" w:rsidRDefault="001B33B0" w:rsidP="00A30DF2">
      <w:pPr>
        <w:pStyle w:val="FootnoteText"/>
        <w:rPr>
          <w:sz w:val="20"/>
        </w:rPr>
      </w:pPr>
      <w:r w:rsidRPr="00FC7F0F">
        <w:rPr>
          <w:rStyle w:val="FootnoteReference"/>
        </w:rPr>
        <w:t>*</w:t>
      </w:r>
      <w:r>
        <w:t xml:space="preserve"> </w:t>
      </w:r>
      <w:r>
        <w:tab/>
      </w:r>
      <w:r>
        <w:tab/>
        <w:t>BA(Hons)/LLB(Hons), PhD (UCL). This paper was written as a Research Fellow of the Not-for-Profit Project, Melbourne Law School. The author is now employed by the Australian Charities and Not-for-Profits Commission. The views in this paper express personal views developed as a Research Fellow.</w:t>
      </w:r>
    </w:p>
  </w:footnote>
  <w:footnote w:id="3">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{"citationID":"1proedcib4","properties":{"formattedCitation":"{\\rtf UK, \\uc0\\u8216{}Statute of Charitable Uses\\uc0\\u8217{} 43 Eliz I (1601).}","plainCitation":"UK, ‘Statute of Charitable Uses’ 43 Eliz I (1601)."},"citationItems":[{"id":586,"uris":["http://zotero.org/groups/39658/items/7P45VNZT"],"uri":["http://zotero.org/groups/39658/items/7P45VNZT"],"itemData":{"id":586,"type":"legislation","title":"Statute of Charitable Uses","container-title":"43 Eliz I","section":"c 4","author":[{"family":"UK","given":""}],"issued":{"year":1601}}}],"schema":"https://github.com/citation-style-language/schema/raw/master/csl-citation.json"} </w:instrText>
      </w:r>
      <w:r w:rsidR="00373043">
        <w:fldChar w:fldCharType="separate"/>
      </w:r>
      <w:r w:rsidRPr="001B33B0">
        <w:rPr>
          <w:rFonts w:cs="Times New Roman (Arabic)"/>
          <w:lang w:val="en-US"/>
        </w:rPr>
        <w:t>UK, ‘Statute of Charitable Uses’ 43 Eliz I (1601).</w:t>
      </w:r>
      <w:r w:rsidR="00373043">
        <w:fldChar w:fldCharType="end"/>
      </w:r>
    </w:p>
  </w:footnote>
  <w:footnote w:id="4">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{"citationID":"87cu4v2tj","properties":{"formattedCitation":"{\\rtf Gareth H Jones, \\i History of the Law of Charity, 1532\\uc0\\u8211{}1827\\i0{} (Cambridge University Press, 1969) 3\\uc0\\u8211{}4.}","plainCitation":"Gareth H Jones, History of the Law of Charity, 1532–1827 (Cambridge University Press, 1969) 3–4."},"citationItems":[{"id":5120,"uris":["http://zotero.org/users/57495/items/HVV38FNP"],"uri":["http://zotero.org/users/57495/items/HVV38FNP"],"itemData":{"id":5120,"type":"book","title":"History of the Law of Charity, 1532–1827","publisher":"Cambridge University Press","publisher-place":"London","event-place":"London","abstract":"General history of the law of charity. Extremely detailed - excellent source.","ISBN":"9780521073479","call-number":"LAW KN 215 A1 JONE","shortTitle":"History of the Law of Charity","author":[{"family":"Jones","given":"Gareth H"}],"issued":{"year":1969},"accessed":{"year":2010,"month":8,"day":23}},"locator":"3-4"}],"schema":"https://github.com/citation-style-language/schema/raw/master/csl-citation.json"} </w:instrText>
      </w:r>
      <w:r w:rsidR="00373043">
        <w:fldChar w:fldCharType="separate"/>
      </w:r>
      <w:r w:rsidRPr="001B33B0">
        <w:rPr>
          <w:rFonts w:cs="Times New Roman (Arabic)"/>
          <w:lang w:val="en-US"/>
        </w:rPr>
        <w:t xml:space="preserve">Gareth H Jones, </w:t>
      </w:r>
      <w:r w:rsidRPr="001B33B0">
        <w:rPr>
          <w:rFonts w:cs="Times New Roman (Arabic)"/>
          <w:i/>
          <w:iCs/>
          <w:lang w:val="en-US"/>
        </w:rPr>
        <w:t>History of the Law of Charity, 1532–1827</w:t>
      </w:r>
      <w:r w:rsidRPr="001B33B0">
        <w:rPr>
          <w:rFonts w:cs="Times New Roman (Arabic)"/>
          <w:lang w:val="en-US"/>
        </w:rPr>
        <w:t xml:space="preserve"> (Cambridge University Press, 1969) 3–4.</w:t>
      </w:r>
      <w:r w:rsidR="00373043">
        <w:fldChar w:fldCharType="end"/>
      </w:r>
    </w:p>
  </w:footnote>
  <w:footnote w:id="5">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{"citationID":"1qu5q2hj4q","properties":{"formattedCitation":"Ibid 4.","plainCitation":"Ibid 4."},"citationItems":[{"id":5120,"uris":["http://zotero.org/users/57495/items/HVV38FNP"],"uri":["http://zotero.org/users/57495/items/HVV38FNP"],"itemData":{"id":5120,"type":"book","title":"History of the Law of Charity, 1532–1827","publisher":"Cambridge University Press","publisher-place":"London","event-place":"London","abstract":"General history of the law of charity. Extremely detailed - excellent source.","ISBN":"9780521073479","call-number":"LAW KN 215 A1 JONE","shortTitle":"History of the Law of Charity","author":[{"family":"Jones","given":"Gareth H"}],"issued":{"year":1969},"accessed":{"year":2010,"month":8,"day":23}},"locator":"4"}],"schema":"https://github.com/citation-style-language/schema/raw/master/csl-citation.json"} </w:instrText>
      </w:r>
      <w:r w:rsidR="00373043">
        <w:fldChar w:fldCharType="separate"/>
      </w:r>
      <w:r>
        <w:rPr>
          <w:noProof/>
        </w:rPr>
        <w:t>Ibid 4.</w:t>
      </w:r>
      <w:r w:rsidR="00373043">
        <w:fldChar w:fldCharType="end"/>
      </w:r>
    </w:p>
  </w:footnote>
  <w:footnote w:id="6">
    <w:p w:rsidR="001B33B0" w:rsidRDefault="001B33B0" w:rsidP="00EC573D">
      <w:pPr>
        <w:pStyle w:val="FootnoteText"/>
      </w:pPr>
      <w:r>
        <w:rPr>
          <w:rStyle w:val="FootnoteReference"/>
        </w:rPr>
        <w:footnoteRef/>
      </w:r>
      <w:r>
        <w:t xml:space="preserve"> </w:t>
      </w:r>
      <w:r w:rsidR="00373043">
        <w:fldChar w:fldCharType="begin"/>
      </w:r>
      <w:r>
        <w:instrText xml:space="preserve"> ADDIN ZOTERO_ITEM CSL_CITATION {"citationID":"fju88nahu","properties":{"formattedCitation":"{\\rtf Ibid 59\\uc0\\u8211{}80.}","plainCitation":"Ibid 59–80."},"citationItems":[{"id":5120,"uris":["http://zotero.org/users/57495/items/HVV38FNP"],"uri":["http://zotero.org/users/57495/items/HVV38FNP"],"itemData":{"id":5120,"type":"book","title":"History of the Law of Charity, 1532–1827","publisher":"Cambridge University Press","publisher-place":"London","event-place":"London","abstract":"General history of the law of charity. Extremely detailed - excellent source.","ISBN":"9780521073479","call-number":"LAW KN 215 A1 JONE","shortTitle":"History of the Law of Charity","author":[{"family":"Jones","given":"Gareth H"}],"issued":{"year":1969},"accessed":{"year":2010,"month":8,"day":23}},"locator":"59-80"}],"schema":"https://github.com/citation-style-language/schema/raw/master/csl-citation.json"} </w:instrText>
      </w:r>
      <w:r w:rsidR="00373043">
        <w:fldChar w:fldCharType="separate"/>
      </w:r>
      <w:r w:rsidRPr="001B33B0">
        <w:rPr>
          <w:rFonts w:cs="Times New Roman (Arabic)"/>
          <w:lang w:val="en-US"/>
        </w:rPr>
        <w:t>Ibid 59–80.</w:t>
      </w:r>
      <w:r w:rsidR="00373043">
        <w:fldChar w:fldCharType="end"/>
      </w:r>
    </w:p>
  </w:footnote>
  <w:footnote w:id="7">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{"citationID":"27440fort7","properties":{"formattedCitation":"Ibid 5.","plainCitation":"Ibid 5."},"citationItems":[{"id":5120,"uris":["http://zotero.org/users/57495/items/HVV38FNP"],"uri":["http://zotero.org/users/57495/items/HVV38FNP"],"itemData":{"id":5120,"type":"book","title":"History of the Law of Charity, 1532–1827","publisher":"Cambridge University Press","publisher-place":"London","event-place":"London","abstract":"General history of the law of charity. Extremely detailed - excellent source.","ISBN":"9780521073479","call-number":"LAW KN 215 A1 JONE","shortTitle":"History of the Law of Charity","author":[{"family":"Jones","given":"Gareth H"}],"issued":{"year":1969},"accessed":{"year":2010,"month":8,"day":23}},"locator":"5"}],"schema":"https://github.com/citation-style-language/schema/raw/master/csl-citation.json"} </w:instrText>
      </w:r>
      <w:r w:rsidR="00373043">
        <w:fldChar w:fldCharType="separate"/>
      </w:r>
      <w:r>
        <w:rPr>
          <w:noProof/>
        </w:rPr>
        <w:t>Ibid 5.</w:t>
      </w:r>
      <w:r w:rsidR="00373043">
        <w:fldChar w:fldCharType="end"/>
      </w:r>
    </w:p>
  </w:footnote>
  <w:footnote w:id="8">
    <w:p w:rsidR="001B33B0" w:rsidRDefault="001B33B0" w:rsidP="00A656B0">
      <w:pPr>
        <w:pStyle w:val="FootnoteText"/>
      </w:pPr>
      <w:r>
        <w:rPr>
          <w:rStyle w:val="FootnoteReference"/>
        </w:rPr>
        <w:footnoteRef/>
      </w:r>
      <w:r>
        <w:t xml:space="preserve"> Most religious uses, except the repair of churches, were not included in the preamble.</w:t>
      </w:r>
    </w:p>
  </w:footnote>
  <w:footnote w:id="9">
    <w:p w:rsidR="001B33B0" w:rsidRDefault="001B33B0" w:rsidP="00A656B0">
      <w:pPr>
        <w:pStyle w:val="FootnoteText"/>
      </w:pPr>
      <w:r>
        <w:rPr>
          <w:rStyle w:val="FootnoteReference"/>
        </w:rPr>
        <w:footnoteRef/>
      </w:r>
      <w:r>
        <w:t xml:space="preserve"> </w:t>
      </w:r>
      <w:r w:rsidR="00373043">
        <w:fldChar w:fldCharType="begin"/>
      </w:r>
      <w:r>
        <w:instrText xml:space="preserve"> ADDIN ZOTERO_ITEM CSL_CITATION {"citationID":"gd7jjjsst","properties":{"formattedCitation":"{\\rtf Blake Bromley, \\uc0\\u8216{}1601 Preamble: The State\\uc0\\u8217{}s Agenda for Charity\\uc0\\u8217{} (2001) 7 \\i Charity Law and Practice Review\\i0{} 177\\uc0\\u8211{}211.}","plainCitation":"Blake Bromley, ‘1601 Preamble: The State’s Agenda for Charity’ (2001) 7 Charity Law and Practice Review 177–211."},"citationItems":[{"id":4993,"uris":["http://zotero.org/users/57495/items/H554EVM2"],"uri":["http://zotero.org/users/57495/items/H554EVM2"],"itemData":{"id":4993,"type":"article-journal","title":"1601 Preamble: The State's Agenda for Charity","container-title":"Charity Law and Practice Review","page":"177–211","volume":"7","issue":"3","shortTitle":"1601 Preamble","author":[{"family":"Bromley","given":"Blake"}],"issued":{"year":2001},"page-first":"177–211"}}],"schema":"https://github.com/citation-style-language/schema/raw/master/csl-citation.json"} </w:instrText>
      </w:r>
      <w:r w:rsidR="00373043">
        <w:fldChar w:fldCharType="separate"/>
      </w:r>
      <w:r w:rsidRPr="001B33B0">
        <w:rPr>
          <w:rFonts w:cs="Times New Roman (Arabic)"/>
          <w:lang w:val="en-US"/>
        </w:rPr>
        <w:t xml:space="preserve">Blake Bromley, ‘1601 Preamble: The State’s Agenda for Charity’ (2001) 7 </w:t>
      </w:r>
      <w:r w:rsidRPr="001B33B0">
        <w:rPr>
          <w:rFonts w:cs="Times New Roman (Arabic)"/>
          <w:i/>
          <w:iCs/>
          <w:lang w:val="en-US"/>
        </w:rPr>
        <w:t>Charity Law and Practice Review</w:t>
      </w:r>
      <w:r w:rsidRPr="001B33B0">
        <w:rPr>
          <w:rFonts w:cs="Times New Roman (Arabic)"/>
          <w:lang w:val="en-US"/>
        </w:rPr>
        <w:t xml:space="preserve"> 177–211.</w:t>
      </w:r>
      <w:r w:rsidR="00373043">
        <w:fldChar w:fldCharType="end"/>
      </w:r>
    </w:p>
  </w:footnote>
  <w:footnote w:id="10">
    <w:p w:rsidR="001B33B0" w:rsidRDefault="001B33B0" w:rsidP="00AE7879">
      <w:pPr>
        <w:pStyle w:val="FootnoteText"/>
      </w:pPr>
      <w:r>
        <w:rPr>
          <w:rStyle w:val="FootnoteReference"/>
        </w:rPr>
        <w:footnoteRef/>
      </w:r>
      <w:r>
        <w:t xml:space="preserve"> </w:t>
      </w:r>
      <w:r w:rsidR="00373043">
        <w:fldChar w:fldCharType="begin"/>
      </w:r>
      <w:r>
        <w:instrText xml:space="preserve"> ADDIN ZOTERO_ITEM CSL_CITATION {"citationID":"qtedai1vr","properties":{"formattedCitation":"{\\rtf T. Bourchier-Chilcott, \\uc0\\u8216{}Superstitious Uses\\uc0\\u8217{} (1920) 36 \\i Law Quarterly Review\\i0{} 152.}","plainCitation":"T. Bourchier-Chilcott, ‘Superstitious Uses’ (1920) 36 Law Quarterly Review 152."},"citationItems":[{"id":12371,"uris":["http://zotero.org/groups/39658/items/U7UX6GBE"],"uri":["http://zotero.org/groups/39658/items/U7UX6GBE"],"itemData":{"id":12371,"type":"article-journal","title":"Superstitious Uses","container-title":"Law Quarterly Review","page":"152","volume":"36","author":[{"family":"Bourchier-Chilcott","given":"T."}],"issued":{"year":1920},"page-first":"152"}}],"schema":"https://github.com/citation-style-language/schema/raw/master/csl-citation.json"} </w:instrText>
      </w:r>
      <w:r w:rsidR="00373043">
        <w:fldChar w:fldCharType="separate"/>
      </w:r>
      <w:r w:rsidRPr="001B33B0">
        <w:rPr>
          <w:rFonts w:cs="Times New Roman (Arabic)"/>
          <w:lang w:val="en-US"/>
        </w:rPr>
        <w:t xml:space="preserve">T. Bourchier-Chilcott, ‘Superstitious Uses’ (1920) 36 </w:t>
      </w:r>
      <w:r w:rsidRPr="001B33B0">
        <w:rPr>
          <w:rFonts w:cs="Times New Roman (Arabic)"/>
          <w:i/>
          <w:iCs/>
          <w:lang w:val="en-US"/>
        </w:rPr>
        <w:t>Law Quarterly Review</w:t>
      </w:r>
      <w:r w:rsidRPr="001B33B0">
        <w:rPr>
          <w:rFonts w:cs="Times New Roman (Arabic)"/>
          <w:lang w:val="en-US"/>
        </w:rPr>
        <w:t xml:space="preserve"> 152.</w:t>
      </w:r>
      <w:r w:rsidR="00373043">
        <w:fldChar w:fldCharType="end"/>
      </w:r>
    </w:p>
  </w:footnote>
  <w:footnote w:id="11">
    <w:p w:rsidR="001B33B0" w:rsidRDefault="001B33B0" w:rsidP="00AE7879">
      <w:pPr>
        <w:pStyle w:val="FootnoteText"/>
      </w:pPr>
      <w:r>
        <w:rPr>
          <w:rStyle w:val="FootnoteReference"/>
        </w:rPr>
        <w:footnoteRef/>
      </w:r>
      <w:r>
        <w:t xml:space="preserve"> </w:t>
      </w:r>
      <w:r w:rsidR="00373043">
        <w:fldChar w:fldCharType="begin"/>
      </w:r>
      <w:r>
        <w:instrText xml:space="preserve"> ADDIN ZOTERO_ITEM CSL_CITATION {"citationID":"parbm9jn7","properties":{"formattedCitation":"{\\rtf Jones, \\i History of the Law of Charity\\i0{}, above n 3, 58.}","plainCitation":"Jones, History of the Law of Charity, above n 3, 58."},"citationItems":[{"id":5120,"uris":["http://zotero.org/users/57495/items/HVV38FNP"],"uri":["http://zotero.org/users/57495/items/HVV38FNP"],"itemData":{"id":5120,"type":"book","title":"History of the Law of Charity, 1532–1827","publisher":"Cambridge University Press","publisher-place":"London","event-place":"London","abstract":"General history of the law of charity. Extremely detailed - excellent source.","ISBN":"9780521073479","call-number":"LAW KN 215 A1 JONE","shortTitle":"History of the Law of Charity","author":[{"family":"Jones","given":"Gareth H"}],"issued":{"year":1969},"accessed":{"year":2010,"month":8,"day":23}},"locator":"58"}],"schema":"https://github.com/citation-style-language/schema/raw/master/csl-citation.json"} </w:instrText>
      </w:r>
      <w:r w:rsidR="00373043">
        <w:fldChar w:fldCharType="separate"/>
      </w:r>
      <w:r w:rsidRPr="001B33B0">
        <w:rPr>
          <w:rFonts w:cs="Times New Roman (Arabic)"/>
          <w:lang w:val="en-US"/>
        </w:rPr>
        <w:t xml:space="preserve">Jones, </w:t>
      </w:r>
      <w:r w:rsidRPr="001B33B0">
        <w:rPr>
          <w:rFonts w:cs="Times New Roman (Arabic)"/>
          <w:i/>
          <w:iCs/>
          <w:lang w:val="en-US"/>
        </w:rPr>
        <w:t>History of the Law of Charity</w:t>
      </w:r>
      <w:r w:rsidRPr="001B33B0">
        <w:rPr>
          <w:rFonts w:cs="Times New Roman (Arabic)"/>
          <w:lang w:val="en-US"/>
        </w:rPr>
        <w:t>, above n 3, 58.</w:t>
      </w:r>
      <w:r w:rsidR="00373043">
        <w:fldChar w:fldCharType="end"/>
      </w:r>
    </w:p>
  </w:footnote>
  <w:footnote w:id="12">
    <w:p w:rsidR="001B33B0" w:rsidRDefault="001B33B0" w:rsidP="00A656B0">
      <w:pPr>
        <w:pStyle w:val="FootnoteText"/>
      </w:pPr>
      <w:r>
        <w:rPr>
          <w:rStyle w:val="FootnoteReference"/>
        </w:rPr>
        <w:footnoteRef/>
      </w:r>
      <w:r>
        <w:t xml:space="preserve"> </w:t>
      </w:r>
      <w:r w:rsidR="00373043">
        <w:fldChar w:fldCharType="begin"/>
      </w:r>
      <w:r>
        <w:instrText xml:space="preserve"> ADDIN ZOTERO_ITEM CSL_CITATION {"citationID":"l23cnklnv","properties":{"formattedCitation":"{\\rtf Ibid 107\\uc0\\u8211{}108.}","plainCitation":"Ibid 107–108."},"citationItems":[{"id":5120,"uris":["http://zotero.org/users/57495/items/HVV38FNP"],"uri":["http://zotero.org/users/57495/items/HVV38FNP"],"itemData":{"id":5120,"type":"book","title":"History of the Law of Charity, 1532–1827","publisher":"Cambridge University Press","publisher-place":"London","event-place":"London","abstract":"General history of the law of charity. Extremely detailed - excellent source.","ISBN":"9780521073479","call-number":"LAW KN 215 A1 JONE","shortTitle":"History of the Law of Charity","author":[{"family":"Jones","given":"Gareth H"}],"issued":{"year":1969},"accessed":{"year":2010,"month":8,"day":23}},"locator":"107-108"}],"schema":"https://github.com/citation-style-language/schema/raw/master/csl-citation.json"} </w:instrText>
      </w:r>
      <w:r w:rsidR="00373043">
        <w:fldChar w:fldCharType="separate"/>
      </w:r>
      <w:r w:rsidRPr="001B33B0">
        <w:rPr>
          <w:rFonts w:cs="Times New Roman (Arabic)"/>
          <w:lang w:val="en-US"/>
        </w:rPr>
        <w:t>Ibid 107–108.</w:t>
      </w:r>
      <w:r w:rsidR="00373043">
        <w:fldChar w:fldCharType="end"/>
      </w:r>
    </w:p>
  </w:footnote>
  <w:footnote w:id="13">
    <w:p w:rsidR="001B33B0" w:rsidRDefault="001B33B0" w:rsidP="00A656B0">
      <w:pPr>
        <w:pStyle w:val="FootnoteText"/>
      </w:pPr>
      <w:r>
        <w:rPr>
          <w:rStyle w:val="FootnoteReference"/>
        </w:rPr>
        <w:footnoteRef/>
      </w:r>
      <w:r>
        <w:t xml:space="preserve"> </w:t>
      </w:r>
      <w:r>
        <w:tab/>
      </w:r>
      <w:r>
        <w:tab/>
      </w:r>
      <w:r w:rsidR="00373043">
        <w:fldChar w:fldCharType="begin"/>
      </w:r>
      <w:r>
        <w:instrText xml:space="preserve"> ADDIN ZOTERO_ITEM CSL_CITATION {"citationID":"1ngmqtosv6","properties":{"formattedCitation":"Ibid 107.","plainCitation":"Ibid 107."},"citationItems":[{"id":5120,"uris":["http://zotero.org/users/57495/items/HVV38FNP"],"uri":["http://zotero.org/users/57495/items/HVV38FNP"],"itemData":{"id":5120,"type":"book","title":"History of the Law of Charity, 1532–1827","publisher":"Cambridge University Press","publisher-place":"London","event-place":"London","abstract":"General history of the law of charity. Extremely detailed - excellent source.","ISBN":"9780521073479","call-number":"LAW KN 215 A1 JONE","shortTitle":"History of the Law of Charity","author":[{"family":"Jones","given":"Gareth H"}],"issued":{"year":1969},"accessed":{"year":2010,"month":8,"day":23}},"locator":"107"}],"schema":"https://github.com/citation-style-language/schema/raw/master/csl-citation.json"} </w:instrText>
      </w:r>
      <w:r w:rsidR="00373043">
        <w:fldChar w:fldCharType="separate"/>
      </w:r>
      <w:r>
        <w:rPr>
          <w:noProof/>
        </w:rPr>
        <w:t>Ibid 107.</w:t>
      </w:r>
      <w:r w:rsidR="00373043">
        <w:fldChar w:fldCharType="end"/>
      </w:r>
    </w:p>
  </w:footnote>
  <w:footnote w:id="14">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{"citationID":"45vbfq483","properties":{"formattedCitation":"{\\rtf \\i Morice v Bishop of Durham\\i0{} [1804] 9 Ves 399; 32 ER 656.}","plainCitation":"Morice v Bishop of Durham [1804] 9 Ves 399; 32 ER 656."},"citationItems":[{"id":5186,"uris":["http://zotero.org/users/57495/items/ICD4NC3A"],"uri":["http://zotero.org/users/57495/items/ICD4NC3A"],"itemData":{"id":5186,"type":"legal_case","title":"Morice v Bishop of Durham","container-title":"9 Ves 399; 32 ER 656","issued":{"year":1804}}}],"schema":"https://github.com/citation-style-language/schema/raw/master/csl-citation.json"} </w:instrText>
      </w:r>
      <w:r w:rsidR="00373043">
        <w:fldChar w:fldCharType="separate"/>
      </w:r>
      <w:r w:rsidRPr="001B33B0">
        <w:rPr>
          <w:rFonts w:cs="Times New Roman (Arabic)"/>
          <w:i/>
          <w:iCs/>
          <w:lang w:val="en-US"/>
        </w:rPr>
        <w:t>Morice v Bishop of Durham</w:t>
      </w:r>
      <w:r w:rsidRPr="001B33B0">
        <w:rPr>
          <w:rFonts w:cs="Times New Roman (Arabic)"/>
          <w:lang w:val="en-US"/>
        </w:rPr>
        <w:t xml:space="preserve"> [1804] 9 Ves 399; 32 ER 656.</w:t>
      </w:r>
      <w:r w:rsidR="00373043">
        <w:fldChar w:fldCharType="end"/>
      </w:r>
    </w:p>
  </w:footnote>
  <w:footnote w:id="15">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{"citationID":"2buh88siem","properties":{"formattedCitation":"{\\rtf Jones, \\i History of the Law of Charity\\i0{}, above n 3, 122\\uc0\\u8211{}126.}","plainCitation":"Jones, History of the Law of Charity, above n 3, 122–126."},"citationItems":[{"id":5120,"uris":["http://zotero.org/users/57495/items/HVV38FNP"],"uri":["http://zotero.org/users/57495/items/HVV38FNP"],"itemData":{"id":5120,"type":"book","title":"History of the Law of Charity, 1532–1827","publisher":"Cambridge University Press","publisher-place":"London","event-place":"London","abstract":"General history of the law of charity. Extremely detailed - excellent source.","ISBN":"9780521073479","call-number":"LAW KN 215 A1 JONE","shortTitle":"History of the Law of Charity","author":[{"family":"Jones","given":"Gareth H"}],"issued":{"year":1969},"accessed":{"year":2010,"month":8,"day":23}},"locator":"122-126"}],"schema":"https://github.com/citation-style-language/schema/raw/master/csl-citation.json"} </w:instrText>
      </w:r>
      <w:r w:rsidR="00373043">
        <w:fldChar w:fldCharType="separate"/>
      </w:r>
      <w:r w:rsidRPr="001B33B0">
        <w:rPr>
          <w:rFonts w:cs="Times New Roman (Arabic)"/>
          <w:lang w:val="en-US"/>
        </w:rPr>
        <w:t xml:space="preserve">Jones, </w:t>
      </w:r>
      <w:r w:rsidRPr="001B33B0">
        <w:rPr>
          <w:rFonts w:cs="Times New Roman (Arabic)"/>
          <w:i/>
          <w:iCs/>
          <w:lang w:val="en-US"/>
        </w:rPr>
        <w:t>History of the Law of Charity</w:t>
      </w:r>
      <w:r w:rsidRPr="001B33B0">
        <w:rPr>
          <w:rFonts w:cs="Times New Roman (Arabic)"/>
          <w:lang w:val="en-US"/>
        </w:rPr>
        <w:t>, above n 3, 122–126.</w:t>
      </w:r>
      <w:r w:rsidR="00373043">
        <w:fldChar w:fldCharType="end"/>
      </w:r>
    </w:p>
  </w:footnote>
  <w:footnote w:id="16">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{"citationID":"1f01s217me","properties":{"formattedCitation":"{\\rtf \\i Commissioners for Special Purposes of Income Tax v Pemsel\\i0{} [1891] 1 AC 531.}","plainCitation":"Commissioners for Special Purposes of Income Tax v Pemsel [1891] 1 AC 531."},"citationItems":[{"id":1116,"uris":["http://zotero.org/groups/39658/items/DHQ9BVPR"],"uri":["http://zotero.org/groups/39658/items/DHQ9BVPR"],"itemData":{"id":1116,"type":"legal_case","title":"Commissioners for Special Purposes of Income Tax v Pemsel","container-title":"1 AC","page":"531","abstract":"By 5 &amp; 6 Vict. c. 35, s. 61, No. VI., allowances in respect of the income tax imposed by Sched. A are to be granted by the Commissioners for Special Purposes of the Income Tax on (inter alia) the rents and profits of lands, tenements, hereditaments, or heritages, vested in trustees for charitable purposes, so far as the same are applied to charitable purposes.\n\nIn a case where an allowance which ought to be granted is refused mandamus lies to the Commissioners commanding them to grant the allowance and to give a certificate of the allowance with an order for the payment thereof.\n\nLands in England were conveyed by deed in 1813 to trustees upon trust after payment of costs and outgoings to apply two-fourths of the rents and profits for the general purposes of maintaining, supporting and advancing the missionary establishments among heathen nations of the Protestant Episcopal Church, commonly known as the Moravian Church; and to","issued":{"year":1891,"month":7,"day":20},"page-first":"531"}}],"schema":"https://github.com/citation-style-language/schema/raw/master/csl-citation.json"} </w:instrText>
      </w:r>
      <w:r w:rsidR="00373043">
        <w:fldChar w:fldCharType="separate"/>
      </w:r>
      <w:r w:rsidRPr="001B33B0">
        <w:rPr>
          <w:rFonts w:cs="Times New Roman (Arabic)"/>
          <w:i/>
          <w:iCs/>
          <w:lang w:val="en-US"/>
        </w:rPr>
        <w:t>Commissioners for Special Purposes of Income Tax v Pemsel</w:t>
      </w:r>
      <w:r w:rsidRPr="001B33B0">
        <w:rPr>
          <w:rFonts w:cs="Times New Roman (Arabic)"/>
          <w:lang w:val="en-US"/>
        </w:rPr>
        <w:t xml:space="preserve"> [1891] 1 AC 531.</w:t>
      </w:r>
      <w:r w:rsidR="00373043">
        <w:fldChar w:fldCharType="end"/>
      </w:r>
    </w:p>
  </w:footnote>
  <w:footnote w:id="17">
    <w:p w:rsidR="001B33B0" w:rsidRDefault="001B33B0">
      <w:pPr>
        <w:pStyle w:val="FootnoteText"/>
      </w:pPr>
      <w:r>
        <w:rPr>
          <w:rStyle w:val="FootnoteReference"/>
        </w:rPr>
        <w:footnoteRef/>
      </w:r>
      <w:r>
        <w:t xml:space="preserve"> </w:t>
      </w:r>
      <w:r>
        <w:tab/>
      </w:r>
      <w:r>
        <w:tab/>
        <w:t xml:space="preserve">See generally </w:t>
      </w:r>
      <w:r w:rsidR="00373043">
        <w:fldChar w:fldCharType="begin"/>
      </w:r>
      <w:r>
        <w:instrText xml:space="preserve"> ADDIN ZOTERO_ITEM CSL_CITATION {"citationID":"chh8nqi6","properties":{"formattedCitation":"{\\rtf Joyce Chia et al., \\i Taxing Charities: A Literature Review\\i0{} (Not-for-Profit Project, Melbourne Law School, 28 February 2011) &lt;http://tax.law.unimelb.edu.au/index.cfm?objectid=053E24C1-B048-8204-A721A46DFB996924&amp;flushcache=1&amp;showdraft=1#Publications&gt;.}","plainCitation":"Joyce Chia et al., Taxing Charities: A Literature Review (Not-for-Profit Project, Melbourne Law School, 28 February 2011) &lt;http://tax.law.unimelb.edu.au/index.cfm?objectid=053E24C1-B048-8204-A721A46DFB996924&amp;flushcache=1&amp;showdraft=1#Publications&gt;."},"citationItems":[{"id":2457,"uris":["http://zotero.org/groups/39658/items/TIJTGBHC"],"uri":["http://zotero.org/groups/39658/items/TIJTGBHC"],"itemData":{"id":2457,"type":"report","title":"Taxing Charities: A Literature Review","publisher":"Not-for-Profit Project, Melbourne Law School","URL":"http://tax.law.unimelb.edu.au/index.cfm?objectid=053E24C1-B048-8204-A721A46DFB996924&amp;flushcache=1&amp;showdraft=1#Publications","author":[{"family":"Chia","given":"Joyce"},{"family":"Harding","given":"Matthew"},{"family":"O'Connell","given":"Ann"},{"family":"Stewart","given":"Miranda"}],"issued":{"year":2011,"month":2,"day":28}}}],"schema":"https://github.com/citation-style-language/schema/raw/master/csl-citation.json"} </w:instrText>
      </w:r>
      <w:r w:rsidR="00373043">
        <w:fldChar w:fldCharType="separate"/>
      </w:r>
      <w:r w:rsidRPr="001B33B0">
        <w:rPr>
          <w:rFonts w:cs="Times New Roman (Arabic)"/>
          <w:lang w:val="en-US"/>
        </w:rPr>
        <w:t xml:space="preserve">Joyce Chia et al., </w:t>
      </w:r>
      <w:r w:rsidRPr="001B33B0">
        <w:rPr>
          <w:rFonts w:cs="Times New Roman (Arabic)"/>
          <w:i/>
          <w:iCs/>
          <w:lang w:val="en-US"/>
        </w:rPr>
        <w:t>Taxing Charities: A Literature Review</w:t>
      </w:r>
      <w:r w:rsidRPr="001B33B0">
        <w:rPr>
          <w:rFonts w:cs="Times New Roman (Arabic)"/>
          <w:lang w:val="en-US"/>
        </w:rPr>
        <w:t xml:space="preserve"> (Not-for-Profit Project, Melbourne Law School, 28 February 2011) &lt;http://tax.law.unimelb.edu.au/index.cfm?objectid=053E24C1-B048-8204-A721A46DFB996924&amp;flushcache=1&amp;showdraft=1#Publications&gt;.</w:t>
      </w:r>
      <w:r w:rsidR="00373043">
        <w:fldChar w:fldCharType="end"/>
      </w:r>
      <w:r>
        <w:t xml:space="preserve"> See also </w:t>
      </w:r>
      <w:r w:rsidR="00373043">
        <w:fldChar w:fldCharType="begin"/>
      </w:r>
      <w:r>
        <w:instrText xml:space="preserve"> ADDIN ZOTERO_ITEM CSL_CITATION {"citationID":"1sr0ffrsgl","properties":{"formattedCitation":"{\\rtf Myles McGregor-Lowndes, Matthew Turnour and Elizabeth Turnour, \\uc0\\u8216{}Not for Profit Income Tax Exemption: Is There a Hole in the Bucket, Dear Henry?\\uc0\\u8217{} (2011) 26 \\i Australian Tax Forum\\i0{} 601.}","plainCitation":"Myles McGregor-Lowndes, Matthew Turnour and Elizabeth Turnour, ‘Not for Profit Income Tax Exemption: Is There a Hole in the Bucket, Dear Henry?’ (2011) 26 Australian Tax Forum 601."},"citationItems":[{"id":12424,"uris":["http://zotero.org/groups/39658/items/7NKD29R9"],"uri":["http://zotero.org/groups/39658/items/7NKD29R9"],"itemData":{"id":12424,"type":"article-journal","title":"Not for profit income tax exemption: is there a hole in the bucket, dear Henry?","container-title":"Australian Tax Forum","page":"601-631","volume":"26","abstract":"Australia’s Future Tax System Review, headed by the then head of the Australian Treasury, and the Productivity Commission’s Research Report on the not for profit sector, both examined the state of tax concessions to Australia’s not for profit sector in the light of the High Court’s decision in Commissioner of Taxation v Word Investments Ltd. Despite being unable to quantify with any certainty the pre- or post-Word Investments cost of the tax concessions, both Reports indicated their support for continuation of the income tax exemption. However, the government acted in the 2011 Budget to target the not for profit income tax concessions more precisely, mainly on competitive neutrality grounds.\n\nThis article examines the income tax exemption by applying the five taxation design principles, proposed in the Australia’s Future Tax System Review, for assessing tax expenditure. The conclusion is that the exemptions can be justified and, further, that a rationale for the exemption can be consistent with the reasoning in the Word Investments case.","shortTitle":"Not for profit income tax exemption","author":[{"family":"McGregor-Lowndes","given":"Myles"},{"family":"Turnour","given":"Matthew"},{"family":"Turnour","given":"Elizabeth"}],"issued":{"year":2011},"accessed":{"year":2012,"month":2,"day":23},"page-first":"601"}}],"schema":"https://github.com/citation-style-language/schema/raw/master/csl-citation.json"} </w:instrText>
      </w:r>
      <w:r w:rsidR="00373043">
        <w:fldChar w:fldCharType="separate"/>
      </w:r>
      <w:r w:rsidRPr="001B33B0">
        <w:rPr>
          <w:rFonts w:cs="Times New Roman (Arabic)"/>
          <w:lang w:val="en-US"/>
        </w:rPr>
        <w:t xml:space="preserve">Myles McGregor-Lowndes, Matthew Turnour and Elizabeth Turnour, ‘Not for Profit Income Tax Exemption: Is There a Hole in the Bucket, Dear Henry?’ (2011) 26 </w:t>
      </w:r>
      <w:r w:rsidRPr="001B33B0">
        <w:rPr>
          <w:rFonts w:cs="Times New Roman (Arabic)"/>
          <w:i/>
          <w:iCs/>
          <w:lang w:val="en-US"/>
        </w:rPr>
        <w:t>Australian Tax Forum</w:t>
      </w:r>
      <w:r w:rsidRPr="001B33B0">
        <w:rPr>
          <w:rFonts w:cs="Times New Roman (Arabic)"/>
          <w:lang w:val="en-US"/>
        </w:rPr>
        <w:t xml:space="preserve"> 601.</w:t>
      </w:r>
      <w:r w:rsidR="00373043">
        <w:fldChar w:fldCharType="end"/>
      </w:r>
    </w:p>
  </w:footnote>
  <w:footnote w:id="18">
    <w:p w:rsidR="001B33B0" w:rsidRDefault="001B33B0">
      <w:pPr>
        <w:pStyle w:val="FootnoteText"/>
      </w:pPr>
      <w:r>
        <w:rPr>
          <w:rStyle w:val="FootnoteReference"/>
        </w:rPr>
        <w:footnoteRef/>
      </w:r>
      <w:r>
        <w:t xml:space="preserve"> </w:t>
      </w:r>
      <w:r>
        <w:tab/>
      </w:r>
      <w:r>
        <w:tab/>
        <w:t xml:space="preserve">There are some exemptions for a small list of ‘eligible bodies’ (mostly public institutions) and also for scientific research associations: see, eg, </w:t>
      </w:r>
      <w:r w:rsidR="00373043">
        <w:fldChar w:fldCharType="begin"/>
      </w:r>
      <w:r>
        <w:instrText xml:space="preserve"> ADDIN ZOTERO_ITEM CSL_CITATION {"citationID":"19af3r3k3u","properties":{"formattedCitation":"{\\rtf UK, \\uc0\\u8216{}Corporation Tax Act\\uc0\\u8217{} (2010).}","plainCitation":"UK, ‘Corporation Tax Act’ (2010)."},"citationItems":[{"id":1805,"uris":["http://zotero.org/groups/39658/items/M29X8C75"],"uri":["http://zotero.org/groups/39658/items/M29X8C75"],"itemData":{"id":1805,"type":"legislation","title":"Corporation Tax Act","URL":"http://www.bailii.org/uk/legis/num_act/2010/ukpga_20100004_en.html","note":"UK","author":[{"family":"UK","given":""}],"issued":{"year":2010},"accessed":{"year":2010,"month":11,"day":23}},"locator":"ss 490-491"}],"schema":"https://github.com/citation-style-language/schema/raw/master/csl-citation.json"} </w:instrText>
      </w:r>
      <w:r w:rsidR="00373043">
        <w:fldChar w:fldCharType="separate"/>
      </w:r>
      <w:r w:rsidRPr="001B33B0">
        <w:rPr>
          <w:rFonts w:cs="Times New Roman (Arabic)"/>
          <w:lang w:val="en-US"/>
        </w:rPr>
        <w:t>UK, ‘Corporation Tax Act’ (2010).</w:t>
      </w:r>
      <w:r w:rsidR="00373043">
        <w:fldChar w:fldCharType="end"/>
      </w:r>
    </w:p>
  </w:footnote>
  <w:footnote w:id="19">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{"citationID":"u1b5hicou","properties":{"formattedCitation":"{\\rtf Joyce Chia and Ann O\\uc0\\u8217{}Connell, \\i Charitable Treatment? A Short History of Taxation of Charities in Australia\\i0{} (Melbourne Law School, 2011) &lt;http://tax.law.unimelb.edu.au/download.cfm?DownloadFile=93EAAA7E-5056-B405-510604B68E210358&gt;.}","plainCitation":"Joyce Chia and Ann O’Connell, Charitable Treatment? A Short History of Taxation of Charities in Australia (Melbourne Law School, 2011) &lt;http://tax.law.unimelb.edu.au/download.cfm?DownloadFile=93EAAA7E-5056-B405-510604B68E210358&gt;."},"citationItems":[{"id":1817,"uris":["http://zotero.org/groups/39658/items/M6PV2SIE"],"uri":["http://zotero.org/groups/39658/items/M6PV2SIE"],"itemData":{"id":1817,"type":"report","title":"Charitable Treatment? A Short History of Taxation of Charities in Australia","publisher":"Melbourne Law School","URL":"http://tax.law.unimelb.edu.au/download.cfm?DownloadFile=93EAAA7E-5056-B405-510604B68E210358","author":[{"family":"Chia","given":"Joyce"},{"family":"O'Connell","given":"Ann"}],"issued":{"year":2011}}}],"schema":"https://github.com/citation-style-language/schema/raw/master/csl-citation.json"} </w:instrText>
      </w:r>
      <w:r w:rsidR="00373043">
        <w:fldChar w:fldCharType="separate"/>
      </w:r>
      <w:r w:rsidRPr="001B33B0">
        <w:rPr>
          <w:rFonts w:cs="Times New Roman (Arabic)"/>
          <w:lang w:val="en-US"/>
        </w:rPr>
        <w:t xml:space="preserve">Joyce Chia and Ann O’Connell, </w:t>
      </w:r>
      <w:r w:rsidRPr="001B33B0">
        <w:rPr>
          <w:rFonts w:cs="Times New Roman (Arabic)"/>
          <w:i/>
          <w:iCs/>
          <w:lang w:val="en-US"/>
        </w:rPr>
        <w:t>Charitable Treatment? A Short History of Taxation of Charities in Australia</w:t>
      </w:r>
      <w:r w:rsidRPr="001B33B0">
        <w:rPr>
          <w:rFonts w:cs="Times New Roman (Arabic)"/>
          <w:lang w:val="en-US"/>
        </w:rPr>
        <w:t xml:space="preserve"> (Melbourne Law School, 2011) &lt;http://tax.law.unimelb.edu.au/download.cfm?DownloadFile=93EAAA7E-5056-B405-510604B68E210358&gt;.</w:t>
      </w:r>
      <w:r w:rsidR="00373043">
        <w:fldChar w:fldCharType="end"/>
      </w:r>
    </w:p>
  </w:footnote>
  <w:footnote w:id="20">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{"citationID":"2h85ddm5aa","properties":{"formattedCitation":"{\\rtf Ann O\\uc0\\u8217{}Connell, \\uc0\\u8216{}The Tax Position of Charities in Australia: Why Does It Have to Be so Complicated?\\uc0\\u8217{} (2008) 37 \\i Australian Tax Review\\i0{} 17.}","plainCitation":"Ann O’Connell, ‘The Tax Position of Charities in Australia: Why Does It Have to Be so Complicated?’ (2008) 37 Australian Tax Review 17."},"citationItems":[{"id":1194,"uris":["http://zotero.org/groups/39658/items/EG55GTCS"],"uri":["http://zotero.org/groups/39658/items/EG55GTCS"],"itemData":{"id":1194,"type":"article-journal","title":"The Tax Position of Charities in Australia: Why Does It Have to Be so Complicated?","container-title":"Australian Tax Review","page":"17","volume":"37","issue":"1","author":[{"family":"O'Connell","given":"Ann"}],"issued":{"year":2008},"page-first":"17"}}],"schema":"https://github.com/citation-style-language/schema/raw/master/csl-citation.json"} </w:instrText>
      </w:r>
      <w:r w:rsidR="00373043">
        <w:fldChar w:fldCharType="separate"/>
      </w:r>
      <w:r w:rsidRPr="001B33B0">
        <w:rPr>
          <w:rFonts w:cs="Times New Roman (Arabic)"/>
          <w:lang w:val="en-US"/>
        </w:rPr>
        <w:t xml:space="preserve">Ann O’Connell, ‘The Tax Position of Charities in Australia: Why Does It Have to Be so Complicated?’ (2008) 37 </w:t>
      </w:r>
      <w:r w:rsidRPr="001B33B0">
        <w:rPr>
          <w:rFonts w:cs="Times New Roman (Arabic)"/>
          <w:i/>
          <w:iCs/>
          <w:lang w:val="en-US"/>
        </w:rPr>
        <w:t>Australian Tax Review</w:t>
      </w:r>
      <w:r w:rsidRPr="001B33B0">
        <w:rPr>
          <w:rFonts w:cs="Times New Roman (Arabic)"/>
          <w:lang w:val="en-US"/>
        </w:rPr>
        <w:t xml:space="preserve"> 17.</w:t>
      </w:r>
      <w:r w:rsidR="00373043">
        <w:fldChar w:fldCharType="end"/>
      </w:r>
    </w:p>
  </w:footnote>
  <w:footnote w:id="21">
    <w:p w:rsidR="001B33B0" w:rsidRPr="00BA5FB8" w:rsidRDefault="001B33B0" w:rsidP="00CE073A">
      <w:pPr>
        <w:pStyle w:val="FootnoteText"/>
      </w:pPr>
      <w:r>
        <w:rPr>
          <w:rStyle w:val="FootnoteReference"/>
        </w:rPr>
        <w:footnoteRef/>
      </w:r>
      <w:r>
        <w:t xml:space="preserve"> </w:t>
      </w:r>
      <w:r>
        <w:tab/>
      </w:r>
      <w:r>
        <w:tab/>
        <w:t xml:space="preserve">See, eg, </w:t>
      </w:r>
      <w:r>
        <w:rPr>
          <w:i/>
        </w:rPr>
        <w:t xml:space="preserve">Payroll Tax Act 1948 </w:t>
      </w:r>
      <w:r>
        <w:t>(Vic) s 48.</w:t>
      </w:r>
    </w:p>
  </w:footnote>
  <w:footnote w:id="22">
    <w:p w:rsidR="001B33B0" w:rsidRDefault="001B33B0" w:rsidP="000C7D6A">
      <w:pPr>
        <w:pStyle w:val="FootnoteText"/>
      </w:pPr>
      <w:r>
        <w:rPr>
          <w:rStyle w:val="FootnoteReference"/>
        </w:rPr>
        <w:footnoteRef/>
      </w:r>
      <w:r>
        <w:t xml:space="preserve"> </w:t>
      </w:r>
      <w:r>
        <w:tab/>
      </w:r>
      <w:r>
        <w:tab/>
      </w:r>
      <w:r w:rsidR="00373043">
        <w:fldChar w:fldCharType="begin"/>
      </w:r>
      <w:r>
        <w:instrText xml:space="preserve"> ADDIN ZOTERO_ITEM CSL_CITATION {"citationID":"1ke20t5r9d","properties":{"formattedCitation":"{\\rtf Committee of Inquiry into the Effect of Charity Law and Practice on Voluntary Organisations, \\i Charity Law and Voluntary Organisations\\i0{} (1976).}","plainCitation":"Committee of Inquiry into the Effect of Charity Law and Practice on Voluntary Organisations, Charity Law and Voluntary Organisations (1976)."},"citationItems":[{"id":2342,"uris":["http://zotero.org/groups/39658/items/STVI3RFJ"],"uri":["http://zotero.org/groups/39658/items/STVI3RFJ"],"itemData":{"id":2342,"type":"report","title":"Charity Law and Voluntary Organisations","publisher-place":"London","event-place":"London","abstract":"Modernization of the definition of charity through restatement of the categories found in the Statute of Charitable Uses in simple and contemporary language and extension of these categories to objects identified within the scope of charity by the case law. Proposed detailed guidelines on charitable purpose in Appendix I","call-number":"Law KN 215 A1 NATI (missing); SLV # Call Number: S 346.42064 C37","shortTitle":"Goodman Report","author":[{"family":"Committee of Inquiry into the Effect of Charity Law and Practice on Voluntary Organisations","given":""}],"issued":{"year":1976}}}],"schema":"https://github.com/citation-style-language/schema/raw/master/csl-citation.json"} </w:instrText>
      </w:r>
      <w:r w:rsidR="00373043">
        <w:fldChar w:fldCharType="separate"/>
      </w:r>
      <w:r w:rsidRPr="001B33B0">
        <w:rPr>
          <w:rFonts w:cs="Times New Roman (Arabic)"/>
          <w:lang w:val="en-US"/>
        </w:rPr>
        <w:t xml:space="preserve">Committee of Inquiry into the Effect of Charity Law and Practice on Voluntary Organisations, </w:t>
      </w:r>
      <w:r w:rsidRPr="001B33B0">
        <w:rPr>
          <w:rFonts w:cs="Times New Roman (Arabic)"/>
          <w:i/>
          <w:iCs/>
          <w:lang w:val="en-US"/>
        </w:rPr>
        <w:t>Charity Law and Voluntary Organisations</w:t>
      </w:r>
      <w:r w:rsidRPr="001B33B0">
        <w:rPr>
          <w:rFonts w:cs="Times New Roman (Arabic)"/>
          <w:lang w:val="en-US"/>
        </w:rPr>
        <w:t xml:space="preserve"> (1976).</w:t>
      </w:r>
      <w:r w:rsidR="00373043">
        <w:fldChar w:fldCharType="end"/>
      </w:r>
    </w:p>
  </w:footnote>
  <w:footnote w:id="23">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{"citationID":"9fq2bgg2f","properties":{"formattedCitation":"Ibid i.","plainCitation":"Ibid i."},"citationItems":[{"id":2342,"uris":["http://zotero.org/groups/39658/items/STVI3RFJ"],"uri":["http://zotero.org/groups/39658/items/STVI3RFJ"],"itemData":{"id":2342,"type":"report","title":"Charity Law and Voluntary Organisations","publisher-place":"London","event-place":"London","abstract":"Modernization of the definition of charity through restatement of the categories found in the Statute of Charitable Uses in simple and contemporary language and extension of these categories to objects identified within the scope of charity by the case law. Proposed detailed guidelines on charitable purpose in Appendix I","call-number":"Law KN 215 A1 NATI (missing); SLV # Call Number: S 346.42064 C37","shortTitle":"Goodman Report","author":[{"family":"Committee of Inquiry into the Effect of Charity Law and Practice on Voluntary Organisations","given":""}],"issued":{"year":1976}},"locator":"i"}],"schema":"https://github.com/citation-style-language/schema/raw/master/csl-citation.json"} </w:instrText>
      </w:r>
      <w:r w:rsidR="00373043">
        <w:fldChar w:fldCharType="separate"/>
      </w:r>
      <w:r>
        <w:rPr>
          <w:rFonts w:cs="Times New Roman (Arabic)"/>
          <w:lang w:val="en-US"/>
        </w:rPr>
        <w:t>Ibid i.</w:t>
      </w:r>
      <w:r w:rsidR="00373043">
        <w:fldChar w:fldCharType="end"/>
      </w:r>
    </w:p>
  </w:footnote>
  <w:footnote w:id="24">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{"citationID":"2p6571vu0d","properties":{"formattedCitation":"{\\rtf Barbados, \\uc0\\u8216{}Charities Act\\uc0\\u8217{} (1980).}","plainCitation":"Barbados, ‘Charities Act’ (1980)."},"citationItems":[{"id":2784,"uris":["http://zotero.org/groups/39658/items/WTJVPEB3"],"uri":["http://zotero.org/groups/39658/items/WTJVPEB3"],"itemData":{"id":2784,"type":"legislation","title":"Charities Act","note":"Barbados","author":[{"family":"Barbados","given":""}],"issued":{"year":1980}}}],"schema":"https://github.com/citation-style-language/schema/raw/master/csl-citation.json"} </w:instrText>
      </w:r>
      <w:r w:rsidR="00373043">
        <w:fldChar w:fldCharType="separate"/>
      </w:r>
      <w:r w:rsidRPr="001B33B0">
        <w:rPr>
          <w:rFonts w:cs="Times New Roman (Arabic)"/>
          <w:lang w:val="en-US"/>
        </w:rPr>
        <w:t>Barbados, ‘Charities Act’ (1980).</w:t>
      </w:r>
      <w:r w:rsidR="00373043">
        <w:fldChar w:fldCharType="end"/>
      </w:r>
    </w:p>
  </w:footnote>
  <w:footnote w:id="25">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{"citationID":"datcp9dnr","properties":{"formattedCitation":"{\\rtf South Africa, \\uc0\\u8216{}Income Tax Act\\uc0\\u8217{} (1962); Commission of Inquiry into Certain Aspects of the Tax Structure of South Africa, \\i Ninth Interim Report of the Commission of Inquiry into Certain Aspects of the Tax Structure of South Africa: Fiscal Issues Affecting Non-Profit Organisations\\i0{} (1999) &lt;http://www.finance.gov.za/publications/other/katz/default.aspx&gt;.}","plainCitation":"South Africa, ‘Income Tax Act’ (1962); Commission of Inquiry into Certain Aspects of the Tax Structure of South Africa, Ninth Interim Report of the Commission of Inquiry into Certain Aspects of the Tax Structure of South Africa: Fiscal Issues Affecting Non-Profit Organisations (1999) &lt;http://www.finance.gov.za/publications/other/katz/default.aspx&gt;."},"citationItems":[{"id":1029,"uris":["http://zotero.org/groups/39658/items/CPTB7EVU"],"uri":["http://zotero.org/groups/39658/items/CPTB7EVU"],"itemData":{"id":1029,"type":"legislation","title":"Income Tax Act","URL":"http://www.acts.co.za/tax/index.htm","note":"South Africa","author":[{"family":"South Africa","given":""}],"issued":{"year":1962},"accessed":{"year":2010,"month":10,"day":6}}},{"id":242,"uris":["http://zotero.org/groups/39658/items/37THRFJG"],"uri":["http://zotero.org/groups/39658/items/37THRFJG"],"itemData":{"id":242,"type":"report","title":"Ninth Interim Report of the Commission of Inquiry into Certain Aspects of the Tax Structure of South Africa: Fiscal Issues Affecting Non-Profit Organisations","URL":"http://www.finance.gov.za/publications/other/katz/default.aspx","shortTitle":"Katz Commission report","author":[{"family":"Commission of Inquiry into Certain Aspects of the Tax Structure of South Africa","given":""}],"issued":{"year":1999}}}],"schema":"https://github.com/citation-style-language/schema/raw/master/csl-citation.json"} </w:instrText>
      </w:r>
      <w:r w:rsidR="00373043">
        <w:fldChar w:fldCharType="separate"/>
      </w:r>
      <w:r w:rsidRPr="001B33B0">
        <w:rPr>
          <w:rFonts w:cs="Times New Roman (Arabic)"/>
          <w:lang w:val="en-US"/>
        </w:rPr>
        <w:t xml:space="preserve">South Africa, ‘Income Tax Act’ (1962); Commission of Inquiry into Certain Aspects of the Tax Structure of South Africa, </w:t>
      </w:r>
      <w:r w:rsidRPr="001B33B0">
        <w:rPr>
          <w:rFonts w:cs="Times New Roman (Arabic)"/>
          <w:i/>
          <w:iCs/>
          <w:lang w:val="en-US"/>
        </w:rPr>
        <w:t>Ninth Interim Report of the Commission of Inquiry into Certain Aspects of the Tax Structure of South Africa: Fiscal Issues Affecting Non-Profit Organisations</w:t>
      </w:r>
      <w:r w:rsidRPr="001B33B0">
        <w:rPr>
          <w:rFonts w:cs="Times New Roman (Arabic)"/>
          <w:lang w:val="en-US"/>
        </w:rPr>
        <w:t xml:space="preserve"> (1999) &lt;http://www.finance.gov.za/publications/other/katz/default.aspx&gt;.</w:t>
      </w:r>
      <w:r w:rsidR="00373043">
        <w:fldChar w:fldCharType="end"/>
      </w:r>
    </w:p>
  </w:footnote>
  <w:footnote w:id="26">
    <w:p w:rsidR="001B33B0" w:rsidRDefault="001B33B0" w:rsidP="004D3E51">
      <w:pPr>
        <w:pStyle w:val="FootnoteText"/>
      </w:pPr>
      <w:r>
        <w:rPr>
          <w:rStyle w:val="FootnoteReference"/>
        </w:rPr>
        <w:footnoteRef/>
      </w:r>
      <w:r>
        <w:t xml:space="preserve"> </w:t>
      </w:r>
      <w:r>
        <w:tab/>
      </w:r>
      <w:r>
        <w:tab/>
      </w:r>
      <w:r w:rsidR="00373043">
        <w:fldChar w:fldCharType="begin"/>
      </w:r>
      <w:r>
        <w:instrText xml:space="preserve"> ADDIN ZOTERO_ITEM CSL_CITATION {"citationID":"e5f34vhhj","properties":{"formattedCitation":"{\\rtf Ian Fitzhardinge Sheppard, Robert Fitzgerald and David Gonski, \\i Report of the Inquiry into the Definition of Charities and Related Organisations\\i0{} (2001) &lt;http://www.cdi.gov.au/html/report.htm&gt;.}","plainCitation":"Ian Fitzhardinge Sheppard, Robert Fitzgerald and David Gonski, Report of the Inquiry into the Definition of Charities and Related Organisations (2001) &lt;http://www.cdi.gov.au/html/report.htm&gt;."},"citationItems":[{"id":398,"uris":["http://zotero.org/groups/39658/items/5DGXNDNR"],"uri":["http://zotero.org/groups/39658/items/5DGXNDNR"],"itemData":{"id":398,"type":"report","title":"Report of the Inquiry into the Definition of Charities and Related Organisations","publisher-place":"Canberra","event-place":"Canberra","abstract":"This Report is about definitional issues concerning charities and related entities, namely public benevolent institutions, religious institutions and community service organisations. The Committee's terms of reference require it to consider these matters in the context of Commonwealth law. Although that law is for the most part revenue law, this Report is not about the taxation treatment of charities and related entities.","URL":"http://www.cdi.gov.au/html/report.htm","call-number":"361.7630994","shortTitle":"Sheppard Inquiry","author":[{"family":"Sheppard","given":"Ian Fitzhardinge"},{"family":"Fitzgerald","given":"Robert"},{"family":"Gonski","given":"David"}],"issued":{"year":2001}}}],"schema":"https://github.com/citation-style-language/schema/raw/master/csl-citation.json"} </w:instrText>
      </w:r>
      <w:r w:rsidR="00373043">
        <w:fldChar w:fldCharType="separate"/>
      </w:r>
      <w:r w:rsidRPr="001B33B0">
        <w:rPr>
          <w:rFonts w:cs="Times New Roman (Arabic)"/>
          <w:lang w:val="en-US"/>
        </w:rPr>
        <w:t xml:space="preserve">Ian Fitzhardinge Sheppard, Robert Fitzgerald and David Gonski, </w:t>
      </w:r>
      <w:r w:rsidRPr="001B33B0">
        <w:rPr>
          <w:rFonts w:cs="Times New Roman (Arabic)"/>
          <w:i/>
          <w:iCs/>
          <w:lang w:val="en-US"/>
        </w:rPr>
        <w:t>Report of the Inquiry into the Definition of Charities and Related Organisations</w:t>
      </w:r>
      <w:r w:rsidRPr="001B33B0">
        <w:rPr>
          <w:rFonts w:cs="Times New Roman (Arabic)"/>
          <w:lang w:val="en-US"/>
        </w:rPr>
        <w:t xml:space="preserve"> (2001) &lt;http://www.cdi.gov.au/html/report.htm&gt;.</w:t>
      </w:r>
      <w:r w:rsidR="00373043">
        <w:fldChar w:fldCharType="end"/>
      </w:r>
    </w:p>
  </w:footnote>
  <w:footnote w:id="27">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{"citationID":"2cpndr4ko","properties":{"formattedCitation":"{\\rtf Inland Revenue, New Zealand, \\i Tax and Charities\\i0{} (Discussion Paper, 14 June 2001) &lt;http://taxpolicy.ird.govt.nz/publications/2001-dd-charities/overview&gt;.}","plainCitation":"Inland Revenue, New Zealand, Tax and Charities (Discussion Paper, 14 June 2001) &lt;http://taxpolicy.ird.govt.nz/publications/2001-dd-charities/overview&gt;."},"citationItems":[{"id":1641,"uris":["http://zotero.org/groups/39658/items/J9RWP5IA"],"uri":["http://zotero.org/groups/39658/items/J9RWP5IA"],"itemData":{"id":1641,"type":"report","title":"Tax and Charities","genre":"Discussion Paper","abstract":"Discussion Paper discussing various proposals for reforming definition and taxation, and reporting obligations.","URL":"http://taxpolicy.ird.govt.nz/publications/2001-dd-charities/overview","note":"Read taxation proposals, but not reporting or definitiosn details .","author":[{"family":"Inland Revenue, New Zealand","given":""}],"issued":{"year":2001,"month":6,"day":14}}}],"schema":"https://github.com/citation-style-language/schema/raw/master/csl-citation.json"} </w:instrText>
      </w:r>
      <w:r w:rsidR="00373043">
        <w:fldChar w:fldCharType="separate"/>
      </w:r>
      <w:r w:rsidRPr="001B33B0">
        <w:rPr>
          <w:rFonts w:cs="Times New Roman (Arabic)"/>
          <w:lang w:val="en-US"/>
        </w:rPr>
        <w:t xml:space="preserve">Inland Revenue, New Zealand, </w:t>
      </w:r>
      <w:r w:rsidRPr="001B33B0">
        <w:rPr>
          <w:rFonts w:cs="Times New Roman (Arabic)"/>
          <w:i/>
          <w:iCs/>
          <w:lang w:val="en-US"/>
        </w:rPr>
        <w:t>Tax and Charities</w:t>
      </w:r>
      <w:r w:rsidRPr="001B33B0">
        <w:rPr>
          <w:rFonts w:cs="Times New Roman (Arabic)"/>
          <w:lang w:val="en-US"/>
        </w:rPr>
        <w:t xml:space="preserve"> (Discussion Paper, 14 June 2001) &lt;http://taxpolicy.ird.govt.nz/publications/2001-dd-charities/overview&gt;.</w:t>
      </w:r>
      <w:r w:rsidR="00373043">
        <w:fldChar w:fldCharType="end"/>
      </w:r>
    </w:p>
  </w:footnote>
  <w:footnote w:id="28">
    <w:p w:rsidR="001B33B0" w:rsidRDefault="001B33B0">
      <w:pPr>
        <w:pStyle w:val="FootnoteText"/>
      </w:pPr>
      <w:r>
        <w:rPr>
          <w:rStyle w:val="FootnoteReference"/>
        </w:rPr>
        <w:footnoteRef/>
      </w:r>
      <w:r>
        <w:tab/>
      </w:r>
      <w:r>
        <w:tab/>
      </w:r>
      <w:r w:rsidR="00373043">
        <w:fldChar w:fldCharType="begin"/>
      </w:r>
      <w:r>
        <w:instrText xml:space="preserve"> ADDIN ZOTERO_ITEM CSL_CITATION {"citationID":"1e98nt9749","properties":{"formattedCitation":"{\\rtf Law Society of Ireland Law Reform Committee, \\i Charity Law: The Case for Reform\\i0{} (July 2002) &lt;http://www.lawsociety.ie/Documents/members/charityreport.pdf&gt;.}","plainCitation":"Law Society of Ireland Law Reform Committee, Charity Law: The Case for Reform (July 2002) &lt;http://www.lawsociety.ie/Documents/members/charityreport.pdf&gt;."},"citationItems":[{"id":1452,"uris":["http://zotero.org/groups/39658/items/HA44A5SU"],"uri":["http://zotero.org/groups/39658/items/HA44A5SU"],"itemData":{"id":1452,"type":"report","title":"Charity Law: The Case for Reform","URL":"http://www.lawsociety.ie/Documents/members/charityreport.pdf","author":[{"family":"Law Society of Ireland Law Reform Committee","given":""}],"issued":{"year":2002,"month":7}}}],"schema":"https://github.com/citation-style-language/schema/raw/master/csl-citation.json"} </w:instrText>
      </w:r>
      <w:r w:rsidR="00373043">
        <w:fldChar w:fldCharType="separate"/>
      </w:r>
      <w:r w:rsidRPr="001B33B0">
        <w:rPr>
          <w:rFonts w:cs="Times New Roman (Arabic)"/>
          <w:lang w:val="en-US"/>
        </w:rPr>
        <w:t xml:space="preserve">Law Society of Ireland Law Reform Committee, </w:t>
      </w:r>
      <w:r w:rsidRPr="001B33B0">
        <w:rPr>
          <w:rFonts w:cs="Times New Roman (Arabic)"/>
          <w:i/>
          <w:iCs/>
          <w:lang w:val="en-US"/>
        </w:rPr>
        <w:t>Charity Law: The Case for Reform</w:t>
      </w:r>
      <w:r w:rsidRPr="001B33B0">
        <w:rPr>
          <w:rFonts w:cs="Times New Roman (Arabic)"/>
          <w:lang w:val="en-US"/>
        </w:rPr>
        <w:t xml:space="preserve"> (July 2002) &lt;http://www.lawsociety.ie/Documents/members/charityreport.pdf&gt;.</w:t>
      </w:r>
      <w:r w:rsidR="00373043">
        <w:fldChar w:fldCharType="end"/>
      </w:r>
    </w:p>
  </w:footnote>
  <w:footnote w:id="29">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{"citationID":"so0basb2m","properties":{"formattedCitation":"{\\rtf Cabinet Office Strategy Unit (UK), \\i Private Action, Public Benefit: A Review of Charities and the Wider Not-For-Profit Sector\\i0{} (September 2002) &lt;http://www.cabinetoffice.gov.uk/media/cabinetoffice/strategy/assets/strat%20data.pdf&gt;.}","plainCitation":"Cabinet Office Strategy Unit (UK), Private Action, Public Benefit: A Review of Charities and the Wider Not-For-Profit Sector (September 2002) &lt;http://www.cabinetoffice.gov.uk/media/cabinetoffice/strategy/assets/strat%20data.pdf&gt;."},"citationItems":[{"id":1687,"uris":["http://zotero.org/groups/39658/items/JM3CV5WD"],"uri":["http://zotero.org/groups/39658/items/JM3CV5WD"],"itemData":{"id":1687,"type":"report","title":"Private Action, Public Benefit: A Review of Charities and the Wider Not-For-Profit Sector","URL":"http://www.cabinetoffice.gov.uk/media/cabinetoffice/strategy/assets/strat%20data.pdf","shortTitle":"Private Action, Public Benefit","author":[{"family":"Cabinet Office Strategy Unit (UK)","given":""}],"issued":{"year":2002,"month":9},"accessed":{"year":2010,"month":7,"day":5}}}],"schema":"https://github.com/citation-style-language/schema/raw/master/csl-citation.json"} </w:instrText>
      </w:r>
      <w:r w:rsidR="00373043">
        <w:fldChar w:fldCharType="separate"/>
      </w:r>
      <w:r w:rsidRPr="001B33B0">
        <w:rPr>
          <w:rFonts w:cs="Times New Roman (Arabic)"/>
          <w:lang w:val="en-US"/>
        </w:rPr>
        <w:t xml:space="preserve">Cabinet Office Strategy Unit (UK), </w:t>
      </w:r>
      <w:r w:rsidRPr="001B33B0">
        <w:rPr>
          <w:rFonts w:cs="Times New Roman (Arabic)"/>
          <w:i/>
          <w:iCs/>
          <w:lang w:val="en-US"/>
        </w:rPr>
        <w:t>Private Action, Public Benefit: A Review of Charities and the Wider Not-For-Profit Sector</w:t>
      </w:r>
      <w:r w:rsidRPr="001B33B0">
        <w:rPr>
          <w:rFonts w:cs="Times New Roman (Arabic)"/>
          <w:lang w:val="en-US"/>
        </w:rPr>
        <w:t xml:space="preserve"> (September 2002) &lt;http://www.cabinetoffice.gov.uk/media/cabinetoffice/strategy/assets/strat%20data.pdf&gt;.</w:t>
      </w:r>
      <w:r w:rsidR="00373043">
        <w:fldChar w:fldCharType="end"/>
      </w:r>
    </w:p>
  </w:footnote>
  <w:footnote w:id="30">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{"citationID":"rapsvjq7r","properties":{"formattedCitation":"{\\rtf \\i Charities Bill (Exposure Draft)\\i0{}\\i  2003\\i0{} (Cth).}","plainCitation":"Charities Bill (Exposure Draft) 2003 (Cth)."},"citationItems":[{"id":243,"uris":["http://zotero.org/groups/39658/items/37U3U8TA"],"uri":["http://zotero.org/groups/39658/items/37U3U8TA"],"itemData":{"id":243,"type":"bill","title":"Charities Bill (Exposure Draft)","URL":"http://www.taxboard.gov.au/content/reviews_and_consultations/definition_of_a_charity/draft_legislation/downloads/charities_bill.pdf","note":"Cth","references":"Released 22 July 2003.","author":[{"family":"Treasurer","given":""}],"issued":{"year":2003},"accessed":{"year":2010,"month":6,"day":24}}}],"schema":"https://github.com/citation-style-language/schema/raw/master/csl-citation.json"} </w:instrText>
      </w:r>
      <w:r w:rsidR="00373043">
        <w:fldChar w:fldCharType="separate"/>
      </w:r>
      <w:r w:rsidRPr="001B33B0">
        <w:rPr>
          <w:rFonts w:cs="Times New Roman (Arabic)"/>
          <w:i/>
          <w:iCs/>
          <w:lang w:val="en-US"/>
        </w:rPr>
        <w:t>Charities Bill (Exposure Draft) 2003</w:t>
      </w:r>
      <w:r w:rsidRPr="001B33B0">
        <w:rPr>
          <w:rFonts w:cs="Times New Roman (Arabic)"/>
          <w:lang w:val="en-US"/>
        </w:rPr>
        <w:t xml:space="preserve"> (Cth).</w:t>
      </w:r>
      <w:r w:rsidR="00373043">
        <w:fldChar w:fldCharType="end"/>
      </w:r>
    </w:p>
  </w:footnote>
  <w:footnote w:id="31">
    <w:p w:rsidR="001B33B0" w:rsidRDefault="001B33B0">
      <w:pPr>
        <w:pStyle w:val="FootnoteText"/>
      </w:pPr>
      <w:r>
        <w:rPr>
          <w:rStyle w:val="FootnoteReference"/>
        </w:rPr>
        <w:footnoteRef/>
      </w:r>
      <w:r>
        <w:tab/>
      </w:r>
      <w:r>
        <w:tab/>
      </w:r>
      <w:r w:rsidR="00373043">
        <w:fldChar w:fldCharType="begin"/>
      </w:r>
      <w:r>
        <w:instrText xml:space="preserve"> ADDIN ZOTERO_ITEM CSL_CITATION {"citationID":"1bpv3j55qv","properties":{"formattedCitation":"{\\rtf Board of Taxation, \\i Consultation on the Definition of a Charity\\i0{} (December 2003) &lt;http://www.taxboard.gov.au/content/content.aspx?doc=reviews_and_consultations/definition_of_a_charity/default.htm&amp;pageid=007&gt;.}","plainCitation":"Board of Taxation, Consultation on the Definition of a Charity (December 2003) &lt;http://www.taxboard.gov.au/content/content.aspx?doc=reviews_and_consultations/definition_of_a_charity/default.htm&amp;pageid=007&gt;."},"citationItems":[{"id":281,"uris":["http://zotero.org/groups/39658/items/3TBQ4NBR"],"uri":["http://zotero.org/groups/39658/items/3TBQ4NBR"],"itemData":{"id":281,"type":"report","title":"Consultation on the Definition of a Charity","abstract":"This page lists the following publication: Inspector-General of Taxation: A Report to the Minister for Revenue and Assistant Treasurer. The Report is available as PDF and RTF downloads.","URL":"http://www.taxboard.gov.au/content/content.aspx?doc=reviews_and_consultations/definition_of_a_charity/default.htm&amp;pageid=007","shortTitle":"Consultation","author":[{"family":"Board of Taxation","given":""}],"issued":{"year":2003,"month":12},"accessed":{"year":2010,"month":5,"day":27}}}],"schema":"https://github.com/citation-style-language/schema/raw/master/csl-citation.json"} </w:instrText>
      </w:r>
      <w:r w:rsidR="00373043">
        <w:fldChar w:fldCharType="separate"/>
      </w:r>
      <w:r w:rsidRPr="001B33B0">
        <w:rPr>
          <w:rFonts w:cs="Times New Roman (Arabic)"/>
          <w:lang w:val="en-US"/>
        </w:rPr>
        <w:t xml:space="preserve">Board of Taxation, </w:t>
      </w:r>
      <w:r w:rsidRPr="001B33B0">
        <w:rPr>
          <w:rFonts w:cs="Times New Roman (Arabic)"/>
          <w:i/>
          <w:iCs/>
          <w:lang w:val="en-US"/>
        </w:rPr>
        <w:t>Consultation on the Definition of a Charity</w:t>
      </w:r>
      <w:r w:rsidRPr="001B33B0">
        <w:rPr>
          <w:rFonts w:cs="Times New Roman (Arabic)"/>
          <w:lang w:val="en-US"/>
        </w:rPr>
        <w:t xml:space="preserve"> (December 2003) &lt;http://www.taxboard.gov.au/content/content.aspx?doc=reviews_and_consultations/definition_of_a_charity/default.htm&amp;pageid=007&gt;.</w:t>
      </w:r>
      <w:r w:rsidR="00373043">
        <w:fldChar w:fldCharType="end"/>
      </w:r>
    </w:p>
  </w:footnote>
  <w:footnote w:id="32">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{"citationID":"2qsh21gmgq","properties":{"formattedCitation":"{\\rtf Cth, \\uc0\\u8216{}Extension of Charitable Purpose Act 2004\\uc0\\u8217{} (2004).}","plainCitation":"Cth, ‘Extension of Charitable Purpose Act 2004’ (2004)."},"citationItems":[{"id":1184,"uris":["http://zotero.org/groups/39658/items/EC8D7UUB"],"uri":["http://zotero.org/groups/39658/items/EC8D7UUB"],"itemData":{"id":1184,"type":"legislation","title":"Extension of Charitable Purpose Act 2004","URL":"http://www.austlii.edu.au/au/legis/cth/consol_act/eocpa2004328/","note":"Cth","author":[{"family":"Cth","given":""}],"issued":{"year":2004},"accessed":{"year":2010,"month":8,"day":20}}}],"schema":"https://github.com/citation-style-language/schema/raw/master/csl-citation.json"} </w:instrText>
      </w:r>
      <w:r w:rsidR="00373043">
        <w:fldChar w:fldCharType="separate"/>
      </w:r>
      <w:r w:rsidRPr="001B33B0">
        <w:rPr>
          <w:rFonts w:cs="Times New Roman (Arabic)"/>
          <w:lang w:val="en-US"/>
        </w:rPr>
        <w:t>Cth, ‘Extension of Charitable Purpose Act 2004’ (2004).</w:t>
      </w:r>
      <w:r w:rsidR="00373043">
        <w:fldChar w:fldCharType="end"/>
      </w:r>
    </w:p>
  </w:footnote>
  <w:footnote w:id="33">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{"citationID":"1e2ddqj21o","properties":{"formattedCitation":"{\\rtf UK, \\uc0\\u8216{}Charities Act\\uc0\\u8217{} c 50 (2006); UK, \\uc0\\u8216{}Charities Act\\uc0\\u8217{} (2011).}","plainCitation":"UK, ‘Charities Act’ c 50 (2006); UK, ‘Charities Act’ (2011)."},"citationItems":[{"id":1627,"uris":["http://zotero.org/groups/39658/items/IZX299WN"],"uri":["http://zotero.org/groups/39658/items/IZX299WN"],"itemData":{"id":1627,"type":"legislation","title":"Charities Act","container-title":"c 50","section":"c 50","URL":"http://www.bailii.org/uk/legis/num_act/2006/ukpga_20060050_en_1.html","note":"UK","author":[{"family":"UK","given":""}],"issued":{"year":2006,"month":11,"day":8},"accessed":{"year":2010,"month":6,"day":9}},"locator":"s 2","label":"page"},{"id":12110,"uris":["http://zotero.org/groups/39658/items/HRBMTP7B"],"uri":["http://zotero.org/groups/39658/items/HRBMTP7B"],"itemData":{"id":12110,"type":"legislation","title":"Charities Act","URL":"http://www.legislation.gov.uk/ukpga/2011/25/contents/enacted","note":"UK","author":[{"family":"UK","given":""}],"issued":{"year":2011},"accessed":{"year":2012,"month":1,"day":3,"season":"02:00:38"}},"label":"page"}],"schema":"https://github.com/citation-style-language/schema/raw/master/csl-citation.json"} </w:instrText>
      </w:r>
      <w:r w:rsidR="00373043">
        <w:fldChar w:fldCharType="separate"/>
      </w:r>
      <w:r w:rsidRPr="001B33B0">
        <w:rPr>
          <w:rFonts w:cs="Times New Roman (Arabic)"/>
          <w:lang w:val="en-US"/>
        </w:rPr>
        <w:t>UK, ‘Charities Act’ c 50 (2006); UK, ‘Charities Act’ (2011).</w:t>
      </w:r>
      <w:r w:rsidR="00373043">
        <w:fldChar w:fldCharType="end"/>
      </w:r>
    </w:p>
  </w:footnote>
  <w:footnote w:id="34">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{"citationID":"KidMkMlg","properties":{"formattedCitation":"{\\rtf Scotland, \\uc0\\u8216{}Charities and Trustee Investment (Scotland) Act\\uc0\\u8217{} (2005).}","plainCitation":"Scotland, ‘Charities and Trustee Investment (Scotland) Act’ (2005)."},"citationItems":[{"id":1085,"uris":["http://zotero.org/groups/39658/items/D7X5273I"],"uri":["http://zotero.org/groups/39658/items/D7X5273I"],"itemData":{"id":1085,"type":"legislation","title":"Charities and Trustee Investment (Scotland) Act","section":"asp 10","abstract":"An Act of the Scottish Parliament to make provision about charities and other benevolent bodies; to make provision about fundraising in connection with charities and other benevolent bodies; to amend the law in relation to the investment powers of trustees; and for connected purposes.","URL":"http://www.legislation.gov.uk/asp/2005/10/contents","note":"Scotland","author":[{"family":"Scotland","given":""}],"issued":{"year":2005,"month":7,"day":14},"accessed":{"year":2010,"month":8,"day":20}},"locator":"ss 7-8","label":"page"}],"schema":"https://github.com/citation-style-language/schema/raw/master/csl-citation.json"} </w:instrText>
      </w:r>
      <w:r w:rsidR="00373043">
        <w:fldChar w:fldCharType="separate"/>
      </w:r>
      <w:r w:rsidRPr="001B33B0">
        <w:rPr>
          <w:rFonts w:cs="Times New Roman (Arabic)"/>
          <w:lang w:val="en-US"/>
        </w:rPr>
        <w:t>Scotland, ‘Charities and Trustee Investment (Scotland) Act’ (2005).</w:t>
      </w:r>
      <w:r w:rsidR="00373043">
        <w:fldChar w:fldCharType="end"/>
      </w:r>
    </w:p>
  </w:footnote>
  <w:footnote w:id="35">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{"citationID":"m1nK4kSQ","properties":{"formattedCitation":"{\\rtf NI, \\uc0\\u8216{}Charities Act (Northern Ireland)\\uc0\\u8217{} (2008).}","plainCitation":"NI, ‘Charities Act (Northern Ireland)’ (2008)."},"citationItems":[{"id":2372,"uris":["http://zotero.org/groups/39658/items/T4JQWR9M"],"uri":["http://zotero.org/groups/39658/items/T4JQWR9M"],"itemData":{"id":2372,"type":"legislation","title":"Charities Act (Northern Ireland)","abstract":"An Act to provide for the establishment and functions of the Charity Commission for Northern Ireland and the Charity Tribunal for Northern Ireland; to make provision about the law of charities, including provision about charitable incorporated organisations; to make further provision about public charitable collections and other fund-raising carried on in connection with charities and other institutions; and for connected purposes.","URL":"http://www.legislation.gov.uk/nia/2008/12/contents","note":"NI","author":[{"family":"NI","given":""}],"issued":{"year":2008,"month":9,"day":9},"accessed":{"year":2010,"month":8,"day":20}},"locator":"ss 1-3","label":"page"}],"schema":"https://github.com/citation-style-language/schema/raw/master/csl-citation.json"} </w:instrText>
      </w:r>
      <w:r w:rsidR="00373043">
        <w:fldChar w:fldCharType="separate"/>
      </w:r>
      <w:r w:rsidRPr="001B33B0">
        <w:rPr>
          <w:rFonts w:cs="Times New Roman (Arabic)"/>
          <w:lang w:val="en-US"/>
        </w:rPr>
        <w:t>NI, ‘Charities Act (Northern Ireland)’ (2008).</w:t>
      </w:r>
      <w:r w:rsidR="00373043">
        <w:fldChar w:fldCharType="end"/>
      </w:r>
    </w:p>
  </w:footnote>
  <w:footnote w:id="36">
    <w:p w:rsidR="001B33B0" w:rsidRDefault="001B33B0" w:rsidP="00D662FF">
      <w:pPr>
        <w:pStyle w:val="FootnoteText"/>
      </w:pPr>
      <w:r>
        <w:rPr>
          <w:rStyle w:val="FootnoteReference"/>
        </w:rPr>
        <w:footnoteRef/>
      </w:r>
      <w:r>
        <w:t xml:space="preserve"> </w:t>
      </w:r>
      <w:r>
        <w:tab/>
      </w:r>
      <w:r>
        <w:tab/>
      </w:r>
      <w:r w:rsidR="00373043">
        <w:fldChar w:fldCharType="begin"/>
      </w:r>
      <w:r>
        <w:instrText xml:space="preserve"> ADDIN ZOTERO_ITEM CSL_CITATION {"citationID":"TPHTOTGy","properties":{"formattedCitation":"{\\rtf Ireland, \\uc0\\u8216{}Charities Act\\uc0\\u8217{} (2009).}","plainCitation":"Ireland, ‘Charities Act’ (2009)."},"citationItems":[{"id":1800,"uris":["http://zotero.org/groups/39658/items/KXEJHDT5"],"uri":["http://zotero.org/groups/39658/items/KXEJHDT5"],"itemData":{"id":1800,"type":"legislation","title":"Charities Act","URL":"http://www.irishstatutebook.ie/2009/en/act/pub/0006/index.html","note":"Ireland","author":[{"family":"Ireland","given":""}],"issued":{"year":2009,"month":2,"day":28},"accessed":{"year":2010,"month":6,"day":8}},"locator":"ss 2-3"}],"schema":"https://github.com/citation-style-language/schema/raw/master/csl-citation.json"} </w:instrText>
      </w:r>
      <w:r w:rsidR="00373043">
        <w:fldChar w:fldCharType="separate"/>
      </w:r>
      <w:r w:rsidRPr="001B33B0">
        <w:rPr>
          <w:rFonts w:cs="Times New Roman (Arabic)"/>
          <w:lang w:val="en-US"/>
        </w:rPr>
        <w:t>Ireland, ‘Charities Act’ (2009).</w:t>
      </w:r>
      <w:r w:rsidR="00373043">
        <w:fldChar w:fldCharType="end"/>
      </w:r>
    </w:p>
  </w:footnote>
  <w:footnote w:id="37">
    <w:p w:rsidR="001B33B0" w:rsidRDefault="001B33B0" w:rsidP="00D662FF">
      <w:pPr>
        <w:pStyle w:val="FootnoteText"/>
      </w:pPr>
      <w:r>
        <w:rPr>
          <w:rStyle w:val="FootnoteReference"/>
        </w:rPr>
        <w:footnoteRef/>
      </w:r>
      <w:r>
        <w:t xml:space="preserve"> </w:t>
      </w:r>
      <w:r>
        <w:tab/>
      </w:r>
      <w:r>
        <w:tab/>
      </w:r>
      <w:r w:rsidR="00373043">
        <w:fldChar w:fldCharType="begin"/>
      </w:r>
      <w:r>
        <w:instrText xml:space="preserve"> ADDIN ZOTERO_ITEM CSL_CITATION {"citationID":"2oqi2n1rgf","properties":{"formattedCitation":"{\\rtf \\i Minister Says No Irish Charity Regulator in Sight\\i0{} (23 May 2012) Fundraising Ireland &lt;http://www.fundraisingireland.ie/whats-new/current-news/minister-says-no-irish-charity-regulator-in-sight/&gt;.}","plainCitation":"Minister Says No Irish Charity Regulator in Sight (23 May 2012) Fundraising Ireland &lt;http://www.fundraisingireland.ie/whats-new/current-news/minister-says-no-irish-charity-regulator-in-sight/&gt;."},"citationItems":[{"id":13037,"uris":["http://zotero.org/groups/39658/items/4SDGHZ5T"],"uri":["http://zotero.org/groups/39658/items/4SDGHZ5T"],"itemData":{"id":13037,"type":"webpage","title":"Minister says no Irish charity regulator in sight","container-title":"Fundraising Ireland","abstract":"The Irish Minister for Justice, Alan Shatter, has confirmed that the new Charities Regulatory Authority which was to be established after the passing of the 2009 Charities Act will now not be established.","URL":"http://www.fundraisingireland.ie/whats-new/current-news/minister-says-no-irish-charity-regulator-in-sight/","issued":{"year":2012,"month":5,"day":23},"accessed":{"year":2012,"month":7,"day":11}}}],"schema":"https://github.com/citation-style-language/schema/raw/master/csl-citation.json"} </w:instrText>
      </w:r>
      <w:r w:rsidR="00373043">
        <w:fldChar w:fldCharType="separate"/>
      </w:r>
      <w:r w:rsidRPr="001B33B0">
        <w:rPr>
          <w:rFonts w:cs="Times New Roman (Arabic)"/>
          <w:i/>
          <w:iCs/>
          <w:lang w:val="en-US"/>
        </w:rPr>
        <w:t>Minister Says No Irish Charity Regulator in Sight</w:t>
      </w:r>
      <w:r w:rsidRPr="001B33B0">
        <w:rPr>
          <w:rFonts w:cs="Times New Roman (Arabic)"/>
          <w:lang w:val="en-US"/>
        </w:rPr>
        <w:t xml:space="preserve"> (23 May 2012) Fundraising Ireland &lt;http://www.fundraisingireland.ie/whats-new/current-news/minister-says-no-irish-charity-regulator-in-sight/&gt;.</w:t>
      </w:r>
      <w:r w:rsidR="00373043">
        <w:fldChar w:fldCharType="end"/>
      </w:r>
    </w:p>
  </w:footnote>
  <w:footnote w:id="38">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{"citationID":"oAz0VmEC","properties":{"formattedCitation":"{\\rtf NZ, \\uc0\\u8216{}Charities Act\\uc0\\u8217{} (2005).}","plainCitation":"NZ, ‘Charities Act’ (2005)."},"citationItems":[{"id":270,"uris":["http://zotero.org/groups/39658/items/3N4E72ZJ"],"uri":["http://zotero.org/groups/39658/items/3N4E72ZJ"],"itemData":{"id":270,"type":"legislation","title":"Charities Act","URL":"http://www.legislation.govt.nz/act/public/2005/0039/latest/DLM344368.html","note":"NZ","author":[{"family":"NZ","given":""}],"issued":{"year":2005,"month":4,"day":20},"accessed":{"year":2010,"month":8,"day":20}},"locator":"s 5","label":"page"}],"schema":"https://github.com/citation-style-language/schema/raw/master/csl-citation.json"} </w:instrText>
      </w:r>
      <w:r w:rsidR="00373043">
        <w:fldChar w:fldCharType="separate"/>
      </w:r>
      <w:r w:rsidRPr="001B33B0">
        <w:rPr>
          <w:rFonts w:cs="Times New Roman (Arabic)"/>
          <w:lang w:val="en-US"/>
        </w:rPr>
        <w:t>NZ, ‘Charities Act’ (2005).</w:t>
      </w:r>
      <w:r w:rsidR="00373043">
        <w:fldChar w:fldCharType="end"/>
      </w:r>
      <w:r>
        <w:t xml:space="preserve"> For earlier discussion of a statutory definition, see </w:t>
      </w:r>
      <w:r w:rsidR="00373043">
        <w:fldChar w:fldCharType="begin"/>
      </w:r>
      <w:r>
        <w:instrText xml:space="preserve"> ADDIN ZOTERO_ITEM CSL_CITATION {"citationID":"1hb0h08kte","properties":{"formattedCitation":"{\\rtf Inland Revenue, New Zealand, \\i Tax and Charities\\i0{}, above n 26.}","plainCitation":"Inland Revenue, New Zealand, Tax and Charities, above n 26."},"citationItems":[{"id":1641,"uris":["http://zotero.org/groups/39658/items/J9RWP5IA"],"uri":["http://zotero.org/groups/39658/items/J9RWP5IA"],"itemData":{"id":1641,"type":"report","title":"Tax and Charities","genre":"Discussion Paper","abstract":"Discussion Paper discussing various proposals for reforming definition and taxation, and reporting obligations.","URL":"http://taxpolicy.ird.govt.nz/publications/2001-dd-charities/overview","note":"Read taxation proposals, but not reporting or definitiosn details .","author":[{"family":"Inland Revenue, New Zealand","given":""}],"issued":{"year":2001,"month":6,"day":14}}}],"schema":"https://github.com/citation-style-language/schema/raw/master/csl-citation.json"} </w:instrText>
      </w:r>
      <w:r w:rsidR="00373043">
        <w:fldChar w:fldCharType="separate"/>
      </w:r>
      <w:r w:rsidRPr="001B33B0">
        <w:rPr>
          <w:rFonts w:cs="Times New Roman (Arabic)"/>
          <w:lang w:val="en-US"/>
        </w:rPr>
        <w:t xml:space="preserve">Inland Revenue, New Zealand, </w:t>
      </w:r>
      <w:r w:rsidRPr="001B33B0">
        <w:rPr>
          <w:rFonts w:cs="Times New Roman (Arabic)"/>
          <w:i/>
          <w:iCs/>
          <w:lang w:val="en-US"/>
        </w:rPr>
        <w:t>Tax and Charities</w:t>
      </w:r>
      <w:r w:rsidRPr="001B33B0">
        <w:rPr>
          <w:rFonts w:cs="Times New Roman (Arabic)"/>
          <w:lang w:val="en-US"/>
        </w:rPr>
        <w:t>, above n 26.</w:t>
      </w:r>
      <w:r w:rsidR="00373043">
        <w:fldChar w:fldCharType="end"/>
      </w:r>
    </w:p>
  </w:footnote>
  <w:footnote w:id="39">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{"citationID":"1vcs4actak","properties":{"formattedCitation":"{\\rtf \\i Charitable Purpose Forum 17-18 April 2012\\i0{} Charities Commission (New Zealand &lt;http://www.charities.govt.nz/news/events/charitable-purpose-forum/&gt;.}","plainCitation":"Charitable Purpose Forum 17-18 April 2012 Charities Commission (New Zealand &lt;http://www.charities.govt.nz/news/events/charitable-purpose-forum/&gt;."},"citationItems":[{"id":13034,"uris":["http://zotero.org/groups/39658/items/E29RSTGV"],"uri":["http://zotero.org/groups/39658/items/E29RSTGV"],"itemData":{"id":13034,"type":"webpage","title":"Charitable Purpose Forum 17-18 April 2012","container-title":"Charities Commission (New Zealand","abstract":"The Charities Commission hosted a two day forum to discuss the definition of Charitable Purpose.\n\nThe objective of the forum was to discuss and debate the issues and opportunities around Charitable Purpose to help inform the First Principles review of the Charities Act 2005. This review is scheduled to be completed by 2015.","URL":"http://www.charities.govt.nz/news/events/charitable-purpose-forum/","accessed":{"year":2012,"month":7,"day":8}}}],"schema":"https://github.com/citation-style-language/schema/raw/master/csl-citation.json"} </w:instrText>
      </w:r>
      <w:r w:rsidR="00373043">
        <w:fldChar w:fldCharType="separate"/>
      </w:r>
      <w:r w:rsidRPr="001B33B0">
        <w:rPr>
          <w:rFonts w:cs="Times New Roman (Arabic)"/>
          <w:i/>
          <w:iCs/>
          <w:lang w:val="en-US"/>
        </w:rPr>
        <w:t>Charitable Purpose Forum 17-18 April 2012</w:t>
      </w:r>
      <w:r w:rsidRPr="001B33B0">
        <w:rPr>
          <w:rFonts w:cs="Times New Roman (Arabic)"/>
          <w:lang w:val="en-US"/>
        </w:rPr>
        <w:t xml:space="preserve"> Charities Commission (New Zealand &lt;http://www.charities.govt.nz/news/events/charitable-purpose-forum/&gt;.</w:t>
      </w:r>
      <w:r w:rsidR="00373043">
        <w:fldChar w:fldCharType="end"/>
      </w:r>
      <w:r>
        <w:t xml:space="preserve"> </w:t>
      </w:r>
    </w:p>
  </w:footnote>
  <w:footnote w:id="40">
    <w:p w:rsidR="001B33B0" w:rsidRDefault="001B33B0" w:rsidP="00F96C0F">
      <w:pPr>
        <w:pStyle w:val="FootnoteText"/>
      </w:pPr>
      <w:r>
        <w:rPr>
          <w:rStyle w:val="FootnoteReference"/>
        </w:rPr>
        <w:footnoteRef/>
      </w:r>
      <w:r>
        <w:t xml:space="preserve"> </w:t>
      </w:r>
      <w:r>
        <w:tab/>
      </w:r>
      <w:r>
        <w:tab/>
      </w:r>
      <w:r w:rsidR="00373043">
        <w:fldChar w:fldCharType="begin"/>
      </w:r>
      <w:r>
        <w:instrText xml:space="preserve"> ADDIN ZOTERO_ITEM CSL_CITATION {"citationID":"nm77g49a1","properties":{"formattedCitation":"{\\rtf Arthur B C Drache and Frances K Boyle, \\i Charities, Public Benefit and the Canadian Income Tax System: A Proposal for Reform\\i0{} (Kahanoff Foundation, 1999) &lt;http://www.icnl.org/programs/location/crossregional/globalforum/ConferenceMaterials/Charity_definition.doc&gt;.}","plainCitation":"Arthur B C Drache and Frances K Boyle, Charities, Public Benefit and the Canadian Income Tax System: A Proposal for Reform (Kahanoff Foundation, 1999) &lt;http://www.icnl.org/programs/location/crossregional/globalforum/ConferenceMaterials/Charity_definition.doc&gt;."},"citationItems":[{"id":1347,"uris":["http://zotero.org/groups/39658/items/G6GSJ4JX"],"uri":["http://zotero.org/groups/39658/items/G6GSJ4JX"],"itemData":{"id":1347,"type":"report","title":"Charities, Public Benefit and the Canadian Income Tax System: A Proposal for Reform","publisher":"Kahanoff Foundation","abstract":"An exhaustive examination of the definition of charity for the purposes of Canadian federal income tax law. Examines usefully Canadian legislation on the subject; considers approaches in the US, England and Europe. Proposes a broader category of 'public benefit organisation' with a lengthy list of 'public benefit activities' and statutory definitions of key terms such as 'political activities', 'advocacy activities', 'mutual benefit organizations'.","URL":"http://www.icnl.org/programs/location/crossregional/globalforum/ConferenceMaterials/Charity_definition.doc","shortTitle":"Proposal for Reform","author":[{"family":"Drache","given":"Arthur B C"},{"family":"Boyle","given":"Frances K"}],"issued":{"year":1999},"accessed":{"year":2011,"month":2,"day":15}}}],"schema":"https://github.com/citation-style-language/schema/raw/master/csl-citation.json"} </w:instrText>
      </w:r>
      <w:r w:rsidR="00373043">
        <w:fldChar w:fldCharType="separate"/>
      </w:r>
      <w:r w:rsidRPr="001B33B0">
        <w:rPr>
          <w:rFonts w:cs="Times New Roman (Arabic)"/>
          <w:lang w:val="en-US"/>
        </w:rPr>
        <w:t xml:space="preserve">Arthur B C Drache and Frances K Boyle, </w:t>
      </w:r>
      <w:r w:rsidRPr="001B33B0">
        <w:rPr>
          <w:rFonts w:cs="Times New Roman (Arabic)"/>
          <w:i/>
          <w:iCs/>
          <w:lang w:val="en-US"/>
        </w:rPr>
        <w:t>Charities, Public Benefit and the Canadian Income Tax System: A Proposal for Reform</w:t>
      </w:r>
      <w:r w:rsidRPr="001B33B0">
        <w:rPr>
          <w:rFonts w:cs="Times New Roman (Arabic)"/>
          <w:lang w:val="en-US"/>
        </w:rPr>
        <w:t xml:space="preserve"> (Kahanoff Foundation, 1999) &lt;http://www.icnl.org/programs/location/crossregional/globalforum/ConferenceMaterials/Charity_definition.doc&gt;.</w:t>
      </w:r>
      <w:r w:rsidR="00373043">
        <w:fldChar w:fldCharType="end"/>
      </w:r>
    </w:p>
  </w:footnote>
  <w:footnote w:id="41">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{"citationID":"1fjip0ca47","properties":{"formattedCitation":"{\\rtf Kerry O\\uc0\\u8217{}Halloran, \\i Charity Law &amp; Social Policy: National and International Perspectives on the Functions of the Law Relating to Charities\\i0{} (Springer, 2008); \\i Modernising Charity Law: Recent Developments and Future Directions\\i0{} (Edward Elgar, 2010); Kerry O\\uc0\\u8217{}Halloran, \\i The Politics of Charity\\i0{} (Routledge, 2011).}","plainCitation":"Kerry O’Halloran, Charity Law &amp; Social Policy: National and International Perspectives on the Functions of the Law Relating to Charities (Springer, 2008); Modernising Charity Law: Recent Developments and Future Directions (Edward Elgar, 2010); Kerry O’Halloran, The Politics of Charity (Routledge, 2011)."},"citationItems":[{"id":2618,"uris":["http://zotero.org/groups/39658/items/UVGEPJIW"],"uri":["http://zotero.org/groups/39658/items/UVGEPJIW"],"itemData":{"id":2618,"type":"book","title":"Charity Law &amp; Social Policy: National and International Perspectives on the Functions of the Law Relating to Charities","publisher":"Springer","publisher-place":"Dordrecht?","number-of-pages":"614","event-place":"Dordrecht?","ISBN":"9781402084133","call-number":"KD1487 .O48 2008","shortTitle":"Charity Law &amp; Social Policy","author":[{"family":"O'Halloran","given":"Kerry"}],"issued":{"year":2008}}},{"id":12900,"uris":["http://zotero.org/groups/39658/items/JI9CINUI"],"uri":["http://zotero.org/groups/39658/items/JI9CINUI"],"itemData":{"id":12900,"type":"book","title":"Modernising Charity Law: Recent Developments and Future Directions","publisher":"Edward Elgar","publisher-place":"Cheltenham, UK; Northampton, MA, USA","event-place":"Cheltenham, UK; Northampton, MA, USA","ISBN":"9781849802505  1849802505  9781849807975  1849807973","shortTitle":"Modernising charity law","language":"English","editor":[{"family":"McGregor-Lowndes","given":"Myles"},{"family":"O'Halloran","given":"Kerry"}],"issued":{"year":2010}}},{"id":12899,"uris":["http://zotero.org/groups/39658/items/KI5TVEU4"],"uri":["http://zotero.org/groups/39658/items/KI5TVEU4"],"itemData":{"id":12899,"type":"book","title":"The Politics of Charity","publisher":"Routledge","publisher-place":"Milton Park","event-place":"Milton Park","ISBN":"9780415452991  0415452996  9780203819043  0203819047","language":"English","author":[{"family":"O'Halloran","given":"Kerry"}],"issued":{"year":2011}}}],"schema":"https://github.com/citation-style-language/schema/raw/master/csl-citation.json"} </w:instrText>
      </w:r>
      <w:r w:rsidR="00373043">
        <w:fldChar w:fldCharType="separate"/>
      </w:r>
      <w:r w:rsidRPr="001B33B0">
        <w:rPr>
          <w:rFonts w:cs="Times New Roman (Arabic)"/>
          <w:lang w:val="en-US"/>
        </w:rPr>
        <w:t xml:space="preserve">Kerry O’Halloran, </w:t>
      </w:r>
      <w:r w:rsidRPr="001B33B0">
        <w:rPr>
          <w:rFonts w:cs="Times New Roman (Arabic)"/>
          <w:i/>
          <w:iCs/>
          <w:lang w:val="en-US"/>
        </w:rPr>
        <w:t>Charity Law &amp; Social Policy: National and International Perspectives on the Functions of the Law Relating to Charities</w:t>
      </w:r>
      <w:r w:rsidRPr="001B33B0">
        <w:rPr>
          <w:rFonts w:cs="Times New Roman (Arabic)"/>
          <w:lang w:val="en-US"/>
        </w:rPr>
        <w:t xml:space="preserve"> (Springer, 2008); </w:t>
      </w:r>
      <w:r w:rsidRPr="001B33B0">
        <w:rPr>
          <w:rFonts w:cs="Times New Roman (Arabic)"/>
          <w:i/>
          <w:iCs/>
          <w:lang w:val="en-US"/>
        </w:rPr>
        <w:t>Modernising Charity Law: Recent Developments and Future Directions</w:t>
      </w:r>
      <w:r w:rsidRPr="001B33B0">
        <w:rPr>
          <w:rFonts w:cs="Times New Roman (Arabic)"/>
          <w:lang w:val="en-US"/>
        </w:rPr>
        <w:t xml:space="preserve"> (Edward Elgar, 2010); Kerry O’Halloran, </w:t>
      </w:r>
      <w:r w:rsidRPr="001B33B0">
        <w:rPr>
          <w:rFonts w:cs="Times New Roman (Arabic)"/>
          <w:i/>
          <w:iCs/>
          <w:lang w:val="en-US"/>
        </w:rPr>
        <w:t>The Politics of Charity</w:t>
      </w:r>
      <w:r w:rsidRPr="001B33B0">
        <w:rPr>
          <w:rFonts w:cs="Times New Roman (Arabic)"/>
          <w:lang w:val="en-US"/>
        </w:rPr>
        <w:t xml:space="preserve"> (Routledge, 2011).</w:t>
      </w:r>
      <w:r w:rsidR="00373043">
        <w:fldChar w:fldCharType="end"/>
      </w:r>
    </w:p>
  </w:footnote>
  <w:footnote w:id="42">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{"citationID":"9v8kdsl2g","properties":{"formattedCitation":"{\\rtf Secretary of State for the Home Department, \\i Charities: A Framework for the Future\\i0{} (Cmd 694, May 1989).}","plainCitation":"Secretary of State for the Home Department, Charities: A Framework for the Future (Cmd 694, May 1989)."},"citationItems":[{"id":1002,"uris":["http://zotero.org/groups/39658/items/CDX5PTVJ"],"uri":["http://zotero.org/groups/39658/items/CDX5PTVJ"],"itemData":{"id":1002,"type":"report","title":"Charities: A Framework for the Future","genre":"Cmd 694","abstract":"Rejected statutory definition","shortTitle":"White Paper","author":[{"family":"Secretary of State for the Home Department","given":""}],"issued":{"year":1989,"month":5}}}],"schema":"https://github.com/citation-style-language/schema/raw/master/csl-citation.json"} </w:instrText>
      </w:r>
      <w:r w:rsidR="00373043">
        <w:fldChar w:fldCharType="separate"/>
      </w:r>
      <w:r w:rsidRPr="001B33B0">
        <w:rPr>
          <w:rFonts w:cs="Times New Roman (Arabic)"/>
          <w:lang w:val="en-US"/>
        </w:rPr>
        <w:t xml:space="preserve">Secretary of State for the Home Department, </w:t>
      </w:r>
      <w:r w:rsidRPr="001B33B0">
        <w:rPr>
          <w:rFonts w:cs="Times New Roman (Arabic)"/>
          <w:i/>
          <w:iCs/>
          <w:lang w:val="en-US"/>
        </w:rPr>
        <w:t>Charities: A Framework for the Future</w:t>
      </w:r>
      <w:r w:rsidRPr="001B33B0">
        <w:rPr>
          <w:rFonts w:cs="Times New Roman (Arabic)"/>
          <w:lang w:val="en-US"/>
        </w:rPr>
        <w:t xml:space="preserve"> (Cmd 694, May 1989).</w:t>
      </w:r>
      <w:r w:rsidR="00373043">
        <w:fldChar w:fldCharType="end"/>
      </w:r>
    </w:p>
  </w:footnote>
  <w:footnote w:id="43">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{"citationID":"1b16ap6h08","properties":{"formattedCitation":"{\\rtf Ontario Law Reform Commission, \\i Report on the Law of Charities\\i0{} (1996).}","plainCitation":"Ontario Law Reform Commission, Report on the Law of Charities (1996)."},"citationItems":[{"id":1730,"uris":["http://zotero.org/groups/39658/items/K2JMBM98"],"uri":["http://zotero.org/groups/39658/items/K2JMBM98"],"itemData":{"id":1730,"type":"report","title":"Report on the Law of Charities","publisher-place":"Toronto","event-place":"Toronto","call-number":"Law KN 215 F1 ONTA (missing); # Supreme Court of Victoria. Supreme Court Library.  Call Number(s) LRC 71.3 R78","author":[{"family":"Ontario Law Reform Commission","given":""}],"issued":{"year":1996}}}],"schema":"https://github.com/citation-style-language/schema/raw/master/csl-citation.json"} </w:instrText>
      </w:r>
      <w:r w:rsidR="00373043">
        <w:fldChar w:fldCharType="separate"/>
      </w:r>
      <w:r w:rsidRPr="001B33B0">
        <w:rPr>
          <w:rFonts w:cs="Times New Roman (Arabic)"/>
          <w:lang w:val="en-US"/>
        </w:rPr>
        <w:t xml:space="preserve">Ontario Law Reform Commission, </w:t>
      </w:r>
      <w:r w:rsidRPr="001B33B0">
        <w:rPr>
          <w:rFonts w:cs="Times New Roman (Arabic)"/>
          <w:i/>
          <w:iCs/>
          <w:lang w:val="en-US"/>
        </w:rPr>
        <w:t>Report on the Law of Charities</w:t>
      </w:r>
      <w:r w:rsidRPr="001B33B0">
        <w:rPr>
          <w:rFonts w:cs="Times New Roman (Arabic)"/>
          <w:lang w:val="en-US"/>
        </w:rPr>
        <w:t xml:space="preserve"> (1996).</w:t>
      </w:r>
      <w:r w:rsidR="00373043">
        <w:fldChar w:fldCharType="end"/>
      </w:r>
    </w:p>
  </w:footnote>
  <w:footnote w:id="44">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{"citationID":"13au4tuhd","properties":{"formattedCitation":"{\\rtf G W Keeton, \\uc0\\u8216{}The Charity Muddle\\uc0\\u8217{} (1949) 2 \\i Current Legal Problems\\i0{} 86; L A Sheridan, \\uc0\\u8216{}Nature of Charity\\uc0\\u8217{} (1957) 23 \\i Malayan Law Journal\\i0{} lxxxvi; G W Keeton, \\uc0\\u8216{}Some Problems in the Reform of the Law of Charities\\uc0\\u8217{} (1960) 13 \\i Current Legal Problems\\i0{} 22; L A Sheridan, \\uc0\\u8216{}The Political Muddle\\uc0\\u8212{}A Charitable View\\uc0\\u8217{} (1977) 19 \\i Malaya Law Review\\i0{} 42.}","plainCitation":"G W Keeton, ‘The Charity Muddle’ (1949) 2 Current Legal Problems 86; L A Sheridan, ‘Nature of Charity’ (1957) 23 Malayan Law Journal lxxxvi; G W Keeton, ‘Some Problems in the Reform of the Law of Charities’ (1960) 13 Current Legal Problems 22; L A Sheridan, ‘The Political Muddle—A Charitable View’ (1977) 19 Malaya Law Review 42."},"citationItems":[{"id":1956,"uris":["http://zotero.org/groups/39658/items/NJAFVRNE"],"uri":["http://zotero.org/groups/39658/items/NJAFVRNE"],"itemData":{"id":1956,"type":"article-journal","title":"The Charity Muddle","container-title":"Current Legal Problems","page":"86","volume":"2","abstract":"Argues law is intolerably confused but rejected need for a definition. Argued instead for periodic statement from judges.","author":[{"family":"Keeton","given":"G W"}],"issued":{"year":1949},"page-first":"86"}},{"id":6179,"uris":["http://zotero.org/users/57495/items/RZTE37DV"],"uri":["http://zotero.org/users/57495/items/RZTE37DV"],"itemData":{"id":6179,"type":"article-journal","title":"Nature of Charity","container-title":"Malayan Law Journal","page":"lxxxvi","volume":"23","abstract":"Detailed but outdated exposition of cases but more notable for stinging criticism of the state of law of charity and its unpredictability.","author":[{"family":"Sheridan","given":"L A"}],"issued":{"year":1957},"page-first":"lxxxvi"}},{"id":2067,"uris":["http://zotero.org/groups/39658/items/PTGM6RUE"],"uri":["http://zotero.org/groups/39658/items/PTGM6RUE"],"itemData":{"id":2067,"type":"article-journal","title":"Some Problems in the Reform of the Law of Charities","container-title":"Current Legal Problems","page":"22","volume":"13","abstract":"Queried value of enacting Pemsel definition. Examines Nathan Committee and government response largely.","author":[{"family":"Keeton","given":"G W"}],"issued":{"year":1960},"page-first":"22"}},{"id":6976,"uris":["http://zotero.org/users/57495/items/X4R9SD62"],"uri":["http://zotero.org/users/57495/items/X4R9SD62"],"itemData":{"id":6976,"type":"article-journal","title":"The Political Muddle—A Charitable View","container-title":"Malaya Law Review","page":"42","volume":"19","abstract":"Detailed exposition of law on political advocacy in the US and the Commonwealth, exposing variations between them and flaws in logic, but without mounting an overall argument.","author":[{"family":"Sheridan","given":"L A"}],"issued":{"year":1977},"page-first":"42"}}],"schema":"https://github.com/citation-style-language/schema/raw/master/csl-citation.json"} </w:instrText>
      </w:r>
      <w:r w:rsidR="00373043">
        <w:fldChar w:fldCharType="separate"/>
      </w:r>
      <w:r w:rsidRPr="001B33B0">
        <w:rPr>
          <w:rFonts w:cs="Times New Roman (Arabic)"/>
          <w:lang w:val="en-US"/>
        </w:rPr>
        <w:t xml:space="preserve">G W Keeton, ‘The Charity Muddle’ (1949) 2 </w:t>
      </w:r>
      <w:r w:rsidRPr="001B33B0">
        <w:rPr>
          <w:rFonts w:cs="Times New Roman (Arabic)"/>
          <w:i/>
          <w:iCs/>
          <w:lang w:val="en-US"/>
        </w:rPr>
        <w:t>Current Legal Problems</w:t>
      </w:r>
      <w:r w:rsidRPr="001B33B0">
        <w:rPr>
          <w:rFonts w:cs="Times New Roman (Arabic)"/>
          <w:lang w:val="en-US"/>
        </w:rPr>
        <w:t xml:space="preserve"> 86; L A Sheridan, ‘Nature of Charity’ (1957) 23 </w:t>
      </w:r>
      <w:r w:rsidRPr="001B33B0">
        <w:rPr>
          <w:rFonts w:cs="Times New Roman (Arabic)"/>
          <w:i/>
          <w:iCs/>
          <w:lang w:val="en-US"/>
        </w:rPr>
        <w:t>Malayan Law Journal</w:t>
      </w:r>
      <w:r w:rsidRPr="001B33B0">
        <w:rPr>
          <w:rFonts w:cs="Times New Roman (Arabic)"/>
          <w:lang w:val="en-US"/>
        </w:rPr>
        <w:t xml:space="preserve"> lxxxvi; G W Keeton, ‘Some Problems in the Reform of the Law of Charities’ (1960) 13 </w:t>
      </w:r>
      <w:r w:rsidRPr="001B33B0">
        <w:rPr>
          <w:rFonts w:cs="Times New Roman (Arabic)"/>
          <w:i/>
          <w:iCs/>
          <w:lang w:val="en-US"/>
        </w:rPr>
        <w:t>Current Legal Problems</w:t>
      </w:r>
      <w:r w:rsidRPr="001B33B0">
        <w:rPr>
          <w:rFonts w:cs="Times New Roman (Arabic)"/>
          <w:lang w:val="en-US"/>
        </w:rPr>
        <w:t xml:space="preserve"> 22; L A Sheridan, ‘The Political Muddle—A Charitable View’ (1977) 19 </w:t>
      </w:r>
      <w:r w:rsidRPr="001B33B0">
        <w:rPr>
          <w:rFonts w:cs="Times New Roman (Arabic)"/>
          <w:i/>
          <w:iCs/>
          <w:lang w:val="en-US"/>
        </w:rPr>
        <w:t>Malaya Law Review</w:t>
      </w:r>
      <w:r w:rsidRPr="001B33B0">
        <w:rPr>
          <w:rFonts w:cs="Times New Roman (Arabic)"/>
          <w:lang w:val="en-US"/>
        </w:rPr>
        <w:t xml:space="preserve"> 42.</w:t>
      </w:r>
      <w:r w:rsidR="00373043">
        <w:fldChar w:fldCharType="end"/>
      </w:r>
    </w:p>
  </w:footnote>
  <w:footnote w:id="45">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{"citationID":"16m2393gb2","properties":{"formattedCitation":"{\\rtf \\i National Anti-Vivisection Society v Inland Revenue Commissioners\\i0{} [1948] AC 31.}","plainCitation":"National Anti-Vivisection Society v Inland Revenue Commissioners [1948] AC 31."},"citationItems":[{"id":2277,"uris":["http://zotero.org/groups/39658/items/S3USQJJE"],"uri":["http://zotero.org/groups/39658/items/S3USQJJE"],"itemData":{"id":2277,"type":"legal_case","title":"National Anti-Vivisection Society v Inland Revenue Commissioners","container-title":"AC","page":"31","volume":"[1948]","page-first":"31"}}],"schema":"https://github.com/citation-style-language/schema/raw/master/csl-citation.json"} </w:instrText>
      </w:r>
      <w:r w:rsidR="00373043">
        <w:fldChar w:fldCharType="separate"/>
      </w:r>
      <w:r w:rsidRPr="001B33B0">
        <w:rPr>
          <w:rFonts w:cs="Times New Roman (Arabic)"/>
          <w:i/>
          <w:iCs/>
          <w:lang w:val="en-US"/>
        </w:rPr>
        <w:t>National Anti-Vivisection Society v Inland Revenue Commissioners</w:t>
      </w:r>
      <w:r w:rsidRPr="001B33B0">
        <w:rPr>
          <w:rFonts w:cs="Times New Roman (Arabic)"/>
          <w:lang w:val="en-US"/>
        </w:rPr>
        <w:t xml:space="preserve"> [1948] AC 31.</w:t>
      </w:r>
      <w:r w:rsidR="00373043">
        <w:fldChar w:fldCharType="end"/>
      </w:r>
    </w:p>
  </w:footnote>
  <w:footnote w:id="46">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{"citationID":"2ofmacfpa1","properties":{"formattedCitation":"{\\rtf \\i Church of the New Faith v Commissioner of Pay-roll Tax (Vic)\\i0{} (1983) 154 CLR 120.}","plainCitation":"Church of the New Faith v Commissioner of Pay-roll Tax (Vic) (1983) 154 CLR 120."},"citationItems":[{"id":2139,"uris":["http://zotero.org/groups/39658/items/QHSZD4QS"],"uri":["http://zotero.org/groups/39658/items/QHSZD4QS"],"itemData":{"id":2139,"type":"legal_case","title":"Church of the New Faith v Commissioner of Pay-roll Tax (Vic)","container-title":"CLR","page":"120","volume":"154","URL":"http://www.austlii.edu.au/au/cases/cth/HCA/1983/40.html","shortTitle":"Scientology case","issued":{"year":1983},"accessed":{"year":2010,"month":6,"day":8},"page-first":"120"}}],"schema":"https://github.com/citation-style-language/schema/raw/master/csl-citation.json"} </w:instrText>
      </w:r>
      <w:r w:rsidR="00373043">
        <w:fldChar w:fldCharType="separate"/>
      </w:r>
      <w:r w:rsidRPr="001B33B0">
        <w:rPr>
          <w:rFonts w:cs="Times New Roman (Arabic)"/>
          <w:i/>
          <w:iCs/>
          <w:lang w:val="en-US"/>
        </w:rPr>
        <w:t>Church of the New Faith v Commissioner of Pay-roll Tax (Vic)</w:t>
      </w:r>
      <w:r w:rsidRPr="001B33B0">
        <w:rPr>
          <w:rFonts w:cs="Times New Roman (Arabic)"/>
          <w:lang w:val="en-US"/>
        </w:rPr>
        <w:t xml:space="preserve"> (1983) 154 CLR 120.</w:t>
      </w:r>
      <w:r w:rsidR="00373043">
        <w:fldChar w:fldCharType="end"/>
      </w:r>
    </w:p>
  </w:footnote>
  <w:footnote w:id="47">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{"citationID":"1dau63cfs7","properties":{"formattedCitation":"{\\rtf \\i McGovern v Attorney-General\\i0{} [1982] Ch 321.}","plainCitation":"McGovern v Attorney-General [1982] Ch 321."},"citationItems":[{"id":2146,"uris":["http://zotero.org/groups/39658/items/QJIUITXS"],"uri":["http://zotero.org/groups/39658/items/QJIUITXS"],"itemData":{"id":2146,"type":"legal_case","title":"McGovern v Attorney-General","container-title":"Ch","page":"321","volume":"[1982]","abstract":"A trust for the relief of human suffering and distress is capable of being charitable, but if a direct and main object of the trust is to achieve the relief by securing a change in the laws of a foreign country, then the trust has a political purpose and is not charitable. The Amnesty International Trust was set up to administer those purposes of Amnesty International that were thought to be charitable. The objects of the trust included the relief of needy persons who were prisoners of conscience, attempting to secure the release of prisoners of conscience, and procuring the abolition of torture and inhuman treatment. Their objects were restricted to those which were charitable according to the laws of England. The trustees applied to the Charity Commissioners for registration as a charity under the Charities Act 1960 s.4 but they refused. They then appealed to the court under s.5(3).\n\nHeld, that although a trust for the relief of human suffering and distress was charitable, as a charity of compassion, if a direct and principal purpose of the trust was to procure a reversal of government in another country, it could not be charitable. The latter two aims set out above contemplated such a purpose and so were not exclusively charitable. The relief of the needy, and research into the maintenance of human rights were charitable purposes, but the trusts as a whole were not wholly charitable, and the application for registration must be refused. The clause restricting the operation of the trust to charitable purposes did not exclude from the trust non-charitable purposes, but made clear that the trustees even when operating outside the United Kingdom should be restricted to purposes charitable under United Kingdom laws.","page-first":"321"}}],"schema":"https://github.com/citation-style-language/schema/raw/master/csl-citation.json"} </w:instrText>
      </w:r>
      <w:r w:rsidR="00373043">
        <w:fldChar w:fldCharType="separate"/>
      </w:r>
      <w:r w:rsidRPr="001B33B0">
        <w:rPr>
          <w:rFonts w:cs="Times New Roman (Arabic)"/>
          <w:i/>
          <w:iCs/>
          <w:lang w:val="en-US"/>
        </w:rPr>
        <w:t>McGovern v Attorney-General</w:t>
      </w:r>
      <w:r w:rsidRPr="001B33B0">
        <w:rPr>
          <w:rFonts w:cs="Times New Roman (Arabic)"/>
          <w:lang w:val="en-US"/>
        </w:rPr>
        <w:t xml:space="preserve"> [1982] Ch 321.</w:t>
      </w:r>
      <w:r w:rsidR="00373043">
        <w:fldChar w:fldCharType="end"/>
      </w:r>
    </w:p>
  </w:footnote>
  <w:footnote w:id="48">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{"citationID":"11jjb2okv0","properties":{"formattedCitation":"{\\rtf \\i Central Bayside General Practice Association Limited v Commissioner of State Revenue\\i0{} [2006] HCA 43.}","plainCitation":"Central Bayside General Practice Association Limited v Commissioner of State Revenue [2006] HCA 43."},"citationItems":[{"id":2290,"uris":["http://zotero.org/groups/39658/items/S7QWT553"],"uri":["http://zotero.org/groups/39658/items/S7QWT553"],"itemData":{"id":2290,"type":"legal_case","title":"Central Bayside General Practice Association Limited v Commissioner of State Revenue","container-title":"HCA","page":"43","abstract":"Taxation - Charities - Pay-roll tax exemption - Meaning of \"charitable body\" - Whether privately-established non-profit organisation is a \"charitable body\" for purposes of pay-roll tax exemption - Whether organisation precluded from being characterised as \"charitable body\" because of its relationship with Commonwealth Government - Whether involvement in implementation of government policy precludes organisation from being characterised as \"charitable body\".","URL":"http://www.austlii.edu.au/au/cases/cth/HCA/2006/43.html","note":"(2006) 228 CLR 168","issued":{"year":2006,"month":8,"day":31},"accessed":{"year":2011,"month":2,"day":7},"page-first":"43"}}],"schema":"https://github.com/citation-style-language/schema/raw/master/csl-citation.json"} </w:instrText>
      </w:r>
      <w:r w:rsidR="00373043">
        <w:fldChar w:fldCharType="separate"/>
      </w:r>
      <w:r w:rsidRPr="001B33B0">
        <w:rPr>
          <w:rFonts w:cs="Times New Roman (Arabic)"/>
          <w:i/>
          <w:iCs/>
          <w:lang w:val="en-US"/>
        </w:rPr>
        <w:t>Central Bayside General Practice Association Limited v Commissioner of State Revenue</w:t>
      </w:r>
      <w:r w:rsidRPr="001B33B0">
        <w:rPr>
          <w:rFonts w:cs="Times New Roman (Arabic)"/>
          <w:lang w:val="en-US"/>
        </w:rPr>
        <w:t xml:space="preserve"> [2006] HCA 43.</w:t>
      </w:r>
      <w:r w:rsidR="00373043">
        <w:fldChar w:fldCharType="end"/>
      </w:r>
    </w:p>
  </w:footnote>
  <w:footnote w:id="49">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{"citationID":"q2uk6uo9v","properties":{"formattedCitation":"{\\rtf \\i Commissioner of Taxation v Word Investments Limited\\i0{} 236 CLR 204 (HCA, 2008).}","plainCitation":"Commissioner of Taxation v Word Investments Limited 236 CLR 204 (HCA, 2008)."},"citationItems":[{"id":774,"uris":["http://zotero.org/groups/39658/items/9NJM3J5U"],"uri":["http://zotero.org/groups/39658/items/9NJM3J5U"],"itemData":{"id":774,"type":"legal_case","title":"Commissioner of Taxation v Word Investments Limited","container-title":"CLR","authority":"HCA","page":"204","volume":"236","URL":"http://www.austlii.edu.au/au/cases/cth/HCA/2008/55.html","number":"55","issued":{"year":2008,"month":12,"day":3},"page-first":"204"}}],"schema":"https://github.com/citation-style-language/schema/raw/master/csl-citation.json"} </w:instrText>
      </w:r>
      <w:r w:rsidR="00373043">
        <w:fldChar w:fldCharType="separate"/>
      </w:r>
      <w:r w:rsidRPr="001B33B0">
        <w:rPr>
          <w:rFonts w:cs="Times New Roman (Arabic)"/>
          <w:i/>
          <w:iCs/>
          <w:lang w:val="en-US"/>
        </w:rPr>
        <w:t>Commissioner of Taxation v Word Investments Limited</w:t>
      </w:r>
      <w:r w:rsidRPr="001B33B0">
        <w:rPr>
          <w:rFonts w:cs="Times New Roman (Arabic)"/>
          <w:lang w:val="en-US"/>
        </w:rPr>
        <w:t xml:space="preserve"> 236 CLR 204 (HCA, 2008).</w:t>
      </w:r>
      <w:r w:rsidR="00373043">
        <w:fldChar w:fldCharType="end"/>
      </w:r>
    </w:p>
  </w:footnote>
  <w:footnote w:id="50">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{"citationID":"2pcdr1tnl8","properties":{"formattedCitation":"{\\rtf \\i Aid/Watch Incorporated v Commissioner of Taxation\\i0{} [2010] HCA 42.}","plainCitation":"Aid/Watch Incorporated v Commissioner of Taxation [2010] HCA 42."},"citationItems":[{"id":1424,"uris":["http://zotero.org/groups/39658/items/GWWH3K4M"],"uri":["http://zotero.org/groups/39658/items/GWWH3K4M"],"itemData":{"id":1424,"type":"legal_case","title":"Aid/Watch Incorporated v Commissioner of Taxation","container-title":"HCA","page":"42","URL":"http://www.austlii.edu.au/au/cases/cth/HCA/2010/42.html","issued":{"year":2010,"month":12,"day":1},"accessed":{"year":2010,"month":12,"day":8},"page-first":"42"}}],"schema":"https://github.com/citation-style-language/schema/raw/master/csl-citation.json"} </w:instrText>
      </w:r>
      <w:r w:rsidR="00373043">
        <w:fldChar w:fldCharType="separate"/>
      </w:r>
      <w:r w:rsidRPr="001B33B0">
        <w:rPr>
          <w:rFonts w:cs="Times New Roman (Arabic)"/>
          <w:i/>
          <w:iCs/>
          <w:lang w:val="en-US"/>
        </w:rPr>
        <w:t>Aid/Watch Incorporated v Commissioner of Taxation</w:t>
      </w:r>
      <w:r w:rsidRPr="001B33B0">
        <w:rPr>
          <w:rFonts w:cs="Times New Roman (Arabic)"/>
          <w:lang w:val="en-US"/>
        </w:rPr>
        <w:t xml:space="preserve"> [2010] HCA 42.</w:t>
      </w:r>
      <w:r w:rsidR="00373043">
        <w:fldChar w:fldCharType="end"/>
      </w:r>
    </w:p>
  </w:footnote>
  <w:footnote w:id="51">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{"citationID":"1v5q0o4dco","properties":{"formattedCitation":"{\\rtf Arthur B C Drache and W Laird Hunter, \\uc0\\u8216{}A Canadian Charity Tribunal: A Proposal for Implementation\\uc0\\u8217{} (2000) 15 \\i The Philanthropist\\i0{} 3; Arthur B C Drache and W Laird Hunter, \\uc0\\u8216{}A Canadian Charity Tribunal: A Proposal for Implementation (Part II)\\uc0\\u8217{} (2001) 16 \\i The Philanthropist\\i0{} 4.}","plainCitation":"Arthur B C Drache and W Laird Hunter, ‘A Canadian Charity Tribunal: A Proposal for Implementation’ (2000) 15 The Philanthropist 3; Arthur B C Drache and W Laird Hunter, ‘A Canadian Charity Tribunal: A Proposal for Implementation (Part II)’ (2001) 16 The Philanthropist 4."},"citationItems":[{"id":1638,"uris":["http://zotero.org/groups/39658/items/J833CE8V"],"uri":["http://zotero.org/groups/39658/items/J833CE8V"],"itemData":{"id":1638,"type":"article-journal","title":"A Canadian Charity Tribunal: A Proposal for Implementation","container-title":"The Philanthropist","page":"3-10","volume":"15","issue":"4","abstract":"Argues for the creation of a tribunal to oversee the registration and deregistration of charities in order to take the burden off revenue Canada. Argues that over time, other duties could also be assumed, such as facilitating communication and partnership between government and the nonprofit sector, provide support to voluntary organizations, provide information to the public, assist organizations with compliance with legislative and regulatory requirements and investigate public complaints.","shortTitle":"A Canadian Charity Tribunal","author":[{"family":"Drache","given":"Arthur B C"},{"family":"Hunter","given":"W Laird"}],"issued":{"year":2000},"page-first":"3"}},{"id":1564,"uris":["http://zotero.org/groups/39658/items/IDIKU8XF"],"uri":["http://zotero.org/groups/39658/items/IDIKU8XF"],"itemData":{"id":1564,"type":"article-journal","title":"A Canadian Charity Tribunal: A Proposal for Implementation (Part II)","container-title":"The Philanthropist","page":"4","volume":"16","issue":"1","abstract":"Follows on from part I in volume 15:4 and includes proposals for appointment of tribunal members and staff, communications and confidentiality, intra-governmental relations, and further considerations.","author":[{"family":"Drache","given":"Arthur B C"},{"family":"Hunter","given":"W Laird"}],"issued":{"year":2001},"page-first":"4"}}],"schema":"https://github.com/citation-style-language/schema/raw/master/csl-citation.json"} </w:instrText>
      </w:r>
      <w:r w:rsidR="00373043">
        <w:fldChar w:fldCharType="separate"/>
      </w:r>
      <w:r w:rsidRPr="001B33B0">
        <w:rPr>
          <w:rFonts w:cs="Times New Roman (Arabic)"/>
          <w:lang w:val="en-US"/>
        </w:rPr>
        <w:t xml:space="preserve">Arthur B C Drache and W Laird Hunter, ‘A Canadian Charity Tribunal: A Proposal for Implementation’ (2000) 15 </w:t>
      </w:r>
      <w:r w:rsidRPr="001B33B0">
        <w:rPr>
          <w:rFonts w:cs="Times New Roman (Arabic)"/>
          <w:i/>
          <w:iCs/>
          <w:lang w:val="en-US"/>
        </w:rPr>
        <w:t>The Philanthropist</w:t>
      </w:r>
      <w:r w:rsidRPr="001B33B0">
        <w:rPr>
          <w:rFonts w:cs="Times New Roman (Arabic)"/>
          <w:lang w:val="en-US"/>
        </w:rPr>
        <w:t xml:space="preserve"> 3; Arthur B C Drache and W Laird Hunter, ‘A Canadian Charity Tribunal: A Proposal for Implementation (Part II)’ (2001) 16 </w:t>
      </w:r>
      <w:r w:rsidRPr="001B33B0">
        <w:rPr>
          <w:rFonts w:cs="Times New Roman (Arabic)"/>
          <w:i/>
          <w:iCs/>
          <w:lang w:val="en-US"/>
        </w:rPr>
        <w:t>The Philanthropist</w:t>
      </w:r>
      <w:r w:rsidRPr="001B33B0">
        <w:rPr>
          <w:rFonts w:cs="Times New Roman (Arabic)"/>
          <w:lang w:val="en-US"/>
        </w:rPr>
        <w:t xml:space="preserve"> 4.</w:t>
      </w:r>
      <w:r w:rsidR="00373043">
        <w:fldChar w:fldCharType="end"/>
      </w:r>
    </w:p>
  </w:footnote>
  <w:footnote w:id="52">
    <w:p w:rsidR="001B33B0" w:rsidRDefault="001B33B0" w:rsidP="00775412">
      <w:pPr>
        <w:pStyle w:val="FootnoteText"/>
      </w:pPr>
      <w:r>
        <w:rPr>
          <w:rStyle w:val="FootnoteReference"/>
        </w:rPr>
        <w:footnoteRef/>
      </w:r>
      <w:r>
        <w:t xml:space="preserve"> </w:t>
      </w:r>
      <w:r>
        <w:tab/>
      </w:r>
      <w:r>
        <w:tab/>
      </w:r>
      <w:r w:rsidR="00373043">
        <w:fldChar w:fldCharType="begin"/>
      </w:r>
      <w:r>
        <w:instrText xml:space="preserve"> ADDIN ZOTERO_ITEM CSL_CITATION {"citationID":"27onmp7ft8","properties":{"formattedCitation":"{\\rtf Royal Commission on the Income Tax, \\i Report\\i0{} (Cmd 615, March 1920), [307].}","plainCitation":"Royal Commission on the Income Tax, Report (Cmd 615, March 1920), [307]."},"citationItems":[{"id":5552,"uris":["http://zotero.org/users/57495/items/M5D5NWX7"],"uri":["http://zotero.org/users/57495/items/M5D5NWX7"],"itemData":{"id":5552,"type":"report","title":"Report","genre":"Cmd 615","abstract":"Raised issue of statutory definition for tax purposes. Recommended adoption of definition in order to make clear legal definition included more than just relief of poverty. Board of Inland Revenue recommended restriction to relief of poverty and physical distress because it was a 'concealed' subsidy.","note":"United Kingdom","shortTitle":"Colwyn Commission","author":[{"family":"Royal Commission on the Income Tax","given":""}],"issued":{"year":1920,"month":3}},"locator":"[307]"}],"schema":"https://github.com/citation-style-language/schema/raw/master/csl-citation.json"} </w:instrText>
      </w:r>
      <w:r w:rsidR="00373043">
        <w:fldChar w:fldCharType="separate"/>
      </w:r>
      <w:r w:rsidRPr="001B33B0">
        <w:rPr>
          <w:rFonts w:cs="Times New Roman (Arabic)"/>
          <w:lang w:val="en-US"/>
        </w:rPr>
        <w:t xml:space="preserve">Royal Commission on the Income Tax, </w:t>
      </w:r>
      <w:r w:rsidRPr="001B33B0">
        <w:rPr>
          <w:rFonts w:cs="Times New Roman (Arabic)"/>
          <w:i/>
          <w:iCs/>
          <w:lang w:val="en-US"/>
        </w:rPr>
        <w:t>Report</w:t>
      </w:r>
      <w:r w:rsidRPr="001B33B0">
        <w:rPr>
          <w:rFonts w:cs="Times New Roman (Arabic)"/>
          <w:lang w:val="en-US"/>
        </w:rPr>
        <w:t xml:space="preserve"> (Cmd 615, March 1920), [307].</w:t>
      </w:r>
      <w:r w:rsidR="00373043">
        <w:fldChar w:fldCharType="end"/>
      </w:r>
    </w:p>
  </w:footnote>
  <w:footnote w:id="53">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{"citationID":"SHCNs7Xo","properties":{"formattedCitation":"{\\rtf \\i Swinburne v Federal Commissioner of Taxation\\i0{} (1920) 27 CLR 377, 384; \\i Chesterman v Federal Commissioner of Taxation\\i0{} (1923) 32 CLR 362, 383; \\i Young Men\\uc0\\u8217{}s Christian Association of Melbourne v Federal Commissioner of Taxation\\i0{} (1926) 37 CLR 351, 358.}","plainCitation":"Swinburne v Federal Commissioner of Taxation (1920) 27 CLR 377, 384; Chesterman v Federal Commissioner of Taxation (1923) 32 CLR 362, 383; Young Men’s Christian Association of Melbourne v Federal Commissioner of Taxation (1926) 37 CLR 351, 358."},"citationItems":[{"id":344,"uris":["http://zotero.org/groups/39658/items/4MN3TMEV"],"uri":["http://zotero.org/groups/39658/items/4MN3TMEV"],"itemData":{"id":344,"type":"legal_case","title":"Swinburne v Federal Commissioner of Taxation","container-title":"CLR","page":"377","volume":"27","abstract":"Favoured the narrower term of 'charitable' in the Income Tax Assessment Act.","URL":"http://www.austlii.edu.au/au/cases/cth/HCA/1920/8.html","issued":{"year":1920,"month":3,"day":1},"accessed":{"year":2010,"month":5,"day":14},"page-first":"377"},"locator":"384"},{"id":2686,"uris":["http://zotero.org/groups/39658/items/VN447TJ8"],"uri":["http://zotero.org/groups/39658/items/VN447TJ8"],"itemData":{"id":2686,"type":"legal_case","title":"Chesterman v Federal Commissioner of Taxation","container-title":"CLR","page":"362","volume":"32","URL":"http://www.austlii.edu.au/cgi-bin/sinodisp/au/cases/cth/HCA/1923/24.html?stem=0&amp;synonyms=0&amp;query=%22charitable%20institution%22","issued":{"year":1923},"accessed":{"year":2010,"month":5,"day":27},"page-first":"362"},"locator":"383"},{"id":614,"uris":["http://zotero.org/groups/39658/items/84A5GEVJ"],"uri":["http://zotero.org/groups/39658/items/84A5GEVJ"],"itemData":{"id":614,"type":"legal_case","title":"Young Men's Christian Association of Melbourne v Federal Commissioner of Taxation","container-title":"CLR","page":"351","volume":"37","URL":"http://www.austlii.edu.au/au/cases/cth/HCA/1926/2.html","issued":{"year":1926,"month":3,"day":18},"accessed":{"year":2010,"month":5,"day":14},"page-first":"351"},"locator":"358"}],"schema":"https://github.com/citation-style-language/schema/raw/master/csl-citation.json"} </w:instrText>
      </w:r>
      <w:r w:rsidR="00373043">
        <w:fldChar w:fldCharType="separate"/>
      </w:r>
      <w:r w:rsidRPr="001B33B0">
        <w:rPr>
          <w:rFonts w:cs="Times New Roman (Arabic)"/>
          <w:i/>
          <w:iCs/>
          <w:lang w:val="en-US"/>
        </w:rPr>
        <w:t>Swinburne v Federal Commissioner of Taxation</w:t>
      </w:r>
      <w:r w:rsidRPr="001B33B0">
        <w:rPr>
          <w:rFonts w:cs="Times New Roman (Arabic)"/>
          <w:lang w:val="en-US"/>
        </w:rPr>
        <w:t xml:space="preserve"> (1920) 27 CLR 377, 384; </w:t>
      </w:r>
      <w:r w:rsidRPr="001B33B0">
        <w:rPr>
          <w:rFonts w:cs="Times New Roman (Arabic)"/>
          <w:i/>
          <w:iCs/>
          <w:lang w:val="en-US"/>
        </w:rPr>
        <w:t>Chesterman v Federal Commissioner of Taxation</w:t>
      </w:r>
      <w:r w:rsidRPr="001B33B0">
        <w:rPr>
          <w:rFonts w:cs="Times New Roman (Arabic)"/>
          <w:lang w:val="en-US"/>
        </w:rPr>
        <w:t xml:space="preserve"> (1923) 32 CLR 362, 383; </w:t>
      </w:r>
      <w:r w:rsidRPr="001B33B0">
        <w:rPr>
          <w:rFonts w:cs="Times New Roman (Arabic)"/>
          <w:i/>
          <w:iCs/>
          <w:lang w:val="en-US"/>
        </w:rPr>
        <w:t>Young Men’s Christian Association of Melbourne v Federal Commissioner of Taxation</w:t>
      </w:r>
      <w:r w:rsidRPr="001B33B0">
        <w:rPr>
          <w:rFonts w:cs="Times New Roman (Arabic)"/>
          <w:lang w:val="en-US"/>
        </w:rPr>
        <w:t xml:space="preserve"> (1926) 37 CLR 351, 358.</w:t>
      </w:r>
      <w:r w:rsidR="00373043">
        <w:fldChar w:fldCharType="end"/>
      </w:r>
    </w:p>
  </w:footnote>
  <w:footnote w:id="54">
    <w:p w:rsidR="001B33B0" w:rsidRPr="00874462" w:rsidRDefault="001B33B0" w:rsidP="002E3724">
      <w:pPr>
        <w:pStyle w:val="FootnoteText"/>
      </w:pPr>
      <w:r w:rsidRPr="003129E2">
        <w:rPr>
          <w:rStyle w:val="FootnoteReference"/>
        </w:rPr>
        <w:footnoteRef/>
      </w:r>
      <w:r>
        <w:t xml:space="preserve"> </w:t>
      </w:r>
      <w:r>
        <w:tab/>
      </w:r>
      <w:r>
        <w:tab/>
      </w:r>
      <w:r w:rsidRPr="0010530B">
        <w:t>Ibid 359.</w:t>
      </w:r>
      <w:r>
        <w:t xml:space="preserve"> This statement was reported widely: see “A Tax Appeal—”Charitable Institution”—Mr. Justice Isaac’s Interesting Views”, </w:t>
      </w:r>
      <w:r>
        <w:rPr>
          <w:i/>
        </w:rPr>
        <w:t xml:space="preserve">The Brisbane Courier </w:t>
      </w:r>
      <w:r>
        <w:t>(Brisbane), 19 March 1926, 13.</w:t>
      </w:r>
    </w:p>
  </w:footnote>
  <w:footnote w:id="55">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{"citationID":"gl14bv3rv","properties":{"formattedCitation":"{\\rtf Chia and O\\uc0\\u8217{}Connell, \\i Charitable Treatment? A Short History of Taxation of Charities in Australia\\i0{}, above n 18, 28\\uc0\\u8211{}29.}","plainCitation":"Chia and O’Connell, Charitable Treatment? A Short History of Taxation of Charities in Australia, above n 18, 28–29."},"citationItems":[{"id":1817,"uris":["http://zotero.org/groups/39658/items/M6PV2SIE"],"uri":["http://zotero.org/groups/39658/items/M6PV2SIE"],"itemData":{"id":1817,"type":"report","title":"Charitable Treatment? A Short History of Taxation of Charities in Australia","publisher":"Melbourne Law School","URL":"http://tax.law.unimelb.edu.au/download.cfm?DownloadFile=93EAAA7E-5056-B405-510604B68E210358","author":[{"family":"Chia","given":"Joyce"},{"family":"O'Connell","given":"Ann"}],"issued":{"year":2011}},"locator":"28-29"}],"schema":"https://github.com/citation-style-language/schema/raw/master/csl-citation.json"} </w:instrText>
      </w:r>
      <w:r w:rsidR="00373043">
        <w:fldChar w:fldCharType="separate"/>
      </w:r>
      <w:r w:rsidRPr="001B33B0">
        <w:rPr>
          <w:rFonts w:cs="Times New Roman (Arabic)"/>
          <w:lang w:val="en-US"/>
        </w:rPr>
        <w:t xml:space="preserve">Chia and O’Connell, </w:t>
      </w:r>
      <w:r w:rsidRPr="001B33B0">
        <w:rPr>
          <w:rFonts w:cs="Times New Roman (Arabic)"/>
          <w:i/>
          <w:iCs/>
          <w:lang w:val="en-US"/>
        </w:rPr>
        <w:t>Charitable Treatment? A Short History of Taxation of Charities in Australia</w:t>
      </w:r>
      <w:r w:rsidRPr="001B33B0">
        <w:rPr>
          <w:rFonts w:cs="Times New Roman (Arabic)"/>
          <w:lang w:val="en-US"/>
        </w:rPr>
        <w:t>, above n 18, 28–29.</w:t>
      </w:r>
      <w:r w:rsidR="00373043">
        <w:fldChar w:fldCharType="end"/>
      </w:r>
    </w:p>
  </w:footnote>
  <w:footnote w:id="56">
    <w:p w:rsidR="001B33B0" w:rsidRPr="00336EBF" w:rsidRDefault="001B33B0" w:rsidP="006948AD">
      <w:pPr>
        <w:pStyle w:val="FootnoteText"/>
      </w:pPr>
      <w:r w:rsidRPr="00FA0CF0">
        <w:rPr>
          <w:rStyle w:val="FootnoteReference"/>
        </w:rPr>
        <w:footnoteRef/>
      </w:r>
      <w:r w:rsidRPr="00336EBF">
        <w:t xml:space="preserve"> </w:t>
      </w:r>
      <w:r>
        <w:tab/>
      </w:r>
      <w:r>
        <w:tab/>
      </w:r>
      <w:r w:rsidR="00373043">
        <w:fldChar w:fldCharType="begin"/>
      </w:r>
      <w:r>
        <w:instrText xml:space="preserve"> ADDIN ZOTERO_ITEM CSL_CITATION {"citationID":"1d1etb3mft","properties":{"formattedCitation":"{\\rtf Geoffrey Cross, \\uc0\\u8216{}Some Recent Developments in the Law of Charity\\uc0\\u8217{} (1956) 72 \\i Law Quarterly Review\\i0{} 187.}","plainCitation":"Geoffrey Cross, ‘Some Recent Developments in the Law of Charity’ (1956) 72 Law Quarterly Review 187."},"citationItems":[{"id":363,"uris":["http://zotero.org/groups/39658/items/4TTVPIZP"],"uri":["http://zotero.org/groups/39658/items/4TTVPIZP"],"itemData":{"id":363,"type":"article-journal","title":"Some Recent Developments in the Law of Charity","container-title":"Law Quarterly Review","page":"187","volume":"72","abstract":"Argues for a separation between fiscal privileges and charitable status. A detailed and thoughtful argument, arguing for a generous definition of charity in case of trust law and abilty to have any public trust relieved from rules against perpetuity and certainty; and adoption of Radcliffe Commission restricted definition of charity omitting fourth head but with some amplifications.","author":[{"family":"Cross","given":"Geoffrey"}],"issued":{"year":1956},"page-first":"187"}}],"schema":"https://github.com/citation-style-language/schema/raw/master/csl-citation.json"} </w:instrText>
      </w:r>
      <w:r w:rsidR="00373043">
        <w:fldChar w:fldCharType="separate"/>
      </w:r>
      <w:r w:rsidRPr="001B33B0">
        <w:rPr>
          <w:rFonts w:cs="Times New Roman (Arabic)"/>
          <w:lang w:val="en-US"/>
        </w:rPr>
        <w:t xml:space="preserve">Geoffrey Cross, ‘Some Recent Developments in the Law of Charity’ (1956) 72 </w:t>
      </w:r>
      <w:r w:rsidRPr="001B33B0">
        <w:rPr>
          <w:rFonts w:cs="Times New Roman (Arabic)"/>
          <w:i/>
          <w:iCs/>
          <w:lang w:val="en-US"/>
        </w:rPr>
        <w:t>Law Quarterly Review</w:t>
      </w:r>
      <w:r w:rsidRPr="001B33B0">
        <w:rPr>
          <w:rFonts w:cs="Times New Roman (Arabic)"/>
          <w:lang w:val="en-US"/>
        </w:rPr>
        <w:t xml:space="preserve"> 187.</w:t>
      </w:r>
      <w:r w:rsidR="00373043">
        <w:fldChar w:fldCharType="end"/>
      </w:r>
      <w:r>
        <w:t xml:space="preserve"> </w:t>
      </w:r>
    </w:p>
  </w:footnote>
  <w:footnote w:id="57">
    <w:p w:rsidR="001B33B0" w:rsidRPr="00336EBF" w:rsidRDefault="001B33B0" w:rsidP="00DD48FC">
      <w:pPr>
        <w:pStyle w:val="FootnoteText"/>
      </w:pPr>
      <w:r w:rsidRPr="00FA0CF0">
        <w:rPr>
          <w:rStyle w:val="FootnoteReference"/>
        </w:rPr>
        <w:footnoteRef/>
      </w:r>
      <w:r w:rsidRPr="00336EBF">
        <w:t xml:space="preserve"> </w:t>
      </w:r>
      <w:r>
        <w:tab/>
      </w:r>
      <w:r>
        <w:tab/>
      </w:r>
      <w:r w:rsidRPr="00B65A14">
        <w:t>Ibid 132.</w:t>
      </w:r>
    </w:p>
  </w:footnote>
  <w:footnote w:id="58">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{"citationID":"rafqrf8ts","properties":{"formattedCitation":"{\\rtf Lim Kien Thye, \\uc0\\u8216{}Clearing the Charity Muddle\\uc0\\u8212{}A Statutory Proposal\\uc0\\u8217{} (1984) 26 \\i Malaya Law Review\\i0{} 133.}","plainCitation":"Lim Kien Thye, ‘Clearing the Charity Muddle—A Statutory Proposal’ (1984) 26 Malaya Law Review 133."},"citationItems":[{"id":1560,"uris":["http://zotero.org/groups/39658/items/IC8BJPIV"],"uri":["http://zotero.org/groups/39658/items/IC8BJPIV"],"itemData":{"id":1560,"type":"article-journal","title":"Clearing the Charity Muddle—A Statutory Proposal","container-title":"Malaya Law Review","page":"133","volume":"26","shortTitle":"Clearing the Charity Muddle","author":[{"family":"Thye","given":"Lim Kien"}],"issued":{"year":1984},"page-first":"133"}}],"schema":"https://github.com/citation-style-language/schema/raw/master/csl-citation.json"} </w:instrText>
      </w:r>
      <w:r w:rsidR="00373043">
        <w:fldChar w:fldCharType="separate"/>
      </w:r>
      <w:r w:rsidRPr="001B33B0">
        <w:rPr>
          <w:rFonts w:cs="Times New Roman (Arabic)"/>
          <w:lang w:val="en-US"/>
        </w:rPr>
        <w:t xml:space="preserve">Lim Kien Thye, ‘Clearing the Charity Muddle—A Statutory Proposal’ (1984) 26 </w:t>
      </w:r>
      <w:r w:rsidRPr="001B33B0">
        <w:rPr>
          <w:rFonts w:cs="Times New Roman (Arabic)"/>
          <w:i/>
          <w:iCs/>
          <w:lang w:val="en-US"/>
        </w:rPr>
        <w:t>Malaya Law Review</w:t>
      </w:r>
      <w:r w:rsidRPr="001B33B0">
        <w:rPr>
          <w:rFonts w:cs="Times New Roman (Arabic)"/>
          <w:lang w:val="en-US"/>
        </w:rPr>
        <w:t xml:space="preserve"> 133.</w:t>
      </w:r>
      <w:r w:rsidR="00373043">
        <w:fldChar w:fldCharType="end"/>
      </w:r>
    </w:p>
  </w:footnote>
  <w:footnote w:id="59">
    <w:p w:rsidR="001B33B0" w:rsidRDefault="001B33B0">
      <w:pPr>
        <w:pStyle w:val="FootnoteText"/>
      </w:pPr>
      <w:r>
        <w:rPr>
          <w:rStyle w:val="FootnoteReference"/>
        </w:rPr>
        <w:footnoteRef/>
      </w:r>
      <w:r>
        <w:t xml:space="preserve"> </w:t>
      </w:r>
      <w:r>
        <w:tab/>
      </w:r>
      <w:r>
        <w:tab/>
      </w:r>
      <w:r w:rsidR="00373043">
        <w:fldChar w:fldCharType="begin"/>
      </w:r>
      <w:r>
        <w:instrText xml:space="preserve"> ADDIN ZOTERO_ITEM CSL_CITATION {"citationID":"im3n3u37t","properties":{"formattedCitation":"{\\rtf Committee of Inquiry into the Effect of Charity Law and Practice on Voluntary Organisations, \\i Goodman Report\\i0{}, above n 21; Commission on the Future of the Voluntary Sector, \\i Meeting the Challenge of Change: Voluntary Action in the 21st Century\\i0{} (National Council for Voluntary Organisations, 1996); National Council for Voluntary Organisations, \\i For the Public Benefit? A Consultation Document on Charity Law Reform\\i0{} (2001); National Council for Voluntary Organisations, \\i NCVO Charity Law Review Advisory Group\\i0{} &lt;http://www.ncvo-vol.org.uk/ncvo-charity-law-review-advisory-group&gt;.}","plainCitation":"Committee of Inquiry into the Effect of Charity Law and Practice on Voluntary Organisations, Goodman Report, above n 21; Commission on the Future of the Voluntary Sector, Meeting the Challenge of Change: Voluntary Action in the 21st Century (National Council for Voluntary Organisations, 1996); National Council for Voluntary Organisations, For the Public Benefit? A Consultation Document on Charity Law Reform (2001); National Council for Voluntary Organisations, NCVO Charity Law Review Advisory Group &lt;http://www.ncvo-vol.org.uk/ncvo-charity-law-review-advisory-group&gt;."},"citationItems":[{"id":2342,"uris":["http://zotero.org/groups/39658/items/STVI3RFJ"],"uri":["http://zotero.org/groups/39658/items/STVI3RFJ"],"itemData":{"id":2342,"type":"report","title":"Charity Law and Voluntary Organisations","publisher-place":"London","event-place":"London","abstract":"Modernization of the definition of charity through restatement of the categories found in the Statute of Charitable Uses in simple and contemporary language and extension of these categories to objects identified within the scope of charity by the case law. Proposed detailed guidelines on charitable purpose in Appendix I","call-number":"Law KN 215 A1 NATI (missing); SLV # Call Number: S 346.42064 C37","shortTitle":"Goodman Report","author":[{"family":"Committee of Inquiry into the Effect of Charity Law and Practice on Voluntary Organisations","given":""}],"issued":{"year":1976}}},{"id":1148,"uris":["http://zotero.org/groups/39658/items/DTT4RTV5"],"uri":["http://zotero.org/groups/39658/items/DTT4RTV5"],"itemData":{"id":1148,"type":"report","title":"Meeting the Challenge of Change: Voluntary Action in the 21st Century","publisher":"National Council for Voluntary Organisations","abstract":"Recommended replacement of test with ‘benefit to community’ test. Argued for legislative definition and a Voluntary Sector Commission.","shortTitle":"Deakin Report","author":[{"family":"Commission on the Future of the Voluntary Sector","given":""}],"issued":{"year":1996}}},{"id":2402,"uris":["http://zotero.org/groups/39658/items/T9PCQJMK"],"uri":["http://zotero.org/groups/39658/items/T9PCQJMK"],"itemData":{"id":2402,"type":"report","title":"For the Public Benefit? A Consultation Document on Charity Law Reform","shortTitle":"For the Public Benefit?","author":[{"family":"National Council for Voluntary Organisations","given":""}],"issued":{"year":2001}}},{"id":11587,"uris":["http://zotero.org/groups/39658/items/59W9CVN7"],"uri":["http://zotero.org/groups/39658/items/59W9CVN7"],"itemData":{"id":11587,"type":"webpage","title":"NCVO Charity Law Review Advisory Group","URL":"http://www.ncvo-vol.org.uk/ncvo-charity-law-review-advisory-group","author":[{"family":"National Council for Voluntary Organisations","given":""}],"accessed":{"year":2011,"month":9,"day":28}}}],"schema":"https://github.com/citation-style-language/schema/raw/master/csl-citation.json"} </w:instrText>
      </w:r>
      <w:r w:rsidR="00373043">
        <w:fldChar w:fldCharType="separate"/>
      </w:r>
      <w:r w:rsidRPr="001B33B0">
        <w:rPr>
          <w:rFonts w:cs="Times New Roman (Arabic)"/>
          <w:lang w:val="en-US"/>
        </w:rPr>
        <w:t xml:space="preserve">Committee of Inquiry into the Effect of Charity Law and Practice on Voluntary Organisations, </w:t>
      </w:r>
      <w:r w:rsidRPr="001B33B0">
        <w:rPr>
          <w:rFonts w:cs="Times New Roman (Arabic)"/>
          <w:i/>
          <w:iCs/>
          <w:lang w:val="en-US"/>
        </w:rPr>
        <w:t>Goodman Report</w:t>
      </w:r>
      <w:r w:rsidRPr="001B33B0">
        <w:rPr>
          <w:rFonts w:cs="Times New Roman (Arabic)"/>
          <w:lang w:val="en-US"/>
        </w:rPr>
        <w:t xml:space="preserve">, above n 21; Commission on the Future of the Voluntary Sector, </w:t>
      </w:r>
      <w:r w:rsidRPr="001B33B0">
        <w:rPr>
          <w:rFonts w:cs="Times New Roman (Arabic)"/>
          <w:i/>
          <w:iCs/>
          <w:lang w:val="en-US"/>
        </w:rPr>
        <w:t>Meeting the Challenge of Change: Voluntary Action in the 21st Century</w:t>
      </w:r>
      <w:r w:rsidRPr="001B33B0">
        <w:rPr>
          <w:rFonts w:cs="Times New Roman (Arabic)"/>
          <w:lang w:val="en-US"/>
        </w:rPr>
        <w:t xml:space="preserve"> (National Council for Voluntary Organisations, 1996); National Council for Voluntary Organisations, </w:t>
      </w:r>
      <w:r w:rsidRPr="001B33B0">
        <w:rPr>
          <w:rFonts w:cs="Times New Roman (Arabic)"/>
          <w:i/>
          <w:iCs/>
          <w:lang w:val="en-US"/>
        </w:rPr>
        <w:t>For the Public Benefit? A Consultation Document on Charity Law Reform</w:t>
      </w:r>
      <w:r w:rsidRPr="001B33B0">
        <w:rPr>
          <w:rFonts w:cs="Times New Roman (Arabic)"/>
          <w:lang w:val="en-US"/>
        </w:rPr>
        <w:t xml:space="preserve"> (2001); National Council for Voluntary Organisations, </w:t>
      </w:r>
      <w:r w:rsidRPr="001B33B0">
        <w:rPr>
          <w:rFonts w:cs="Times New Roman (Arabic)"/>
          <w:i/>
          <w:iCs/>
          <w:lang w:val="en-US"/>
        </w:rPr>
        <w:t>NCVO Charity Law Review Advisory Group</w:t>
      </w:r>
      <w:r w:rsidRPr="001B33B0">
        <w:rPr>
          <w:rFonts w:cs="Times New Roman (Arabic)"/>
          <w:lang w:val="en-US"/>
        </w:rPr>
        <w:t xml:space="preserve"> &lt;http://www.ncvo-vol.org.uk/ncvo-charity-law-review-advisory-group&gt;.</w:t>
      </w:r>
      <w:r w:rsidR="00373043">
        <w:fldChar w:fldCharType="end"/>
      </w:r>
    </w:p>
  </w:footnote>
  <w:footnote w:id="60">
    <w:p w:rsidR="001B33B0" w:rsidRDefault="001B33B0">
      <w:pPr>
        <w:pStyle w:val="FootnoteText"/>
      </w:pPr>
      <w:r>
        <w:rPr>
          <w:rStyle w:val="FootnoteReference"/>
        </w:rPr>
        <w:footnoteRef/>
      </w:r>
      <w:r>
        <w:t xml:space="preserve"> </w:t>
      </w:r>
      <w:r>
        <w:tab/>
      </w:r>
      <w:r>
        <w:tab/>
        <w:t xml:space="preserve">See especially </w:t>
      </w:r>
      <w:r w:rsidR="00373043">
        <w:fldChar w:fldCharType="begin"/>
      </w:r>
      <w:r>
        <w:instrText xml:space="preserve"> ADDIN ZOTERO_ITEM CSL_CITATION {"citationID":"4ih9oqvh8","properties":{"formattedCitation":"{\\rtf Commission on the Future of the Voluntary Sector, \\i Deakin Report\\i0{}, above n 58.}","plainCitation":"Commission on the Future of the Voluntary Sector, Deakin Report, above n 58."},"citationItems":[{"id":1148,"uris":["http://zotero.org/groups/39658/items/DTT4RTV5"],"uri":["http://zotero.org/groups/39658/items/DTT4RTV5"],"itemData":{"id":1148,"type":"report","title":"Meeting the Challenge of Change: Voluntary Action in the 21st Century","publisher":"National Council for Voluntary Organisations","abstract":"Recommended replacement of test with ‘benefit to community’ test. Argued for legislative definition and a Voluntary Sector Commission.","shortTitle":"Deakin Report","author":[{"family":"Commission on the Future of the Voluntary Sector","given":""}],"issued":{"year":1996}}}],"schema":"https://github.com/citation-style-language/schema/raw/master/csl-citation.json"} </w:instrText>
      </w:r>
      <w:r w:rsidR="00373043">
        <w:fldChar w:fldCharType="separate"/>
      </w:r>
      <w:r w:rsidRPr="001B33B0">
        <w:rPr>
          <w:rFonts w:cs="Times New Roman (Arabic)"/>
          <w:lang w:val="en-US"/>
        </w:rPr>
        <w:t xml:space="preserve">Commission on the Future of the Voluntary Sector, </w:t>
      </w:r>
      <w:r w:rsidRPr="001B33B0">
        <w:rPr>
          <w:rFonts w:cs="Times New Roman (Arabic)"/>
          <w:i/>
          <w:iCs/>
          <w:lang w:val="en-US"/>
        </w:rPr>
        <w:t>Deakin Report</w:t>
      </w:r>
      <w:r w:rsidRPr="001B33B0">
        <w:rPr>
          <w:rFonts w:cs="Times New Roman (Arabic)"/>
          <w:lang w:val="en-US"/>
        </w:rPr>
        <w:t>, above n 58.</w:t>
      </w:r>
      <w:r w:rsidR="00373043">
        <w:fldChar w:fldCharType="end"/>
      </w:r>
    </w:p>
  </w:footnote>
  <w:footnote w:id="61">
    <w:p w:rsidR="001B33B0" w:rsidRDefault="001B33B0">
      <w:pPr>
        <w:pStyle w:val="FootnoteText"/>
      </w:pPr>
      <w:r>
        <w:rPr>
          <w:rStyle w:val="FootnoteReference"/>
        </w:rPr>
        <w:footnoteRef/>
      </w:r>
      <w:r>
        <w:t xml:space="preserve"> </w:t>
      </w:r>
      <w:r>
        <w:tab/>
      </w:r>
      <w:r>
        <w:tab/>
        <w:t xml:space="preserve">There are flavours of this in </w:t>
      </w:r>
      <w:r w:rsidR="00373043">
        <w:fldChar w:fldCharType="begin"/>
      </w:r>
      <w:r>
        <w:instrText xml:space="preserve"> ADDIN ZOTERO_ITEM CSL_CITATION {"citationID":"1n9h0ad5vt","properties":{"formattedCitation":"{\\rtf Michael Chesterman, \\i Charities, Trusts, and Social Welfare\\i0{} (Weidenfeld and Nicolson, 1979).}","plainCitation":"Michael Chesterman, Charities, Trusts, and Social Welfare (Weidenfeld and Nicolson, 1979)."},"citationItems":[{"id":510,"uris":["http://zotero.org/groups/39658/items/6P383EJ7"],"uri":["http://zotero.org/groups/39658/items/6P383EJ7"],"itemData":{"id":510,"type":"book","title":"Charities, Trusts, and Social Welfare","collection-title":"Law in context","publisher":"Weidenfeld and Nicolson","publisher-place":"London","number-of-pages":"490","event-place":"London","ISBN":"0297775901","call-number":"KN 215 A1 CHES","author":[{"family":"Chesterman","given":"Michael"}],"issued":{"year":1979}}}],"schema":"https://github.com/citation-style-language/schema/raw/master/csl-citation.json"} </w:instrText>
      </w:r>
      <w:r w:rsidR="00373043">
        <w:fldChar w:fldCharType="separate"/>
      </w:r>
      <w:r w:rsidRPr="001B33B0">
        <w:rPr>
          <w:rFonts w:cs="Times New Roman (Arabic)"/>
          <w:lang w:val="en-US"/>
        </w:rPr>
        <w:t xml:space="preserve">Michael Chesterman, </w:t>
      </w:r>
      <w:r w:rsidRPr="001B33B0">
        <w:rPr>
          <w:rFonts w:cs="Times New Roman (Arabic)"/>
          <w:i/>
          <w:iCs/>
          <w:lang w:val="en-US"/>
        </w:rPr>
        <w:t>Charities, Trusts, and Social Welfare</w:t>
      </w:r>
      <w:r w:rsidRPr="001B33B0">
        <w:rPr>
          <w:rFonts w:cs="Times New Roman (Arabic)"/>
          <w:lang w:val="en-US"/>
        </w:rPr>
        <w:t xml:space="preserve"> (Weidenfeld and Nicolson, 1979).</w:t>
      </w:r>
      <w:r w:rsidR="00373043">
        <w:fldChar w:fldCharType="end"/>
      </w:r>
    </w:p>
  </w:footnote>
  <w:footnote w:id="62">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{"citationID":"re01p6u8e","properties":{"formattedCitation":"{\\rtf Committee of Inquiry into the Effect of Charity Law and Practice on Voluntary Organisations, \\i Goodman Report\\i0{}, above n 21, i.}","plainCitation":"Committee of Inquiry into the Effect of Charity Law and Practice on Voluntary Organisations, Goodman Report, above n 21, i."},"citationItems":[{"id":2342,"uris":["http://zotero.org/groups/39658/items/STVI3RFJ"],"uri":["http://zotero.org/groups/39658/items/STVI3RFJ"],"itemData":{"id":2342,"type":"report","title":"Charity Law and Voluntary Organisations","publisher-place":"London","event-place":"London","abstract":"Modernization of the definition of charity through restatement of the categories found in the Statute of Charitable Uses in simple and contemporary language and extension of these categories to objects identified within the scope of charity by the case law. Proposed detailed guidelines on charitable purpose in Appendix I","call-number":"Law KN 215 A1 NATI (missing); SLV # Call Number: S 346.42064 C37","shortTitle":"Goodman Report","author":[{"family":"Committee of Inquiry into the Effect of Charity Law and Practice on Voluntary Organisations","given":""}],"issued":{"year":1976}},"locator":"i"}],"schema":"https://github.com/citation-style-language/schema/raw/master/csl-citation.json"} </w:instrText>
      </w:r>
      <w:r w:rsidR="00373043">
        <w:fldChar w:fldCharType="separate"/>
      </w:r>
      <w:r w:rsidRPr="001B33B0">
        <w:rPr>
          <w:rFonts w:cs="Times New Roman (Arabic)"/>
          <w:lang w:val="en-US"/>
        </w:rPr>
        <w:t xml:space="preserve">Committee of Inquiry into the Effect of Charity Law and Practice on Voluntary Organisations, </w:t>
      </w:r>
      <w:r w:rsidRPr="001B33B0">
        <w:rPr>
          <w:rFonts w:cs="Times New Roman (Arabic)"/>
          <w:i/>
          <w:iCs/>
          <w:lang w:val="en-US"/>
        </w:rPr>
        <w:t>Goodman Report</w:t>
      </w:r>
      <w:r w:rsidRPr="001B33B0">
        <w:rPr>
          <w:rFonts w:cs="Times New Roman (Arabic)"/>
          <w:lang w:val="en-US"/>
        </w:rPr>
        <w:t>, above n 21, i.</w:t>
      </w:r>
      <w:r w:rsidR="00373043">
        <w:fldChar w:fldCharType="end"/>
      </w:r>
    </w:p>
  </w:footnote>
  <w:footnote w:id="63">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{"citationID":"1oga3f7bd6","properties":{"formattedCitation":"{\\rtf Ontario Law Reform Commission, \\i Report on the Law of Charities\\i0{}, above n 42, This is discussed in more philosophical terms in .}","plainCitation":"Ontario Law Reform Commission, Report on the Law of Charities, above n 42, This is discussed in more philosophical terms in ."},"citationItems":[{"id":1730,"uris":["http://zotero.org/groups/39658/items/K2JMBM98"],"uri":["http://zotero.org/groups/39658/items/K2JMBM98"],"itemData":{"id":1730,"type":"report","title":"Report on the Law of Charities","publisher-place":"Toronto","event-place":"Toronto","call-number":"Law KN 215 F1 ONTA (missing); # Supreme Court of Victoria. Supreme Court Library.  Call Number(s) LRC 71.3 R78","author":[{"family":"Ontario Law Reform Commission","given":""}],"issued":{"year":1996}},"locator":"This is discussed in more philosophical terms in "}],"schema":"https://github.com/citation-style-language/schema/raw/master/csl-citation.json"} </w:instrText>
      </w:r>
      <w:r w:rsidR="00373043">
        <w:fldChar w:fldCharType="separate"/>
      </w:r>
      <w:r w:rsidRPr="001B33B0">
        <w:rPr>
          <w:rFonts w:cs="Times New Roman (Arabic)"/>
          <w:lang w:val="en-US"/>
        </w:rPr>
        <w:t xml:space="preserve">Ontario Law Reform Commission, </w:t>
      </w:r>
      <w:r w:rsidRPr="001B33B0">
        <w:rPr>
          <w:rFonts w:cs="Times New Roman (Arabic)"/>
          <w:i/>
          <w:iCs/>
          <w:lang w:val="en-US"/>
        </w:rPr>
        <w:t>Report on the Law of Charities</w:t>
      </w:r>
      <w:r w:rsidRPr="001B33B0">
        <w:rPr>
          <w:rFonts w:cs="Times New Roman (Arabic)"/>
          <w:lang w:val="en-US"/>
        </w:rPr>
        <w:t>, above n 42, This is discussed in more philosophical terms in .</w:t>
      </w:r>
      <w:r w:rsidR="00373043">
        <w:fldChar w:fldCharType="end"/>
      </w:r>
    </w:p>
  </w:footnote>
  <w:footnote w:id="64">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{"citationID":"1qifgsg98h","properties":{"formattedCitation":"{\\rtf \\i Jos\\uc0\\u233{} Antonio Abreu on Venezuela\\uc0\\u8217{}s El Sistema Miracle | Music | The Guardian\\i0{} &lt;http://www.guardian.co.uk/music/2012/jun/14/abreu-el-sistema-venezuela-interview-clemency-burton-hill&gt;.}","plainCitation":"José Antonio Abreu on Venezuela’s El Sistema Miracle | Music | The Guardian &lt;http://www.guardian.co.uk/music/2012/jun/14/abreu-el-sistema-venezuela-interview-clemency-burton-hill&gt;."},"citationItems":[{"id":13039,"uris":["http://zotero.org/groups/39658/items/RH95QT46"],"uri":["http://zotero.org/groups/39658/items/RH95QT46"],"itemData":{"id":13039,"type":"webpage","title":"José Antonio Abreu on Venezuela's El Sistema miracle | Music | The Guardian","URL":"http://www.guardian.co.uk/music/2012/jun/14/abreu-el-sistema-venezuela-interview-clemency-burton-hill","accessed":{"year":2012,"month":7,"day":11}}}],"schema":"https://github.com/citation-style-language/schema/raw/master/csl-citation.json"} </w:instrText>
      </w:r>
      <w:r w:rsidR="00373043">
        <w:fldChar w:fldCharType="separate"/>
      </w:r>
      <w:r w:rsidRPr="001B33B0">
        <w:rPr>
          <w:rFonts w:cs="Times New Roman (Arabic)"/>
          <w:i/>
          <w:iCs/>
          <w:lang w:val="en-US"/>
        </w:rPr>
        <w:t>José Antonio Abreu on Venezuela’s El Sistema Miracle | Music | The Guardian</w:t>
      </w:r>
      <w:r w:rsidRPr="001B33B0">
        <w:rPr>
          <w:rFonts w:cs="Times New Roman (Arabic)"/>
          <w:lang w:val="en-US"/>
        </w:rPr>
        <w:t xml:space="preserve"> &lt;http://www.guardian.co.uk/music/2012/jun/14/abreu-el-sistema-venezuela-interview-clemency-burton-hill&gt;.</w:t>
      </w:r>
      <w:r w:rsidR="00373043">
        <w:fldChar w:fldCharType="end"/>
      </w:r>
    </w:p>
  </w:footnote>
  <w:footnote w:id="65">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{"citationID":"2liagek9ld","properties":{"formattedCitation":"{\\rtf Australian Government Initiative, \\i National Compact: Working Together\\i0{} (2010) &lt;http://www.nationalcompact.gov.au/wordpress/wp-content/uploads/Nat_compact.pdf&gt;.}","plainCitation":"Australian Government Initiative, National Compact: Working Together (2010) &lt;http://www.nationalcompact.gov.au/wordpress/wp-content/uploads/Nat_compact.pdf&gt;."},"citationItems":[{"id":2780,"uris":["http://zotero.org/groups/39658/items/WT8EP2FT"],"uri":["http://zotero.org/groups/39658/items/WT8EP2FT"],"itemData":{"id":2780,"type":"report","title":"National Compact: Working Together","URL":"http://www.nationalcompact.gov.au/wordpress/wp-content/uploads/Nat_compact.pdf","author":[{"family":"Australian Government Initiative","given":""}],"issued":{"year":2010},"accessed":{"year":2010,"month":11,"day":3}}}],"schema":"https://github.com/citation-style-language/schema/raw/master/csl-citation.json"} </w:instrText>
      </w:r>
      <w:r w:rsidR="00373043">
        <w:fldChar w:fldCharType="separate"/>
      </w:r>
      <w:r w:rsidRPr="001B33B0">
        <w:rPr>
          <w:rFonts w:cs="Times New Roman (Arabic)"/>
          <w:lang w:val="en-US"/>
        </w:rPr>
        <w:t xml:space="preserve">Australian Government Initiative, </w:t>
      </w:r>
      <w:r w:rsidRPr="001B33B0">
        <w:rPr>
          <w:rFonts w:cs="Times New Roman (Arabic)"/>
          <w:i/>
          <w:iCs/>
          <w:lang w:val="en-US"/>
        </w:rPr>
        <w:t>National Compact: Working Together</w:t>
      </w:r>
      <w:r w:rsidRPr="001B33B0">
        <w:rPr>
          <w:rFonts w:cs="Times New Roman (Arabic)"/>
          <w:lang w:val="en-US"/>
        </w:rPr>
        <w:t xml:space="preserve"> (2010) &lt;http://www.nationalcompact.gov.au/wordpress/wp-content/uploads/Nat_compact.pdf&gt;.</w:t>
      </w:r>
      <w:r w:rsidR="00373043">
        <w:fldChar w:fldCharType="end"/>
      </w:r>
    </w:p>
  </w:footnote>
  <w:footnote w:id="66">
    <w:p w:rsidR="001B33B0" w:rsidRDefault="001B33B0" w:rsidP="002762A4">
      <w:pPr>
        <w:pStyle w:val="FootnoteText"/>
      </w:pPr>
      <w:r>
        <w:rPr>
          <w:rStyle w:val="FootnoteReference"/>
        </w:rPr>
        <w:footnoteRef/>
      </w:r>
      <w:r>
        <w:t xml:space="preserve"> </w:t>
      </w:r>
      <w:r w:rsidR="00373043">
        <w:fldChar w:fldCharType="begin"/>
      </w:r>
      <w:r>
        <w:instrText xml:space="preserve"> ADDIN ZOTERO_ITEM CSL_CITATION {"citationID":"1uqvi4hs9p","properties":{"formattedCitation":"{\\rtf Department of the Prime Minister and Cabinet, \\i Non-Profit Sector Reform Council\\i0{} (15 October 2010) Department of the Prime Minister and Cabinet &lt;http://www.dpmc.gov.au/nonprofit_reform_council.cfm&gt;.}","plainCitation":"Department of the Prime Minister and Cabinet, Non-Profit Sector Reform Council (15 October 2010) Department of the Prime Minister and Cabinet &lt;http://www.dpmc.gov.au/nonprofit_reform_council.cfm&gt;."},"citationItems":[{"id":2154,"uris":["http://zotero.org/groups/39658/items/QMUCRN66"],"uri":["http://zotero.org/groups/39658/items/QMUCRN66"],"itemData":{"id":2154,"type":"webpage","title":"Non-Profit Sector Reform Council","container-title":"Department of the Prime Minister and Cabinet","genre":"Government","URL":"http://www.dpmc.gov.au/nonprofit_reform_council.cfm","note":"Non-Profit Sector Reform Council","author":[{"family":"Department of the Prime Minister and Cabinet","given":""}],"issued":{"year":2010,"month":10,"day":15},"accessed":{"year":2010,"month":10,"day":20}}}],"schema":"https://github.com/citation-style-language/schema/raw/master/csl-citation.json"} </w:instrText>
      </w:r>
      <w:r w:rsidR="00373043">
        <w:fldChar w:fldCharType="separate"/>
      </w:r>
      <w:r w:rsidRPr="001B33B0">
        <w:rPr>
          <w:rFonts w:cs="Times New Roman (Arabic)"/>
          <w:lang w:val="en-US"/>
        </w:rPr>
        <w:t xml:space="preserve">Department of the Prime Minister and Cabinet, </w:t>
      </w:r>
      <w:r w:rsidRPr="001B33B0">
        <w:rPr>
          <w:rFonts w:cs="Times New Roman (Arabic)"/>
          <w:i/>
          <w:iCs/>
          <w:lang w:val="en-US"/>
        </w:rPr>
        <w:t>Non-Profit Sector Reform Council</w:t>
      </w:r>
      <w:r w:rsidRPr="001B33B0">
        <w:rPr>
          <w:rFonts w:cs="Times New Roman (Arabic)"/>
          <w:lang w:val="en-US"/>
        </w:rPr>
        <w:t xml:space="preserve"> (15 October 2010) Department of the Prime Minister and Cabinet &lt;http://www.dpmc.gov.au/nonprofit_reform_council.cfm&gt;.</w:t>
      </w:r>
      <w:r w:rsidR="00373043">
        <w:fldChar w:fldCharType="end"/>
      </w:r>
    </w:p>
  </w:footnote>
  <w:footnote w:id="67">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{"citationID":"28c3ptsmpf","properties":{"formattedCitation":"{\\rtf Productivity Commission, \\i Contribution of the Not-for-Profit Sector\\i0{} (Research Report, 11 February 2010) &lt;http://www.pc.gov.au/projects/study/not-for-profit/report&gt;.}","plainCitation":"Productivity Commission, Contribution of the Not-for-Profit Sector (Research Report, 11 February 2010) &lt;http://www.pc.gov.au/projects/study/not-for-profit/report&gt;."},"citationItems":[{"id":7008,"uris":["http://zotero.org/users/57495/items/XARPVRQ3"],"uri":["http://zotero.org/users/57495/items/XARPVRQ3"],"itemData":{"id":7008,"type":"report","title":"Contribution of the Not-for-Profit Sector","genre":"Research Report","abstract":"Major report into contribution of not-for-profit sector in Australia. The Commission was tasked by the Australian Government with measuring the\ncontribution of the NFP sector. It was also asked to examine ways to improve the\nefficiency and effectiveness of the sector, including in the delivery of government\nfunded services. The changing nature of relationships between government,\nbusiness and the NFP sector were also examined. Finally, the Commission\nconsidered the issues related to the effect of tax concessions available to NFPs on\nphilanthropy and competitive neutrality, with due regard to the current Review of\nAustralia’s Future Tax System (RAFTS).","URL":"http://www.pc.gov.au/projects/study/not-for-profit/report","author":[{"family":"Productivity Commission","given":""}],"issued":{"year":2010,"month":2,"day":11},"accessed":{"year":2010,"month":4,"day":27}}}],"schema":"https://github.com/citation-style-language/schema/raw/master/csl-citation.json"} </w:instrText>
      </w:r>
      <w:r w:rsidR="00373043">
        <w:fldChar w:fldCharType="separate"/>
      </w:r>
      <w:r w:rsidRPr="001B33B0">
        <w:rPr>
          <w:rFonts w:cs="Times New Roman (Arabic)"/>
          <w:lang w:val="en-US"/>
        </w:rPr>
        <w:t xml:space="preserve">Productivity Commission, </w:t>
      </w:r>
      <w:r w:rsidRPr="001B33B0">
        <w:rPr>
          <w:rFonts w:cs="Times New Roman (Arabic)"/>
          <w:i/>
          <w:iCs/>
          <w:lang w:val="en-US"/>
        </w:rPr>
        <w:t>Contribution of the Not-for-Profit Sector</w:t>
      </w:r>
      <w:r w:rsidRPr="001B33B0">
        <w:rPr>
          <w:rFonts w:cs="Times New Roman (Arabic)"/>
          <w:lang w:val="en-US"/>
        </w:rPr>
        <w:t xml:space="preserve"> (Research Report, 11 February 2010) &lt;http://www.pc.gov.au/projects/study/not-for-profit/report&gt;.</w:t>
      </w:r>
      <w:r w:rsidR="00373043">
        <w:fldChar w:fldCharType="end"/>
      </w:r>
    </w:p>
  </w:footnote>
  <w:footnote w:id="68">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{"citationID":"2l32s8v61n","properties":{"formattedCitation":"{\\rtf \\i Not-for-Profit Sector Welcomes Labor\\uc0\\u8217{}s Commitment to Sector Reforms\\i0{} (9 August 2010) Philanthropy Australia &lt;http://www.philanthropy.org.au/pdfs/advocacy/CCAMediaAugust.pdf&gt;.}","plainCitation":"Not-for-Profit Sector Welcomes Labor’s Commitment to Sector Reforms (9 August 2010) Philanthropy Australia &lt;http://www.philanthropy.org.au/pdfs/advocacy/CCAMediaAugust.pdf&gt;."},"citationItems":[{"id":1785,"uris":["http://zotero.org/groups/39658/items/KSDHTPXH"],"uri":["http://zotero.org/groups/39658/items/KSDHTPXH"],"itemData":{"id":1785,"type":"webpage","title":"Not-for-Profit sector welcomes Labor’s commitment to sector reforms","container-title":"Philanthropy Australia","URL":"http://www.philanthropy.org.au/pdfs/advocacy/CCAMediaAugust.pdf","issued":{"year":2010,"month":8,"day":9},"accessed":{"year":2010,"month":8,"day":11}}}],"schema":"https://github.com/citation-style-language/schema/raw/master/csl-citation.json"} </w:instrText>
      </w:r>
      <w:r w:rsidR="00373043">
        <w:fldChar w:fldCharType="separate"/>
      </w:r>
      <w:r w:rsidRPr="001B33B0">
        <w:rPr>
          <w:rFonts w:cs="Times New Roman (Arabic)"/>
          <w:i/>
          <w:iCs/>
          <w:lang w:val="en-US"/>
        </w:rPr>
        <w:t>Not-for-Profit Sector Welcomes Labor’s Commitment to Sector Reforms</w:t>
      </w:r>
      <w:r w:rsidRPr="001B33B0">
        <w:rPr>
          <w:rFonts w:cs="Times New Roman (Arabic)"/>
          <w:lang w:val="en-US"/>
        </w:rPr>
        <w:t xml:space="preserve"> (9 August 2010) Philanthropy Australia &lt;http://www.philanthropy.org.au/pdfs/advocacy/CCAMediaAugust.pdf&gt;.</w:t>
      </w:r>
      <w:r w:rsidR="00373043">
        <w:fldChar w:fldCharType="end"/>
      </w:r>
    </w:p>
  </w:footnote>
  <w:footnote w:id="69">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{"citationID":"5nvv9fk4b","properties":{"formattedCitation":"{\\rtf Treasury, \\i Better Targeting of Not-for-Profit Tax Concessions\\i0{} (Consultation Paper, 27 May 2011) &lt;http://archive.treasury.gov.au/contentitem.asp?NavId=037&amp;ContentID=2056&gt;.}","plainCitation":"Treasury, Better Targeting of Not-for-Profit Tax Concessions (Consultation Paper, 27 May 2011) &lt;http://archive.treasury.gov.au/contentitem.asp?NavId=037&amp;ContentID=2056&gt;."},"citationItems":[{"id":12140,"uris":["http://zotero.org/groups/39658/items/I5Q54XDZ"],"uri":["http://zotero.org/groups/39658/items/I5Q54XDZ"],"itemData":{"id":12140,"type":"report","title":"Better Targeting of Not-for-Profit Tax Concessions","genre":"Consultation Paper","URL":"http://archive.treasury.gov.au/contentitem.asp?NavId=037&amp;ContentID=2056","author":[{"family":"Treasury","given":""}],"issued":{"year":2011,"month":5,"day":27}}}],"schema":"https://github.com/citation-style-language/schema/raw/master/csl-citation.json"} </w:instrText>
      </w:r>
      <w:r w:rsidR="00373043">
        <w:fldChar w:fldCharType="separate"/>
      </w:r>
      <w:r w:rsidRPr="001B33B0">
        <w:rPr>
          <w:rFonts w:cs="Times New Roman (Arabic)"/>
          <w:lang w:val="en-US"/>
        </w:rPr>
        <w:t xml:space="preserve">Treasury, </w:t>
      </w:r>
      <w:r w:rsidRPr="001B33B0">
        <w:rPr>
          <w:rFonts w:cs="Times New Roman (Arabic)"/>
          <w:i/>
          <w:iCs/>
          <w:lang w:val="en-US"/>
        </w:rPr>
        <w:t>Better Targeting of Not-for-Profit Tax Concessions</w:t>
      </w:r>
      <w:r w:rsidRPr="001B33B0">
        <w:rPr>
          <w:rFonts w:cs="Times New Roman (Arabic)"/>
          <w:lang w:val="en-US"/>
        </w:rPr>
        <w:t xml:space="preserve"> (Consultation Paper, 27 May 2011) &lt;http://archive.treasury.gov.au/contentitem.asp?NavId=037&amp;ContentID=2056&gt;.</w:t>
      </w:r>
      <w:r w:rsidR="00373043">
        <w:fldChar w:fldCharType="end"/>
      </w:r>
    </w:p>
  </w:footnote>
  <w:footnote w:id="70">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{"citationID":"4uh1o4623","properties":{"formattedCitation":"{\\rtf Treasury, \\i Restating the \\uc0\\u8220{}in Australia\\uc0\\u8221{} Special Conditions for Tax Concession Entities\\i0{} (Exposure Draft, 4 July 2011) &lt;http://archive.treasury.gov.au/contentitem.asp?NavId=&amp;ContentID=2053&gt;.}","plainCitation":"Treasury, Restating the “in Australia” Special Conditions for Tax Concession Entities (Exposure Draft, 4 July 2011) &lt;http://archive.treasury.gov.au/contentitem.asp?NavId=&amp;ContentID=2053&gt;."},"citationItems":[{"id":12141,"uris":["http://zotero.org/groups/39658/items/TWETZTFB"],"uri":["http://zotero.org/groups/39658/items/TWETZTFB"],"itemData":{"id":12141,"type":"report","title":"Restating the 'in Australia' special conditions for tax concession entities","genre":"Exposure Draft","URL":"http://archive.treasury.gov.au/contentitem.asp?NavId=&amp;ContentID=2053","author":[{"family":"Treasury","given":""}],"issued":{"year":2011,"month":7,"day":4}}}],"schema":"https://github.com/citation-style-language/schema/raw/master/csl-citation.json"} </w:instrText>
      </w:r>
      <w:r w:rsidR="00373043">
        <w:fldChar w:fldCharType="separate"/>
      </w:r>
      <w:r w:rsidRPr="001B33B0">
        <w:rPr>
          <w:rFonts w:cs="Times New Roman (Arabic)"/>
          <w:lang w:val="en-US"/>
        </w:rPr>
        <w:t xml:space="preserve">Treasury, </w:t>
      </w:r>
      <w:r w:rsidRPr="001B33B0">
        <w:rPr>
          <w:rFonts w:cs="Times New Roman (Arabic)"/>
          <w:i/>
          <w:iCs/>
          <w:lang w:val="en-US"/>
        </w:rPr>
        <w:t>Restating the “in Australia” Special Conditions for Tax Concession Entities</w:t>
      </w:r>
      <w:r w:rsidRPr="001B33B0">
        <w:rPr>
          <w:rFonts w:cs="Times New Roman (Arabic)"/>
          <w:lang w:val="en-US"/>
        </w:rPr>
        <w:t xml:space="preserve"> (Exposure Draft, 4 July 2011) &lt;http://archive.treasury.gov.au/contentitem.asp?NavId=&amp;ContentID=2053&gt;.</w:t>
      </w:r>
      <w:r w:rsidR="00373043">
        <w:fldChar w:fldCharType="end"/>
      </w:r>
    </w:p>
  </w:footnote>
  <w:footnote w:id="71">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{"citationID":"2cu2kj36u4","properties":{"formattedCitation":"{\\rtf Adele Ferguson, \\uc0\\u8216{}Charity Cases\\uc0\\u8217{}, \\i BRW\\i0{}, 2005, 44; Choice, \\uc0\\u8216{}Guide to Donating to Charities\\uc0\\u8217{}, \\i Choice\\i0{}, 2008 &lt;http://www.choice.com.au/Reviews-and-Tests/Money/Banking/Tax/Charities/Page/Introduction%20charities.aspx&gt;.}","plainCitation":"Adele Ferguson, ‘Charity Cases’, BRW, 2005, 44; Choice, ‘Guide to Donating to Charities’, Choice, 2008 &lt;http://www.choice.com.au/Reviews-and-Tests/Money/Banking/Tax/Charities/Page/Introduction%20charities.aspx&gt;."},"citationItems":[{"id":2909,"uris":["http://zotero.org/groups/39658/items/ZBFTTGJP"],"uri":["http://zotero.org/groups/39658/items/ZBFTTGJP"],"itemData":{"id":2909,"type":"article-magazine","title":"Charity Cases","container-title":"BRW","page":"44","abstract":"Cover story criticising not-for-profit sector's lack of accountability and transparency, esp around tax concessions. Includes a 'top 200' list of charities by gross revenue, special sections on the Catholic Church and evangelical churches, and clubs.","call-number":"MBS P  Call No.\tBUSI","author":[{"family":"Ferguson","given":"Adele"}],"issued":{"year":2005,"month":3,"day":24},"page-first":"44"}},{"id":690,"uris":["http://zotero.org/groups/39658/items/8TRXB6E4"],"uri":["http://zotero.org/groups/39658/items/8TRXB6E4"],"itemData":{"id":690,"type":"article-magazine","title":"Guide to Donating to Charities","container-title":"Choice","URL":"http://www.choice.com.au/Reviews-and-Tests/Money/Banking/Tax/Charities/Page/Introduction%20charities.aspx","author":[{"family":"Choice","given":""}],"issued":{"year":2008},"accessed":{"year":2010,"month":6,"day":16}},"locator":"See, eg, "}],"schema":"https://github.com/citation-style-language/schema/raw/master/csl-citation.json"} </w:instrText>
      </w:r>
      <w:r w:rsidR="00373043">
        <w:fldChar w:fldCharType="separate"/>
      </w:r>
      <w:r w:rsidRPr="001B33B0">
        <w:rPr>
          <w:rFonts w:cs="Times New Roman (Arabic)"/>
          <w:lang w:val="en-US"/>
        </w:rPr>
        <w:t xml:space="preserve">Adele Ferguson, ‘Charity Cases’, </w:t>
      </w:r>
      <w:r w:rsidRPr="001B33B0">
        <w:rPr>
          <w:rFonts w:cs="Times New Roman (Arabic)"/>
          <w:i/>
          <w:iCs/>
          <w:lang w:val="en-US"/>
        </w:rPr>
        <w:t>BRW</w:t>
      </w:r>
      <w:r w:rsidRPr="001B33B0">
        <w:rPr>
          <w:rFonts w:cs="Times New Roman (Arabic)"/>
          <w:lang w:val="en-US"/>
        </w:rPr>
        <w:t xml:space="preserve">, 2005, 44; Choice, ‘Guide to Donating to Charities’, </w:t>
      </w:r>
      <w:r w:rsidRPr="001B33B0">
        <w:rPr>
          <w:rFonts w:cs="Times New Roman (Arabic)"/>
          <w:i/>
          <w:iCs/>
          <w:lang w:val="en-US"/>
        </w:rPr>
        <w:t>Choice</w:t>
      </w:r>
      <w:r w:rsidRPr="001B33B0">
        <w:rPr>
          <w:rFonts w:cs="Times New Roman (Arabic)"/>
          <w:lang w:val="en-US"/>
        </w:rPr>
        <w:t>, 2008 &lt;http://www.choice.com.au/Reviews-and-Tests/Money/Banking/Tax/Charities/Page/Introduction%20charities.aspx&gt;.</w:t>
      </w:r>
      <w:r w:rsidR="00373043">
        <w:fldChar w:fldCharType="end"/>
      </w:r>
    </w:p>
  </w:footnote>
  <w:footnote w:id="72">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{"citationID":"29uol9qof7","properties":{"formattedCitation":"{\\rtf \\i Commissioner of Taxation v Word Investments Limited\\i0{} 236 CLR 204 (HCA, 2008).}","plainCitation":"Commissioner of Taxation v Word Investments Limited 236 CLR 204 (HCA, 2008)."},"citationItems":[{"id":774,"uris":["http://zotero.org/groups/39658/items/9NJM3J5U"],"uri":["http://zotero.org/groups/39658/items/9NJM3J5U"],"itemData":{"id":774,"type":"legal_case","title":"Commissioner of Taxation v Word Investments Limited","container-title":"CLR","authority":"HCA","page":"204","volume":"236","URL":"http://www.austlii.edu.au/au/cases/cth/HCA/2008/55.html","number":"55","issued":{"year":2008,"month":12,"day":3},"page-first":"204"}}],"schema":"https://github.com/citation-style-language/schema/raw/master/csl-citation.json"} </w:instrText>
      </w:r>
      <w:r w:rsidR="00373043">
        <w:fldChar w:fldCharType="separate"/>
      </w:r>
      <w:r w:rsidRPr="001B33B0">
        <w:rPr>
          <w:rFonts w:cs="Times New Roman (Arabic)"/>
          <w:i/>
          <w:iCs/>
          <w:lang w:val="en-US"/>
        </w:rPr>
        <w:t>Commissioner of Taxation v Word Investments Limited</w:t>
      </w:r>
      <w:r w:rsidRPr="001B33B0">
        <w:rPr>
          <w:rFonts w:cs="Times New Roman (Arabic)"/>
          <w:lang w:val="en-US"/>
        </w:rPr>
        <w:t xml:space="preserve"> 236 CLR 204 (HCA, 2008).</w:t>
      </w:r>
      <w:r w:rsidR="00373043">
        <w:fldChar w:fldCharType="end"/>
      </w:r>
    </w:p>
  </w:footnote>
  <w:footnote w:id="73">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{"citationID":"44vafv9s5","properties":{"formattedCitation":"{\\rtf See, eg,Industry Commission, \\i Charitable Organisations in Australia\\i0{} (16 June 1995) &lt;http://www.pc.gov.au/ic/inquiry/45charit&gt;; Senate Standing Committee on Economics, \\i Inquiry into the Disclosure Regimes for Charities and Not-for-Profit Organisations\\i0{} (2008) &lt;http://www.aph.gov.au/Parliamentary_Business/Committees/Senate_Committees?url=economics_ctte/charities_08/index.htm&gt;.}","plainCitation":"See, eg,Industry Commission, Charitable Organisations in Australia (16 June 1995) &lt;http://www.pc.gov.au/ic/inquiry/45charit&gt;; Senate Standing Committee on Economics, Inquiry into the Disclosure Regimes for Charities and Not-for-Profit Organisations (2008) &lt;http://www.aph.gov.au/Parliamentary_Business/Committees/Senate_Committees?url=economics_ctte/charities_08/index.htm&gt;."},"citationItems":[{"id":2794,"uris":["http://zotero.org/groups/39658/items/WVBAQXJM"],"uri":["http://zotero.org/groups/39658/items/WVBAQXJM"],"itemData":{"id":2794,"type":"report","title":"Charitable Organisations in Australia","publisher-place":"Melbourne","event-place":"Melbourne","URL":"http://www.pc.gov.au/ic/inquiry/45charit","call-number":"361.70994","author":[{"family":"Industry Commission","given":""}],"issued":{"year":1995,"month":6,"day":16},"accessed":{"year":2010,"month":6,"day":4}},"prefix":"See, eg,"},{"id":1484,"uris":["http://zotero.org/groups/39658/items/HKI52VW9"],"uri":["http://zotero.org/groups/39658/items/HKI52VW9"],"itemData":{"id":1484,"type":"report","title":"Inquiry into the Disclosure Regimes for Charities and Not-for-Profit Organisations","URL":"http://www.aph.gov.au/Parliamentary_Business/Committees/Senate_Committees?url=economics_ctte/charities_08/index.htm","shortTitle":"Disclosure Inquiry","author":[{"family":"Senate Standing Committee on Economics","given":""}],"issued":{"year":2008},"accessed":{"year":2010,"month":5,"day":13}}}],"schema":"https://github.com/citation-style-language/schema/raw/master/csl-citation.json"} </w:instrText>
      </w:r>
      <w:r w:rsidR="00373043">
        <w:fldChar w:fldCharType="separate"/>
      </w:r>
      <w:r w:rsidRPr="001B33B0">
        <w:rPr>
          <w:rFonts w:cs="Times New Roman (Arabic)"/>
          <w:lang w:val="en-US"/>
        </w:rPr>
        <w:t xml:space="preserve">See, eg,Industry Commission, </w:t>
      </w:r>
      <w:r w:rsidRPr="001B33B0">
        <w:rPr>
          <w:rFonts w:cs="Times New Roman (Arabic)"/>
          <w:i/>
          <w:iCs/>
          <w:lang w:val="en-US"/>
        </w:rPr>
        <w:t>Charitable Organisations in Australia</w:t>
      </w:r>
      <w:r w:rsidRPr="001B33B0">
        <w:rPr>
          <w:rFonts w:cs="Times New Roman (Arabic)"/>
          <w:lang w:val="en-US"/>
        </w:rPr>
        <w:t xml:space="preserve"> (16 June 1995) &lt;http://www.pc.gov.au/ic/inquiry/45charit&gt;; Senate Standing Committee on Economics, </w:t>
      </w:r>
      <w:r w:rsidRPr="001B33B0">
        <w:rPr>
          <w:rFonts w:cs="Times New Roman (Arabic)"/>
          <w:i/>
          <w:iCs/>
          <w:lang w:val="en-US"/>
        </w:rPr>
        <w:t>Inquiry into the Disclosure Regimes for Charities and Not-for-Profit Organisations</w:t>
      </w:r>
      <w:r w:rsidRPr="001B33B0">
        <w:rPr>
          <w:rFonts w:cs="Times New Roman (Arabic)"/>
          <w:lang w:val="en-US"/>
        </w:rPr>
        <w:t xml:space="preserve"> (2008) &lt;http://www.aph.gov.au/Parliamentary_Business/Committees/Senate_Committees?url=economics_ctte/charities_08/index.htm&gt;.</w:t>
      </w:r>
      <w:r w:rsidR="00373043">
        <w:fldChar w:fldCharType="end"/>
      </w:r>
    </w:p>
  </w:footnote>
  <w:footnote w:id="74">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{"citationID":"299s4632gg","properties":{"formattedCitation":"{\\rtf Treasury, \\i A Definition of Charity\\i0{} (Consultation Paper, 28 October 2011) &lt;http://archive.treasury.gov.au/contentitem.asp?NavId=037&amp;ContentID=2161&gt;.}","plainCitation":"Treasury, A Definition of Charity (Consultation Paper, 28 October 2011) &lt;http://archive.treasury.gov.au/contentitem.asp?NavId=037&amp;ContentID=2161&gt;."},"citationItems":[{"id":11783,"uris":["http://zotero.org/groups/39658/items/RHQZVX44"],"uri":["http://zotero.org/groups/39658/items/RHQZVX44"],"itemData":{"id":11783,"type":"report","title":"A Definition of Charity","genre":"Consultation Paper","URL":"http://archive.treasury.gov.au/contentitem.asp?NavId=037&amp;ContentID=2161","author":[{"family":"Treasury","given":""}],"issued":{"year":2011,"month":10,"day":28},"accessed":{"year":2011,"month":10,"day":31}}}],"schema":"https://github.com/citation-style-language/schema/raw/master/csl-citation.json"} </w:instrText>
      </w:r>
      <w:r w:rsidR="00373043">
        <w:fldChar w:fldCharType="separate"/>
      </w:r>
      <w:r w:rsidRPr="001B33B0">
        <w:rPr>
          <w:rFonts w:cs="Times New Roman (Arabic)"/>
          <w:lang w:val="en-US"/>
        </w:rPr>
        <w:t xml:space="preserve">Treasury, </w:t>
      </w:r>
      <w:r w:rsidRPr="001B33B0">
        <w:rPr>
          <w:rFonts w:cs="Times New Roman (Arabic)"/>
          <w:i/>
          <w:iCs/>
          <w:lang w:val="en-US"/>
        </w:rPr>
        <w:t>A Definition of Charity</w:t>
      </w:r>
      <w:r w:rsidRPr="001B33B0">
        <w:rPr>
          <w:rFonts w:cs="Times New Roman (Arabic)"/>
          <w:lang w:val="en-US"/>
        </w:rPr>
        <w:t xml:space="preserve"> (Consultation Paper, 28 October 2011) &lt;http://archive.treasury.gov.au/contentitem.asp?NavId=037&amp;ContentID=2161&gt;.</w:t>
      </w:r>
      <w:r w:rsidR="00373043">
        <w:fldChar w:fldCharType="end"/>
      </w:r>
    </w:p>
  </w:footnote>
  <w:footnote w:id="75">
    <w:p w:rsidR="001B33B0" w:rsidRDefault="001B33B0" w:rsidP="00195E7F">
      <w:pPr>
        <w:pStyle w:val="FootnoteText"/>
      </w:pPr>
      <w:r>
        <w:rPr>
          <w:rStyle w:val="FootnoteReference"/>
        </w:rPr>
        <w:footnoteRef/>
      </w:r>
      <w:r>
        <w:t xml:space="preserve"> </w:t>
      </w:r>
      <w:r w:rsidR="00373043">
        <w:fldChar w:fldCharType="begin"/>
      </w:r>
      <w:r>
        <w:instrText xml:space="preserve"> ADDIN ZOTERO_ITEM CSL_CITATION {"citationID":"1fonjljn5e","properties":{"formattedCitation":"Ibid [4].","plainCitation":"Ibid [4]."},"citationItems":[{"id":11783,"uris":["http://zotero.org/groups/39658/items/RHQZVX44"],"uri":["http://zotero.org/groups/39658/items/RHQZVX44"],"itemData":{"id":11783,"type":"report","title":"A Definition of Charity","genre":"Consultation Paper","URL":"http://archive.treasury.gov.au/contentitem.asp?NavId=037&amp;ContentID=2161","author":[{"family":"Treasury","given":""}],"issued":{"year":2011,"month":10,"day":28},"accessed":{"year":2011,"month":10,"day":31}},"locator":"[4]"}],"schema":"https://github.com/citation-style-language/schema/raw/master/csl-citation.json"} </w:instrText>
      </w:r>
      <w:r w:rsidR="00373043">
        <w:fldChar w:fldCharType="separate"/>
      </w:r>
      <w:r>
        <w:rPr>
          <w:noProof/>
        </w:rPr>
        <w:t>Ibid [4].</w:t>
      </w:r>
      <w:r w:rsidR="00373043">
        <w:fldChar w:fldCharType="end"/>
      </w:r>
    </w:p>
  </w:footnote>
  <w:footnote w:id="76">
    <w:p w:rsidR="001B33B0" w:rsidRDefault="001B33B0" w:rsidP="00195E7F">
      <w:pPr>
        <w:pStyle w:val="FootnoteText"/>
      </w:pPr>
      <w:r>
        <w:rPr>
          <w:rStyle w:val="FootnoteReference"/>
        </w:rPr>
        <w:footnoteRef/>
      </w:r>
      <w:r>
        <w:t xml:space="preserve"> </w:t>
      </w:r>
      <w:r w:rsidR="00373043">
        <w:fldChar w:fldCharType="begin"/>
      </w:r>
      <w:r>
        <w:instrText xml:space="preserve"> ADDIN ZOTERO_ITEM CSL_CITATION {"citationID":"196sun07fm","properties":{"formattedCitation":"Ibid [11].","plainCitation":"Ibid [11]."},"citationItems":[{"id":11783,"uris":["http://zotero.org/groups/39658/items/RHQZVX44"],"uri":["http://zotero.org/groups/39658/items/RHQZVX44"],"itemData":{"id":11783,"type":"report","title":"A Definition of Charity","genre":"Consultation Paper","URL":"http://archive.treasury.gov.au/contentitem.asp?NavId=037&amp;ContentID=2161","author":[{"family":"Treasury","given":""}],"issued":{"year":2011,"month":10,"day":28},"accessed":{"year":2011,"month":10,"day":31}},"locator":"[11]"}],"schema":"https://github.com/citation-style-language/schema/raw/master/csl-citation.json"} </w:instrText>
      </w:r>
      <w:r w:rsidR="00373043">
        <w:fldChar w:fldCharType="separate"/>
      </w:r>
      <w:r>
        <w:rPr>
          <w:noProof/>
        </w:rPr>
        <w:t>Ibid [11].</w:t>
      </w:r>
      <w:r w:rsidR="00373043">
        <w:fldChar w:fldCharType="end"/>
      </w:r>
    </w:p>
  </w:footnote>
  <w:footnote w:id="77">
    <w:p w:rsidR="001B33B0" w:rsidRDefault="001B33B0" w:rsidP="00195E7F">
      <w:pPr>
        <w:pStyle w:val="FootnoteText"/>
      </w:pPr>
      <w:r>
        <w:rPr>
          <w:rStyle w:val="FootnoteReference"/>
        </w:rPr>
        <w:footnoteRef/>
      </w:r>
      <w:r>
        <w:t xml:space="preserve"> </w:t>
      </w:r>
      <w:r w:rsidR="00373043">
        <w:fldChar w:fldCharType="begin"/>
      </w:r>
      <w:r>
        <w:instrText xml:space="preserve"> ADDIN ZOTERO_ITEM CSL_CITATION {"citationID":"j978feuts","properties":{"formattedCitation":"Ibid [12].","plainCitation":"Ibid [12]."},"citationItems":[{"id":11783,"uris":["http://zotero.org/groups/39658/items/RHQZVX44"],"uri":["http://zotero.org/groups/39658/items/RHQZVX44"],"itemData":{"id":11783,"type":"report","title":"A Definition of Charity","genre":"Consultation Paper","URL":"http://archive.treasury.gov.au/contentitem.asp?NavId=037&amp;ContentID=2161","author":[{"family":"Treasury","given":""}],"issued":{"year":2011,"month":10,"day":28},"accessed":{"year":2011,"month":10,"day":31}},"locator":"[12]"}],"schema":"https://github.com/citation-style-language/schema/raw/master/csl-citation.json"} </w:instrText>
      </w:r>
      <w:r w:rsidR="00373043">
        <w:fldChar w:fldCharType="separate"/>
      </w:r>
      <w:r>
        <w:rPr>
          <w:noProof/>
        </w:rPr>
        <w:t>Ibid [12].</w:t>
      </w:r>
      <w:r w:rsidR="00373043">
        <w:fldChar w:fldCharType="end"/>
      </w:r>
    </w:p>
  </w:footnote>
  <w:footnote w:id="78">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{"citationID":"114gvlkn9r","properties":{"formattedCitation":"Ibid [15].","plainCitation":"Ibid [15]."},"citationItems":[{"id":11783,"uris":["http://zotero.org/groups/39658/items/RHQZVX44"],"uri":["http://zotero.org/groups/39658/items/RHQZVX44"],"itemData":{"id":11783,"type":"report","title":"A Definition of Charity","genre":"Consultation Paper","URL":"http://archive.treasury.gov.au/contentitem.asp?NavId=037&amp;ContentID=2161","author":[{"family":"Treasury","given":""}],"issued":{"year":2011,"month":10,"day":28},"accessed":{"year":2011,"month":10,"day":31}},"locator":"[15]"}],"schema":"https://github.com/citation-style-language/schema/raw/master/csl-citation.json"} </w:instrText>
      </w:r>
      <w:r w:rsidR="00373043">
        <w:fldChar w:fldCharType="separate"/>
      </w:r>
      <w:r>
        <w:rPr>
          <w:noProof/>
        </w:rPr>
        <w:t>Ibid [15].</w:t>
      </w:r>
      <w:r w:rsidR="00373043">
        <w:fldChar w:fldCharType="end"/>
      </w:r>
    </w:p>
  </w:footnote>
  <w:footnote w:id="79">
    <w:p w:rsidR="001B33B0" w:rsidRDefault="001B33B0" w:rsidP="00067390">
      <w:pPr>
        <w:pStyle w:val="FootnoteText"/>
      </w:pPr>
      <w:r>
        <w:rPr>
          <w:rStyle w:val="FootnoteReference"/>
        </w:rPr>
        <w:footnoteRef/>
      </w:r>
      <w:r>
        <w:t xml:space="preserve"> </w:t>
      </w:r>
      <w:r w:rsidR="00373043">
        <w:fldChar w:fldCharType="begin"/>
      </w:r>
      <w:r>
        <w:instrText xml:space="preserve"> ADDIN ZOTERO_ITEM CSL_CITATION {"citationID":"ZCSSiE7S","properties":{"formattedCitation":"Ibid [10], [41].","plainCitation":"Ibid [10], [41]."},"citationItems":[{"id":11783,"uris":["http://zotero.org/groups/39658/items/RHQZVX44"],"uri":["http://zotero.org/groups/39658/items/RHQZVX44"],"itemData":{"id":11783,"type":"report","title":"A Definition of Charity","genre":"Consultation Paper","URL":"http://archive.treasury.gov.au/contentitem.asp?NavId=037&amp;ContentID=2161","author":[{"family":"Treasury","given":""}],"issued":{"year":2011,"month":10,"day":28},"accessed":{"year":2011,"month":10,"day":31}},"locator":"[10], [41]"}],"schema":"https://github.com/citation-style-language/schema/raw/master/csl-citation.json"} </w:instrText>
      </w:r>
      <w:r w:rsidR="00373043">
        <w:fldChar w:fldCharType="separate"/>
      </w:r>
      <w:r>
        <w:rPr>
          <w:noProof/>
        </w:rPr>
        <w:t>Ibid [10], [41].</w:t>
      </w:r>
      <w:r w:rsidR="00373043">
        <w:fldChar w:fldCharType="end"/>
      </w:r>
    </w:p>
  </w:footnote>
  <w:footnote w:id="80">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{"citationID":"117imj1s8s","properties":{"formattedCitation":"Ibid [130].","plainCitation":"Ibid [130]."},"citationItems":[{"id":11783,"uris":["http://zotero.org/groups/39658/items/RHQZVX44"],"uri":["http://zotero.org/groups/39658/items/RHQZVX44"],"itemData":{"id":11783,"type":"report","title":"A Definition of Charity","genre":"Consultation Paper","URL":"http://archive.treasury.gov.au/contentitem.asp?NavId=037&amp;ContentID=2161","author":[{"family":"Treasury","given":""}],"issued":{"year":2011,"month":10,"day":28},"accessed":{"year":2011,"month":10,"day":31}},"locator":"[130]"}],"schema":"https://github.com/citation-style-language/schema/raw/master/csl-citation.json"} </w:instrText>
      </w:r>
      <w:r w:rsidR="00373043">
        <w:fldChar w:fldCharType="separate"/>
      </w:r>
      <w:r>
        <w:rPr>
          <w:noProof/>
        </w:rPr>
        <w:t>Ibid [130].</w:t>
      </w:r>
      <w:r w:rsidR="00373043">
        <w:fldChar w:fldCharType="end"/>
      </w:r>
    </w:p>
  </w:footnote>
  <w:footnote w:id="81">
    <w:p w:rsidR="001B33B0" w:rsidRDefault="001B33B0">
      <w:pPr>
        <w:pStyle w:val="FootnoteText"/>
      </w:pPr>
      <w:r>
        <w:rPr>
          <w:rStyle w:val="FootnoteReference"/>
        </w:rPr>
        <w:footnoteRef/>
      </w:r>
      <w:r>
        <w:t xml:space="preserve"> </w:t>
      </w:r>
      <w:r w:rsidR="00373043">
        <w:fldChar w:fldCharType="begin"/>
      </w:r>
      <w:r>
        <w:instrText xml:space="preserve"> ADDIN ZOTERO_ITEM CSL_CITATION {"citationID":"rg893c619","properties":{"formattedCitation":"{\\rtf Wikimedia Foundation, \\i UK Charity Registration a Milestone in the Recognition of the Wikimedia Movement\\i0{} (7 November 2011) &lt;http://blog.wikimedia.org/2011/11/07/uk-charity-registration-a-milestone-in-the-recognition-of-the-wikimedia-movement/&gt;.}","plainCitation":"Wikimedia Foundation, UK Charity Registration a Milestone in the Recognition of the Wikimedia Movement (7 November 2011) &lt;http://blog.wikimedia.org/2011/11/07/uk-charity-registration-a-milestone-in-the-recognition-of-the-wikimedia-movement/&gt;."},"citationItems":[{"id":11899,"uris":["http://zotero.org/groups/39658/items/278DXXJQ"],"uri":["http://zotero.org/groups/39658/items/278DXXJQ"],"itemData":{"id":11899,"type":"webpage","title":"UK charity registration a milestone in the recognition of the Wikimedia movement","URL":"http://blog.wikimedia.org/2011/11/07/uk-charity-registration-a-milestone-in-the-recognition-of-the-wikimedia-movement/","author":[{"family":"Wikimedia Foundation","given":""}],"issued":{"year":2011,"month":11,"day":7},"accessed":{"year":2011,"month":11,"day":21}}}],"schema":"https://github.com/citation-style-language/schema/raw/master/csl-citation.json"} </w:instrText>
      </w:r>
      <w:r w:rsidR="00373043">
        <w:fldChar w:fldCharType="separate"/>
      </w:r>
      <w:r w:rsidRPr="001B33B0">
        <w:rPr>
          <w:rFonts w:cs="Times New Roman (Arabic)"/>
          <w:lang w:val="en-US"/>
        </w:rPr>
        <w:t xml:space="preserve">Wikimedia Foundation, </w:t>
      </w:r>
      <w:r w:rsidRPr="001B33B0">
        <w:rPr>
          <w:rFonts w:cs="Times New Roman (Arabic)"/>
          <w:i/>
          <w:iCs/>
          <w:lang w:val="en-US"/>
        </w:rPr>
        <w:t>UK Charity Registration a Milestone in the Recognition of the Wikimedia Movement</w:t>
      </w:r>
      <w:r w:rsidRPr="001B33B0">
        <w:rPr>
          <w:rFonts w:cs="Times New Roman (Arabic)"/>
          <w:lang w:val="en-US"/>
        </w:rPr>
        <w:t xml:space="preserve"> (7 November 2011) &lt;http://blog.wikimedia.org/2011/11/07/uk-charity-registration-a-milestone-in-the-recognition-of-the-wikimedia-movement/&gt;.</w:t>
      </w:r>
      <w:r w:rsidR="00373043">
        <w:fldChar w:fldCharType="end"/>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33B0" w:rsidRDefault="001B33B0">
    <w:pPr>
      <w:pStyle w:val="Header"/>
    </w:pPr>
    <w:r>
      <w:t>DRAFT – please do not cite without permission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0"/>
    <w:multiLevelType w:val="singleLevel"/>
    <w:tmpl w:val="CB6C890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DB6303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ADE5D4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5BE7C4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2AA7B06"/>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7D082F4"/>
    <w:lvl w:ilvl="0">
      <w:numFmt w:val="bullet"/>
      <w:pStyle w:val="Heading1"/>
      <w:lvlText w:val=""/>
      <w:lvlJc w:val="left"/>
      <w:pPr>
        <w:ind w:left="360" w:hanging="360"/>
      </w:pPr>
      <w:rPr>
        <w:rFonts w:ascii="Wingdings" w:eastAsia="Times New Roman" w:hAnsi="Wingdings" w:cs="Times New Roman" w:hint="default"/>
      </w:rPr>
    </w:lvl>
    <w:lvl w:ilvl="1">
      <w:start w:val="1"/>
      <w:numFmt w:val="upperRoman"/>
      <w:pStyle w:val="Heading2"/>
      <w:suff w:val="nothing"/>
      <w:lvlText w:val="%2  "/>
      <w:lvlJc w:val="left"/>
      <w:rPr>
        <w:rFonts w:cs="Times New Roman" w:hint="default"/>
        <w:b w:val="0"/>
        <w:i w:val="0"/>
      </w:rPr>
    </w:lvl>
    <w:lvl w:ilvl="2">
      <w:start w:val="1"/>
      <w:numFmt w:val="upperLetter"/>
      <w:pStyle w:val="Heading3"/>
      <w:suff w:val="nothing"/>
      <w:lvlText w:val="%3  "/>
      <w:lvlJc w:val="left"/>
      <w:rPr>
        <w:rFonts w:cs="Times New Roman" w:hint="default"/>
        <w:b w:val="0"/>
        <w:i w:val="0"/>
      </w:rPr>
    </w:lvl>
    <w:lvl w:ilvl="3">
      <w:start w:val="1"/>
      <w:numFmt w:val="decimal"/>
      <w:pStyle w:val="Heading4"/>
      <w:lvlText w:val="%4"/>
      <w:lvlJc w:val="left"/>
      <w:pPr>
        <w:tabs>
          <w:tab w:val="num" w:pos="360"/>
        </w:tabs>
      </w:pPr>
      <w:rPr>
        <w:rFonts w:cs="Times New Roman" w:hint="default"/>
        <w:b w:val="0"/>
        <w:i w:val="0"/>
      </w:rPr>
    </w:lvl>
    <w:lvl w:ilvl="4">
      <w:start w:val="1"/>
      <w:numFmt w:val="lowerLetter"/>
      <w:pStyle w:val="Heading5"/>
      <w:lvlText w:val="(%5)  "/>
      <w:lvlJc w:val="left"/>
      <w:pPr>
        <w:tabs>
          <w:tab w:val="num" w:pos="36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lowerRoman"/>
      <w:pStyle w:val="Heading7"/>
      <w:lvlText w:val="(%7)"/>
      <w:lvlJc w:val="left"/>
      <w:pPr>
        <w:tabs>
          <w:tab w:val="num" w:pos="360"/>
        </w:tabs>
        <w:ind w:left="708" w:hanging="708"/>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position w:val="0"/>
        <w:u w:val="none"/>
        <w:effect w:val="none"/>
        <w:vertAlign w:val="baseline"/>
      </w:rPr>
    </w:lvl>
    <w:lvl w:ilvl="7">
      <w:start w:val="1"/>
      <w:numFmt w:val="lowerLetter"/>
      <w:pStyle w:val="Heading8"/>
      <w:lvlText w:val="(%8)"/>
      <w:lvlJc w:val="left"/>
      <w:pPr>
        <w:tabs>
          <w:tab w:val="num" w:pos="0"/>
        </w:tabs>
        <w:ind w:left="1416" w:hanging="708"/>
      </w:pPr>
      <w:rPr>
        <w:rFonts w:cs="Times New Roman" w:hint="default"/>
      </w:rPr>
    </w:lvl>
    <w:lvl w:ilvl="8">
      <w:start w:val="1"/>
      <w:numFmt w:val="lowerRoman"/>
      <w:pStyle w:val="Heading9"/>
      <w:lvlText w:val="(%9)"/>
      <w:lvlJc w:val="left"/>
      <w:pPr>
        <w:tabs>
          <w:tab w:val="num" w:pos="0"/>
        </w:tabs>
        <w:ind w:left="2124" w:hanging="708"/>
      </w:pPr>
      <w:rPr>
        <w:rFonts w:cs="Times New Roman" w:hint="default"/>
      </w:rPr>
    </w:lvl>
  </w:abstractNum>
  <w:abstractNum w:abstractNumId="6">
    <w:nsid w:val="027871FD"/>
    <w:multiLevelType w:val="hybridMultilevel"/>
    <w:tmpl w:val="A7281E20"/>
    <w:lvl w:ilvl="0" w:tplc="3DF8DD70">
      <w:start w:val="1"/>
      <w:numFmt w:val="bullet"/>
      <w:pStyle w:val="Bulletedlis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F64BB8"/>
    <w:multiLevelType w:val="hybridMultilevel"/>
    <w:tmpl w:val="3C4464BC"/>
    <w:lvl w:ilvl="0" w:tplc="01CA16DC">
      <w:start w:val="1"/>
      <w:numFmt w:val="decimal"/>
      <w:lvlText w:val="%1)"/>
      <w:lvlJc w:val="left"/>
      <w:pPr>
        <w:ind w:left="630" w:hanging="4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nsid w:val="26346124"/>
    <w:multiLevelType w:val="hybridMultilevel"/>
    <w:tmpl w:val="15829056"/>
    <w:lvl w:ilvl="0" w:tplc="B6A67D0E">
      <w:start w:val="1"/>
      <w:numFmt w:val="upperRoman"/>
      <w:lvlText w:val="%1."/>
      <w:lvlJc w:val="right"/>
      <w:pPr>
        <w:ind w:left="720" w:hanging="18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440C8B"/>
    <w:multiLevelType w:val="multilevel"/>
    <w:tmpl w:val="CB5C4156"/>
    <w:name w:val="StandardNumberedList"/>
    <w:lvl w:ilvl="0">
      <w:start w:val="1"/>
      <w:numFmt w:val="bullet"/>
      <w:lvlRestart w:val="0"/>
      <w:pStyle w:val="Bullet"/>
      <w:lvlText w:val="•"/>
      <w:lvlJc w:val="left"/>
      <w:pPr>
        <w:tabs>
          <w:tab w:val="num" w:pos="566"/>
        </w:tabs>
        <w:ind w:left="566" w:hanging="566"/>
      </w:pPr>
      <w:rPr>
        <w:rFonts w:ascii="Times New Roman" w:hAnsi="Times New Roman"/>
        <w:b w:val="0"/>
        <w:i w:val="0"/>
      </w:rPr>
    </w:lvl>
    <w:lvl w:ilvl="1">
      <w:start w:val="1"/>
      <w:numFmt w:val="bullet"/>
      <w:pStyle w:val="Dash"/>
      <w:lvlText w:val="–"/>
      <w:lvlJc w:val="left"/>
      <w:pPr>
        <w:tabs>
          <w:tab w:val="num" w:pos="1134"/>
        </w:tabs>
        <w:ind w:left="1134" w:hanging="568"/>
      </w:pPr>
      <w:rPr>
        <w:rFonts w:ascii="Times New Roman" w:hAnsi="Times New Roman"/>
        <w:b w:val="0"/>
        <w:i w:val="0"/>
      </w:rPr>
    </w:lvl>
    <w:lvl w:ilvl="2">
      <w:start w:val="1"/>
      <w:numFmt w:val="bullet"/>
      <w:pStyle w:val="DoubleDot"/>
      <w:lvlText w:val=":"/>
      <w:lvlJc w:val="left"/>
      <w:pPr>
        <w:tabs>
          <w:tab w:val="num" w:pos="1700"/>
        </w:tabs>
        <w:ind w:left="1700" w:hanging="566"/>
      </w:pPr>
      <w:rPr>
        <w:rFonts w:ascii="Times New Roman" w:hAnsi="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A067D"/>
    <w:multiLevelType w:val="hybridMultilevel"/>
    <w:tmpl w:val="444477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250C75"/>
    <w:multiLevelType w:val="hybridMultilevel"/>
    <w:tmpl w:val="572A41CE"/>
    <w:lvl w:ilvl="0" w:tplc="F7E0FB04">
      <w:start w:val="1"/>
      <w:numFmt w:val="decimal"/>
      <w:pStyle w:val="Numberedpara"/>
      <w:lvlText w:val="[%1]"/>
      <w:lvlJc w:val="left"/>
      <w:pPr>
        <w:ind w:left="603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459C3FEB"/>
    <w:multiLevelType w:val="hybridMultilevel"/>
    <w:tmpl w:val="D8E8DB44"/>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CA315B9"/>
    <w:multiLevelType w:val="multilevel"/>
    <w:tmpl w:val="F8F68C5A"/>
    <w:lvl w:ilvl="0">
      <w:start w:val="1"/>
      <w:numFmt w:val="decimal"/>
      <w:pStyle w:val="Chapter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60AC7C1D"/>
    <w:multiLevelType w:val="hybridMultilevel"/>
    <w:tmpl w:val="040A4B9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12B6764"/>
    <w:multiLevelType w:val="hybridMultilevel"/>
    <w:tmpl w:val="55EA77E0"/>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8">
    <w:nsid w:val="74855087"/>
    <w:multiLevelType w:val="hybridMultilevel"/>
    <w:tmpl w:val="1BC0D58C"/>
    <w:lvl w:ilvl="0" w:tplc="61567A00">
      <w:numFmt w:val="bullet"/>
      <w:lvlText w:val=""/>
      <w:lvlJc w:val="left"/>
      <w:pPr>
        <w:ind w:left="890" w:hanging="360"/>
      </w:pPr>
      <w:rPr>
        <w:rFonts w:ascii="Wingdings" w:eastAsia="Times New Roman" w:hAnsi="Wingdings" w:cs="Times New Roman"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4"/>
  </w:num>
  <w:num w:numId="21">
    <w:abstractNumId w:val="11"/>
  </w:num>
  <w:num w:numId="22">
    <w:abstractNumId w:val="3"/>
  </w:num>
  <w:num w:numId="23">
    <w:abstractNumId w:val="2"/>
  </w:num>
  <w:num w:numId="24">
    <w:abstractNumId w:val="1"/>
  </w:num>
  <w:num w:numId="25">
    <w:abstractNumId w:val="0"/>
  </w:num>
  <w:num w:numId="26">
    <w:abstractNumId w:val="10"/>
  </w:num>
  <w:num w:numId="27">
    <w:abstractNumId w:val="13"/>
  </w:num>
  <w:num w:numId="28">
    <w:abstractNumId w:val="18"/>
  </w:num>
  <w:num w:numId="29">
    <w:abstractNumId w:val="17"/>
  </w:num>
  <w:num w:numId="30">
    <w:abstractNumId w:val="14"/>
  </w:num>
  <w:num w:numId="31">
    <w:abstractNumId w:val="9"/>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attachedTemplate r:id="rId1"/>
  <w:revisionView w:insDel="0" w:formatting="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75E53"/>
    <w:rsid w:val="00003504"/>
    <w:rsid w:val="00030598"/>
    <w:rsid w:val="00067390"/>
    <w:rsid w:val="000973B6"/>
    <w:rsid w:val="000C6A45"/>
    <w:rsid w:val="000C7D6A"/>
    <w:rsid w:val="000D2B15"/>
    <w:rsid w:val="000F44BC"/>
    <w:rsid w:val="00137A88"/>
    <w:rsid w:val="0015149F"/>
    <w:rsid w:val="0018084C"/>
    <w:rsid w:val="00195E7F"/>
    <w:rsid w:val="001A5EA7"/>
    <w:rsid w:val="001B33B0"/>
    <w:rsid w:val="001C127B"/>
    <w:rsid w:val="001C1467"/>
    <w:rsid w:val="001C213A"/>
    <w:rsid w:val="001D201A"/>
    <w:rsid w:val="001D2B28"/>
    <w:rsid w:val="001D7B9B"/>
    <w:rsid w:val="00206B6F"/>
    <w:rsid w:val="002156D2"/>
    <w:rsid w:val="002223B3"/>
    <w:rsid w:val="00227301"/>
    <w:rsid w:val="00242BA3"/>
    <w:rsid w:val="0024331E"/>
    <w:rsid w:val="002456E3"/>
    <w:rsid w:val="00260C93"/>
    <w:rsid w:val="002762A4"/>
    <w:rsid w:val="00292C95"/>
    <w:rsid w:val="002B654E"/>
    <w:rsid w:val="002E20C2"/>
    <w:rsid w:val="002E3724"/>
    <w:rsid w:val="002F627E"/>
    <w:rsid w:val="0031273D"/>
    <w:rsid w:val="0032494F"/>
    <w:rsid w:val="003257A0"/>
    <w:rsid w:val="003607F8"/>
    <w:rsid w:val="00364E72"/>
    <w:rsid w:val="00373043"/>
    <w:rsid w:val="003A201A"/>
    <w:rsid w:val="003A41A7"/>
    <w:rsid w:val="003B075E"/>
    <w:rsid w:val="003B0F68"/>
    <w:rsid w:val="003C05A6"/>
    <w:rsid w:val="003C3744"/>
    <w:rsid w:val="003C4976"/>
    <w:rsid w:val="003D32CF"/>
    <w:rsid w:val="003F4B38"/>
    <w:rsid w:val="003F503E"/>
    <w:rsid w:val="00420B2E"/>
    <w:rsid w:val="00427B09"/>
    <w:rsid w:val="004366FC"/>
    <w:rsid w:val="00441572"/>
    <w:rsid w:val="00453692"/>
    <w:rsid w:val="00454F95"/>
    <w:rsid w:val="004B4774"/>
    <w:rsid w:val="004C2DE2"/>
    <w:rsid w:val="004D3E51"/>
    <w:rsid w:val="004E29A6"/>
    <w:rsid w:val="0051205A"/>
    <w:rsid w:val="005611B5"/>
    <w:rsid w:val="005868D2"/>
    <w:rsid w:val="005A7C81"/>
    <w:rsid w:val="005B0B39"/>
    <w:rsid w:val="005C56CA"/>
    <w:rsid w:val="005E49A4"/>
    <w:rsid w:val="00612A47"/>
    <w:rsid w:val="00632E36"/>
    <w:rsid w:val="00672F8D"/>
    <w:rsid w:val="006907B4"/>
    <w:rsid w:val="006948AD"/>
    <w:rsid w:val="006B6BB1"/>
    <w:rsid w:val="006C29B1"/>
    <w:rsid w:val="006D05CF"/>
    <w:rsid w:val="006D0A55"/>
    <w:rsid w:val="00707119"/>
    <w:rsid w:val="007076DA"/>
    <w:rsid w:val="0074140C"/>
    <w:rsid w:val="0076098D"/>
    <w:rsid w:val="00775412"/>
    <w:rsid w:val="0079548D"/>
    <w:rsid w:val="007A49E8"/>
    <w:rsid w:val="007C0242"/>
    <w:rsid w:val="007D0641"/>
    <w:rsid w:val="007D5254"/>
    <w:rsid w:val="007F64CC"/>
    <w:rsid w:val="00800C7B"/>
    <w:rsid w:val="008243AB"/>
    <w:rsid w:val="0084675F"/>
    <w:rsid w:val="0084716C"/>
    <w:rsid w:val="00852C92"/>
    <w:rsid w:val="00854CA3"/>
    <w:rsid w:val="00860289"/>
    <w:rsid w:val="00881EDA"/>
    <w:rsid w:val="008B6D99"/>
    <w:rsid w:val="008E5C43"/>
    <w:rsid w:val="008F25D7"/>
    <w:rsid w:val="009039A6"/>
    <w:rsid w:val="009166CF"/>
    <w:rsid w:val="00933C2D"/>
    <w:rsid w:val="00987717"/>
    <w:rsid w:val="009923AF"/>
    <w:rsid w:val="009F7E3F"/>
    <w:rsid w:val="00A30DF2"/>
    <w:rsid w:val="00A34B17"/>
    <w:rsid w:val="00A44C70"/>
    <w:rsid w:val="00A53F99"/>
    <w:rsid w:val="00A656B0"/>
    <w:rsid w:val="00A76BE3"/>
    <w:rsid w:val="00A8280B"/>
    <w:rsid w:val="00A94BC8"/>
    <w:rsid w:val="00AD469A"/>
    <w:rsid w:val="00AD6482"/>
    <w:rsid w:val="00AE7879"/>
    <w:rsid w:val="00AF4925"/>
    <w:rsid w:val="00B0180D"/>
    <w:rsid w:val="00B269A9"/>
    <w:rsid w:val="00B41ADE"/>
    <w:rsid w:val="00BA46C5"/>
    <w:rsid w:val="00BA5FB8"/>
    <w:rsid w:val="00BA6ED3"/>
    <w:rsid w:val="00BA7E1E"/>
    <w:rsid w:val="00BB3CC3"/>
    <w:rsid w:val="00BF5DE8"/>
    <w:rsid w:val="00C40594"/>
    <w:rsid w:val="00C46350"/>
    <w:rsid w:val="00CE073A"/>
    <w:rsid w:val="00CE3690"/>
    <w:rsid w:val="00CE4066"/>
    <w:rsid w:val="00CF05A2"/>
    <w:rsid w:val="00D00F5F"/>
    <w:rsid w:val="00D2415B"/>
    <w:rsid w:val="00D31CA0"/>
    <w:rsid w:val="00D6063E"/>
    <w:rsid w:val="00D65D2C"/>
    <w:rsid w:val="00D662FF"/>
    <w:rsid w:val="00D70054"/>
    <w:rsid w:val="00D81338"/>
    <w:rsid w:val="00DB31AE"/>
    <w:rsid w:val="00DC71CB"/>
    <w:rsid w:val="00DD48FC"/>
    <w:rsid w:val="00DE776B"/>
    <w:rsid w:val="00DF0015"/>
    <w:rsid w:val="00E31BAA"/>
    <w:rsid w:val="00E71CC4"/>
    <w:rsid w:val="00E75E53"/>
    <w:rsid w:val="00E850B6"/>
    <w:rsid w:val="00E87254"/>
    <w:rsid w:val="00EA619C"/>
    <w:rsid w:val="00EB1E7C"/>
    <w:rsid w:val="00EC573D"/>
    <w:rsid w:val="00EC7083"/>
    <w:rsid w:val="00F20D69"/>
    <w:rsid w:val="00F27FA9"/>
    <w:rsid w:val="00F43677"/>
    <w:rsid w:val="00F64883"/>
    <w:rsid w:val="00F8268E"/>
    <w:rsid w:val="00F92E18"/>
    <w:rsid w:val="00F96C0F"/>
    <w:rsid w:val="00FA017A"/>
    <w:rsid w:val="00FB608D"/>
  </w:rsids>
  <m:mathPr>
    <m:mathFont m:val="Century Schoolboo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v:stroke weight="0" endcap="roun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AU"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Quote" w:uiPriority="29" w:qFormat="1"/>
  </w:latentStyles>
  <w:style w:type="paragraph" w:default="1" w:styleId="Normal">
    <w:name w:val="Normal"/>
    <w:qFormat/>
    <w:rsid w:val="00FC7F0F"/>
    <w:pPr>
      <w:ind w:firstLine="170"/>
      <w:jc w:val="both"/>
    </w:pPr>
    <w:rPr>
      <w:rFonts w:ascii="Times New Roman" w:hAnsi="Times New Roman"/>
      <w:kern w:val="14"/>
    </w:rPr>
  </w:style>
  <w:style w:type="paragraph" w:styleId="Heading1">
    <w:name w:val="heading 1"/>
    <w:aliases w:val="AGLC Title Style"/>
    <w:basedOn w:val="Normal"/>
    <w:next w:val="Normal"/>
    <w:link w:val="Heading1Char"/>
    <w:uiPriority w:val="99"/>
    <w:qFormat/>
    <w:rsid w:val="00FC7F0F"/>
    <w:pPr>
      <w:numPr>
        <w:numId w:val="19"/>
      </w:numPr>
      <w:suppressAutoHyphens/>
      <w:spacing w:before="240" w:after="240"/>
      <w:jc w:val="center"/>
      <w:outlineLvl w:val="0"/>
    </w:pPr>
    <w:rPr>
      <w:b/>
      <w:caps/>
      <w:lang w:eastAsia="en-AU"/>
    </w:rPr>
  </w:style>
  <w:style w:type="paragraph" w:styleId="Heading2">
    <w:name w:val="heading 2"/>
    <w:aliases w:val="AGLC Heading Level 1"/>
    <w:basedOn w:val="Normal"/>
    <w:next w:val="Normal"/>
    <w:link w:val="Heading2Char"/>
    <w:uiPriority w:val="99"/>
    <w:qFormat/>
    <w:rsid w:val="00FC7F0F"/>
    <w:pPr>
      <w:keepNext/>
      <w:keepLines/>
      <w:numPr>
        <w:ilvl w:val="1"/>
        <w:numId w:val="19"/>
      </w:numPr>
      <w:suppressAutoHyphens/>
      <w:spacing w:before="240"/>
      <w:ind w:firstLine="0"/>
      <w:jc w:val="center"/>
      <w:outlineLvl w:val="1"/>
    </w:pPr>
    <w:rPr>
      <w:smallCaps/>
      <w:spacing w:val="20"/>
      <w:lang w:eastAsia="en-AU"/>
    </w:rPr>
  </w:style>
  <w:style w:type="paragraph" w:styleId="Heading3">
    <w:name w:val="heading 3"/>
    <w:aliases w:val="AGLC Heading Level 2"/>
    <w:basedOn w:val="Normal"/>
    <w:next w:val="Normal"/>
    <w:link w:val="Heading3Char"/>
    <w:uiPriority w:val="99"/>
    <w:qFormat/>
    <w:rsid w:val="00FC7F0F"/>
    <w:pPr>
      <w:keepNext/>
      <w:keepLines/>
      <w:numPr>
        <w:ilvl w:val="2"/>
        <w:numId w:val="19"/>
      </w:numPr>
      <w:suppressAutoHyphens/>
      <w:spacing w:before="240"/>
      <w:ind w:right="-1" w:firstLine="0"/>
      <w:jc w:val="center"/>
      <w:outlineLvl w:val="2"/>
    </w:pPr>
    <w:rPr>
      <w:i/>
      <w:lang w:eastAsia="en-AU"/>
    </w:rPr>
  </w:style>
  <w:style w:type="paragraph" w:styleId="Heading4">
    <w:name w:val="heading 4"/>
    <w:aliases w:val="AGLC Heading Level 3"/>
    <w:basedOn w:val="Heading3"/>
    <w:link w:val="Heading4Char"/>
    <w:uiPriority w:val="99"/>
    <w:qFormat/>
    <w:rsid w:val="00FC7F0F"/>
    <w:pPr>
      <w:numPr>
        <w:ilvl w:val="3"/>
      </w:numPr>
      <w:spacing w:before="120" w:after="48"/>
      <w:ind w:right="0"/>
      <w:jc w:val="left"/>
      <w:outlineLvl w:val="3"/>
    </w:pPr>
  </w:style>
  <w:style w:type="paragraph" w:styleId="Heading5">
    <w:name w:val="heading 5"/>
    <w:aliases w:val="AGLC Heading Level 4"/>
    <w:basedOn w:val="Heading4"/>
    <w:next w:val="Normal"/>
    <w:link w:val="Heading5Char"/>
    <w:uiPriority w:val="99"/>
    <w:qFormat/>
    <w:rsid w:val="00FC7F0F"/>
    <w:pPr>
      <w:numPr>
        <w:ilvl w:val="4"/>
      </w:numPr>
      <w:outlineLvl w:val="4"/>
    </w:pPr>
  </w:style>
  <w:style w:type="paragraph" w:styleId="Heading6">
    <w:name w:val="heading 6"/>
    <w:aliases w:val="AGLC Heading Level 5"/>
    <w:basedOn w:val="Heading7"/>
    <w:next w:val="NormalIndent"/>
    <w:link w:val="Heading6Char"/>
    <w:uiPriority w:val="99"/>
    <w:qFormat/>
    <w:rsid w:val="00FC7F0F"/>
    <w:pPr>
      <w:numPr>
        <w:ilvl w:val="0"/>
        <w:numId w:val="0"/>
      </w:numPr>
      <w:outlineLvl w:val="5"/>
    </w:pPr>
  </w:style>
  <w:style w:type="paragraph" w:styleId="Heading7">
    <w:name w:val="heading 7"/>
    <w:basedOn w:val="Heading4"/>
    <w:next w:val="Normal"/>
    <w:link w:val="Heading7Char"/>
    <w:uiPriority w:val="99"/>
    <w:qFormat/>
    <w:rsid w:val="00FC7F0F"/>
    <w:pPr>
      <w:numPr>
        <w:ilvl w:val="6"/>
      </w:numPr>
      <w:outlineLvl w:val="6"/>
    </w:pPr>
  </w:style>
  <w:style w:type="paragraph" w:styleId="Heading8">
    <w:name w:val="heading 8"/>
    <w:basedOn w:val="Normal"/>
    <w:next w:val="NormalIndent"/>
    <w:link w:val="Heading8Char"/>
    <w:uiPriority w:val="99"/>
    <w:qFormat/>
    <w:rsid w:val="00FC7F0F"/>
    <w:pPr>
      <w:numPr>
        <w:ilvl w:val="7"/>
        <w:numId w:val="19"/>
      </w:numPr>
      <w:outlineLvl w:val="7"/>
    </w:pPr>
    <w:rPr>
      <w:i/>
      <w:lang w:eastAsia="en-AU"/>
    </w:rPr>
  </w:style>
  <w:style w:type="paragraph" w:styleId="Heading9">
    <w:name w:val="heading 9"/>
    <w:basedOn w:val="Normal"/>
    <w:next w:val="NormalIndent"/>
    <w:link w:val="Heading9Char"/>
    <w:uiPriority w:val="99"/>
    <w:qFormat/>
    <w:rsid w:val="00FC7F0F"/>
    <w:pPr>
      <w:numPr>
        <w:ilvl w:val="8"/>
        <w:numId w:val="19"/>
      </w:numPr>
      <w:outlineLvl w:val="8"/>
    </w:pPr>
    <w:rPr>
      <w:i/>
      <w:lang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FC7F0F"/>
    <w:rPr>
      <w:rFonts w:cs="Times New Roman"/>
      <w:color w:val="0000FF"/>
      <w:u w:val="single"/>
    </w:rPr>
  </w:style>
  <w:style w:type="character" w:styleId="FollowedHyperlink">
    <w:name w:val="FollowedHyperlink"/>
    <w:uiPriority w:val="99"/>
    <w:rsid w:val="00FC7F0F"/>
    <w:rPr>
      <w:rFonts w:cs="Times New Roman"/>
      <w:color w:val="800080"/>
      <w:u w:val="single"/>
    </w:rPr>
  </w:style>
  <w:style w:type="character" w:customStyle="1" w:styleId="Heading1Char">
    <w:name w:val="Heading 1 Char"/>
    <w:aliases w:val="AGLC Title Style Char"/>
    <w:basedOn w:val="DefaultParagraphFont"/>
    <w:link w:val="Heading1"/>
    <w:uiPriority w:val="99"/>
    <w:rsid w:val="003D484C"/>
    <w:rPr>
      <w:rFonts w:ascii="Times New Roman" w:hAnsi="Times New Roman"/>
      <w:b/>
      <w:caps/>
      <w:kern w:val="14"/>
      <w:lang w:eastAsia="en-AU"/>
    </w:rPr>
  </w:style>
  <w:style w:type="character" w:customStyle="1" w:styleId="Heading2Char">
    <w:name w:val="Heading 2 Char"/>
    <w:aliases w:val="AGLC Heading Level 1 Char"/>
    <w:basedOn w:val="DefaultParagraphFont"/>
    <w:link w:val="Heading2"/>
    <w:uiPriority w:val="99"/>
    <w:rsid w:val="003D484C"/>
    <w:rPr>
      <w:rFonts w:ascii="Times New Roman" w:hAnsi="Times New Roman"/>
      <w:smallCaps/>
      <w:spacing w:val="20"/>
      <w:kern w:val="14"/>
      <w:lang w:eastAsia="en-AU"/>
    </w:rPr>
  </w:style>
  <w:style w:type="character" w:customStyle="1" w:styleId="Heading3Char">
    <w:name w:val="Heading 3 Char"/>
    <w:aliases w:val="AGLC Heading Level 2 Char"/>
    <w:basedOn w:val="DefaultParagraphFont"/>
    <w:link w:val="Heading3"/>
    <w:uiPriority w:val="99"/>
    <w:rsid w:val="003D484C"/>
    <w:rPr>
      <w:rFonts w:ascii="Times New Roman" w:hAnsi="Times New Roman"/>
      <w:i/>
      <w:kern w:val="14"/>
      <w:lang w:eastAsia="en-AU"/>
    </w:rPr>
  </w:style>
  <w:style w:type="paragraph" w:styleId="FootnoteText">
    <w:name w:val="footnote text"/>
    <w:basedOn w:val="Normal"/>
    <w:link w:val="FootnoteTextChar"/>
    <w:uiPriority w:val="99"/>
    <w:rsid w:val="00D274D4"/>
    <w:pPr>
      <w:tabs>
        <w:tab w:val="right" w:pos="199"/>
        <w:tab w:val="left" w:pos="284"/>
      </w:tabs>
      <w:spacing w:before="24" w:line="164" w:lineRule="exact"/>
      <w:ind w:left="284" w:hanging="284"/>
    </w:pPr>
    <w:rPr>
      <w:sz w:val="16"/>
    </w:rPr>
  </w:style>
  <w:style w:type="character" w:customStyle="1" w:styleId="FootnoteTextChar">
    <w:name w:val="Footnote Text Char"/>
    <w:basedOn w:val="DefaultParagraphFont"/>
    <w:link w:val="FootnoteText"/>
    <w:uiPriority w:val="99"/>
    <w:rsid w:val="00D274D4"/>
    <w:rPr>
      <w:rFonts w:ascii="Times New Roman" w:eastAsia="Times New Roman" w:hAnsi="Times New Roman" w:cs="Times New Roman"/>
      <w:noProof/>
      <w:kern w:val="14"/>
      <w:sz w:val="16"/>
      <w:szCs w:val="20"/>
    </w:rPr>
  </w:style>
  <w:style w:type="paragraph" w:styleId="CommentText">
    <w:name w:val="annotation text"/>
    <w:basedOn w:val="Normal"/>
    <w:link w:val="CommentTextChar"/>
    <w:uiPriority w:val="99"/>
    <w:rsid w:val="00FC7F0F"/>
    <w:pPr>
      <w:spacing w:after="200" w:line="276" w:lineRule="auto"/>
    </w:pPr>
    <w:rPr>
      <w:rFonts w:ascii="Calibri" w:hAnsi="Calibri"/>
    </w:rPr>
  </w:style>
  <w:style w:type="character" w:customStyle="1" w:styleId="CommentTextChar">
    <w:name w:val="Comment Text Char"/>
    <w:basedOn w:val="DefaultParagraphFont"/>
    <w:link w:val="CommentText"/>
    <w:uiPriority w:val="99"/>
    <w:rsid w:val="003D484C"/>
    <w:rPr>
      <w:rFonts w:ascii="Calibri" w:eastAsia="Times New Roman" w:hAnsi="Calibri" w:cs="Times New Roman"/>
      <w:sz w:val="20"/>
      <w:szCs w:val="20"/>
    </w:rPr>
  </w:style>
  <w:style w:type="paragraph" w:styleId="Header">
    <w:name w:val="header"/>
    <w:basedOn w:val="Normal"/>
    <w:link w:val="HeaderChar"/>
    <w:uiPriority w:val="99"/>
    <w:rsid w:val="00FC7F0F"/>
    <w:pPr>
      <w:tabs>
        <w:tab w:val="center" w:pos="4819"/>
        <w:tab w:val="right" w:pos="9071"/>
      </w:tabs>
    </w:pPr>
  </w:style>
  <w:style w:type="character" w:customStyle="1" w:styleId="HeaderChar">
    <w:name w:val="Header Char"/>
    <w:basedOn w:val="DefaultParagraphFont"/>
    <w:link w:val="Header"/>
    <w:uiPriority w:val="99"/>
    <w:rsid w:val="003D484C"/>
    <w:rPr>
      <w:rFonts w:ascii="Times New Roman" w:eastAsia="Times New Roman" w:hAnsi="Times New Roman" w:cs="Times New Roman"/>
      <w:noProof/>
      <w:kern w:val="14"/>
      <w:sz w:val="20"/>
      <w:szCs w:val="20"/>
    </w:rPr>
  </w:style>
  <w:style w:type="paragraph" w:styleId="Footer">
    <w:name w:val="footer"/>
    <w:basedOn w:val="Normal"/>
    <w:link w:val="FooterChar"/>
    <w:uiPriority w:val="99"/>
    <w:rsid w:val="00FC7F0F"/>
    <w:pPr>
      <w:tabs>
        <w:tab w:val="center" w:pos="4819"/>
        <w:tab w:val="right" w:pos="9071"/>
      </w:tabs>
    </w:pPr>
  </w:style>
  <w:style w:type="character" w:customStyle="1" w:styleId="FooterChar">
    <w:name w:val="Footer Char"/>
    <w:basedOn w:val="DefaultParagraphFont"/>
    <w:link w:val="Footer"/>
    <w:uiPriority w:val="99"/>
    <w:rsid w:val="003D484C"/>
    <w:rPr>
      <w:rFonts w:ascii="Times New Roman" w:eastAsia="Times New Roman" w:hAnsi="Times New Roman" w:cs="Times New Roman"/>
      <w:noProof/>
      <w:kern w:val="14"/>
      <w:sz w:val="20"/>
      <w:szCs w:val="20"/>
    </w:rPr>
  </w:style>
  <w:style w:type="paragraph" w:styleId="Title">
    <w:name w:val="Title"/>
    <w:basedOn w:val="Normal"/>
    <w:next w:val="Normal"/>
    <w:link w:val="TitleChar"/>
    <w:uiPriority w:val="99"/>
    <w:qFormat/>
    <w:rsid w:val="00FC7F0F"/>
    <w:pPr>
      <w:pBdr>
        <w:bottom w:val="single" w:sz="8" w:space="4" w:color="404040"/>
      </w:pBdr>
      <w:spacing w:after="300"/>
      <w:ind w:firstLine="0"/>
      <w:contextualSpacing/>
    </w:pPr>
    <w:rPr>
      <w:rFonts w:ascii="Calibri" w:eastAsia="SimSun" w:hAnsi="Calibri"/>
      <w:smallCaps/>
      <w:spacing w:val="5"/>
      <w:kern w:val="28"/>
      <w:sz w:val="52"/>
      <w:szCs w:val="52"/>
    </w:rPr>
  </w:style>
  <w:style w:type="character" w:customStyle="1" w:styleId="TitleChar">
    <w:name w:val="Title Char"/>
    <w:basedOn w:val="DefaultParagraphFont"/>
    <w:link w:val="Title"/>
    <w:uiPriority w:val="99"/>
    <w:rsid w:val="003D484C"/>
    <w:rPr>
      <w:rFonts w:ascii="Calibri" w:eastAsia="SimSun" w:hAnsi="Calibri" w:cs="Times New Roman"/>
      <w:smallCaps/>
      <w:spacing w:val="5"/>
      <w:kern w:val="28"/>
      <w:sz w:val="52"/>
      <w:szCs w:val="52"/>
    </w:rPr>
  </w:style>
  <w:style w:type="paragraph" w:styleId="DocumentMap">
    <w:name w:val="Document Map"/>
    <w:basedOn w:val="Normal"/>
    <w:link w:val="DocumentMapChar"/>
    <w:uiPriority w:val="99"/>
    <w:rsid w:val="00FC7F0F"/>
    <w:pPr>
      <w:shd w:val="clear" w:color="auto" w:fill="000080"/>
    </w:pPr>
    <w:rPr>
      <w:rFonts w:ascii="Tahoma" w:hAnsi="Tahoma"/>
    </w:rPr>
  </w:style>
  <w:style w:type="character" w:customStyle="1" w:styleId="DocumentMapChar">
    <w:name w:val="Document Map Char"/>
    <w:basedOn w:val="DefaultParagraphFont"/>
    <w:link w:val="DocumentMap"/>
    <w:uiPriority w:val="99"/>
    <w:rsid w:val="003D484C"/>
    <w:rPr>
      <w:rFonts w:ascii="Tahoma" w:eastAsia="Times New Roman" w:hAnsi="Tahoma" w:cs="Times New Roman"/>
      <w:noProof/>
      <w:kern w:val="14"/>
      <w:sz w:val="20"/>
      <w:szCs w:val="20"/>
      <w:shd w:val="clear" w:color="auto" w:fill="000080"/>
    </w:rPr>
  </w:style>
  <w:style w:type="paragraph" w:styleId="CommentSubject">
    <w:name w:val="annotation subject"/>
    <w:basedOn w:val="CommentText"/>
    <w:next w:val="CommentText"/>
    <w:link w:val="CommentSubjectChar"/>
    <w:uiPriority w:val="99"/>
    <w:rsid w:val="00FC7F0F"/>
    <w:rPr>
      <w:b/>
      <w:bCs/>
    </w:rPr>
  </w:style>
  <w:style w:type="character" w:customStyle="1" w:styleId="CommentSubjectChar">
    <w:name w:val="Comment Subject Char"/>
    <w:basedOn w:val="CommentTextChar"/>
    <w:link w:val="CommentSubject"/>
    <w:uiPriority w:val="99"/>
    <w:rsid w:val="003D484C"/>
    <w:rPr>
      <w:rFonts w:ascii="Calibri" w:eastAsia="Times New Roman" w:hAnsi="Calibri" w:cs="Times New Roman"/>
      <w:b/>
      <w:bCs/>
      <w:sz w:val="20"/>
      <w:szCs w:val="20"/>
    </w:rPr>
  </w:style>
  <w:style w:type="paragraph" w:styleId="BalloonText">
    <w:name w:val="Balloon Text"/>
    <w:basedOn w:val="Normal"/>
    <w:link w:val="BalloonTextChar"/>
    <w:uiPriority w:val="99"/>
    <w:rsid w:val="00FC7F0F"/>
    <w:rPr>
      <w:rFonts w:ascii="Tahoma" w:hAnsi="Tahoma"/>
      <w:sz w:val="16"/>
    </w:rPr>
  </w:style>
  <w:style w:type="character" w:customStyle="1" w:styleId="BalloonTextChar">
    <w:name w:val="Balloon Text Char"/>
    <w:basedOn w:val="DefaultParagraphFont"/>
    <w:link w:val="BalloonText"/>
    <w:uiPriority w:val="99"/>
    <w:rsid w:val="003D484C"/>
    <w:rPr>
      <w:rFonts w:ascii="Tahoma" w:eastAsia="Times New Roman" w:hAnsi="Tahoma" w:cs="Times New Roman"/>
      <w:kern w:val="14"/>
      <w:sz w:val="16"/>
      <w:szCs w:val="20"/>
    </w:rPr>
  </w:style>
  <w:style w:type="paragraph" w:styleId="ListParagraph">
    <w:name w:val="List Paragraph"/>
    <w:basedOn w:val="Normal"/>
    <w:uiPriority w:val="34"/>
    <w:rsid w:val="003D484C"/>
    <w:pPr>
      <w:ind w:left="720"/>
      <w:contextualSpacing/>
    </w:pPr>
  </w:style>
  <w:style w:type="paragraph" w:styleId="Quote">
    <w:name w:val="Quote"/>
    <w:basedOn w:val="Normal"/>
    <w:next w:val="Normal"/>
    <w:link w:val="QuoteChar"/>
    <w:uiPriority w:val="29"/>
    <w:qFormat/>
    <w:rsid w:val="003D484C"/>
    <w:pPr>
      <w:ind w:left="1134"/>
    </w:pPr>
  </w:style>
  <w:style w:type="character" w:customStyle="1" w:styleId="QuoteChar">
    <w:name w:val="Quote Char"/>
    <w:basedOn w:val="DefaultParagraphFont"/>
    <w:link w:val="Quote"/>
    <w:uiPriority w:val="29"/>
    <w:rsid w:val="003D484C"/>
    <w:rPr>
      <w:rFonts w:ascii="Times New Roman" w:eastAsia="Times New Roman" w:hAnsi="Times New Roman" w:cs="Times New Roman" w:hint="default"/>
      <w:sz w:val="20"/>
      <w:lang w:val="en-US"/>
    </w:rPr>
  </w:style>
  <w:style w:type="paragraph" w:customStyle="1" w:styleId="Body1">
    <w:name w:val="Body 1"/>
    <w:rsid w:val="003D484C"/>
    <w:pPr>
      <w:spacing w:line="276" w:lineRule="auto"/>
      <w:outlineLvl w:val="0"/>
    </w:pPr>
    <w:rPr>
      <w:rFonts w:ascii="Helvetica" w:eastAsia="ヒラギノ角ゴ Pro W3" w:hAnsi="Helvetica"/>
      <w:color w:val="000000"/>
      <w:sz w:val="22"/>
      <w:szCs w:val="22"/>
      <w:lang w:val="en-US"/>
    </w:rPr>
  </w:style>
  <w:style w:type="paragraph" w:customStyle="1" w:styleId="Heading11">
    <w:name w:val="Heading 11"/>
    <w:next w:val="Body1"/>
    <w:rsid w:val="003D484C"/>
    <w:pPr>
      <w:jc w:val="both"/>
      <w:outlineLvl w:val="0"/>
    </w:pPr>
    <w:rPr>
      <w:rFonts w:ascii="Optima" w:eastAsia="ヒラギノ角ゴ Pro W3" w:hAnsi="Optima"/>
      <w:b/>
      <w:bCs/>
      <w:color w:val="548AB7"/>
      <w:lang w:val="en-US"/>
    </w:rPr>
  </w:style>
  <w:style w:type="paragraph" w:customStyle="1" w:styleId="Heading21">
    <w:name w:val="Heading 21"/>
    <w:next w:val="Body1"/>
    <w:rsid w:val="003D484C"/>
    <w:pPr>
      <w:keepNext/>
      <w:keepLines/>
      <w:ind w:hanging="332"/>
      <w:outlineLvl w:val="1"/>
    </w:pPr>
    <w:rPr>
      <w:rFonts w:ascii="Times New Roman" w:eastAsia="Helvetica" w:hAnsi="Times New Roman"/>
      <w:b/>
      <w:bCs/>
      <w:color w:val="4F81BD"/>
      <w:lang w:val="en-US"/>
    </w:rPr>
  </w:style>
  <w:style w:type="paragraph" w:customStyle="1" w:styleId="Heading31">
    <w:name w:val="Heading 31"/>
    <w:next w:val="Body1"/>
    <w:rsid w:val="003D484C"/>
    <w:pPr>
      <w:keepNext/>
      <w:keepLines/>
      <w:spacing w:line="276" w:lineRule="auto"/>
      <w:outlineLvl w:val="2"/>
    </w:pPr>
    <w:rPr>
      <w:rFonts w:ascii="Helvetica" w:eastAsia="ヒラギノ角ゴ Pro W3" w:hAnsi="Helvetica"/>
      <w:b/>
      <w:bCs/>
      <w:color w:val="4F81BD"/>
      <w:sz w:val="22"/>
      <w:szCs w:val="22"/>
      <w:lang w:val="en-US"/>
    </w:rPr>
  </w:style>
  <w:style w:type="paragraph" w:customStyle="1" w:styleId="ImportWordListStyleDefinition0">
    <w:name w:val="Import Word List Style Definition 0"/>
    <w:rsid w:val="003D484C"/>
    <w:pPr>
      <w:tabs>
        <w:tab w:val="num" w:pos="720"/>
      </w:tabs>
      <w:ind w:left="720"/>
    </w:pPr>
    <w:rPr>
      <w:rFonts w:ascii="Times New Roman" w:hAnsi="Times New Roman"/>
    </w:rPr>
  </w:style>
  <w:style w:type="paragraph" w:customStyle="1" w:styleId="ImportWordListStyleDefinition3">
    <w:name w:val="Import Word List Style Definition 3"/>
    <w:rsid w:val="003D484C"/>
    <w:pPr>
      <w:tabs>
        <w:tab w:val="num" w:pos="360"/>
      </w:tabs>
      <w:ind w:left="360" w:firstLine="360"/>
    </w:pPr>
    <w:rPr>
      <w:rFonts w:ascii="Times New Roman" w:hAnsi="Times New Roman"/>
    </w:rPr>
  </w:style>
  <w:style w:type="paragraph" w:customStyle="1" w:styleId="ImportWordListStyleDefinition2">
    <w:name w:val="Import Word List Style Definition 2"/>
    <w:rsid w:val="003D484C"/>
    <w:pPr>
      <w:tabs>
        <w:tab w:val="num" w:pos="360"/>
      </w:tabs>
      <w:ind w:left="360" w:firstLine="360"/>
    </w:pPr>
    <w:rPr>
      <w:rFonts w:ascii="Times New Roman" w:hAnsi="Times New Roman"/>
    </w:rPr>
  </w:style>
  <w:style w:type="paragraph" w:customStyle="1" w:styleId="ImportWordListStyleDefinition1">
    <w:name w:val="Import Word List Style Definition 1"/>
    <w:rsid w:val="003D484C"/>
    <w:pPr>
      <w:tabs>
        <w:tab w:val="num" w:pos="360"/>
      </w:tabs>
      <w:ind w:left="360"/>
    </w:pPr>
    <w:rPr>
      <w:rFonts w:ascii="Times New Roman" w:hAnsi="Times New Roman"/>
    </w:rPr>
  </w:style>
  <w:style w:type="paragraph" w:customStyle="1" w:styleId="List0">
    <w:name w:val="List 0"/>
    <w:basedOn w:val="ImportWordListStyleDefinition1"/>
    <w:rsid w:val="003D484C"/>
    <w:pPr>
      <w:tabs>
        <w:tab w:val="clear" w:pos="360"/>
        <w:tab w:val="num" w:pos="332"/>
      </w:tabs>
      <w:ind w:left="332"/>
    </w:pPr>
  </w:style>
  <w:style w:type="paragraph" w:customStyle="1" w:styleId="Bulletedlist">
    <w:name w:val="Bulleted list"/>
    <w:basedOn w:val="Normal"/>
    <w:rsid w:val="003D484C"/>
    <w:pPr>
      <w:numPr>
        <w:numId w:val="4"/>
      </w:numPr>
    </w:pPr>
  </w:style>
  <w:style w:type="character" w:styleId="FootnoteReference">
    <w:name w:val="footnote reference"/>
    <w:aliases w:val="[0]"/>
    <w:uiPriority w:val="99"/>
    <w:rsid w:val="00FC7F0F"/>
    <w:rPr>
      <w:rFonts w:cs="Times New Roman"/>
      <w:position w:val="6"/>
      <w:sz w:val="14"/>
    </w:rPr>
  </w:style>
  <w:style w:type="character" w:styleId="CommentReference">
    <w:name w:val="annotation reference"/>
    <w:uiPriority w:val="99"/>
    <w:rsid w:val="00FC7F0F"/>
    <w:rPr>
      <w:rFonts w:cs="Times New Roman"/>
      <w:sz w:val="16"/>
    </w:rPr>
  </w:style>
  <w:style w:type="paragraph" w:customStyle="1" w:styleId="1stfooter">
    <w:name w:val="1st_footer"/>
    <w:basedOn w:val="Footer"/>
    <w:uiPriority w:val="99"/>
    <w:rsid w:val="00FC7F0F"/>
    <w:pPr>
      <w:tabs>
        <w:tab w:val="center" w:pos="3261"/>
        <w:tab w:val="left" w:pos="9639"/>
      </w:tabs>
      <w:spacing w:before="120" w:line="360" w:lineRule="atLeast"/>
      <w:ind w:firstLine="284"/>
    </w:pPr>
  </w:style>
  <w:style w:type="paragraph" w:customStyle="1" w:styleId="Abstract">
    <w:name w:val="Abstract"/>
    <w:basedOn w:val="Normal"/>
    <w:uiPriority w:val="99"/>
    <w:rsid w:val="00FC7F0F"/>
    <w:pPr>
      <w:spacing w:after="240"/>
    </w:pPr>
    <w:rPr>
      <w:i/>
      <w:sz w:val="16"/>
    </w:rPr>
  </w:style>
  <w:style w:type="paragraph" w:customStyle="1" w:styleId="AGLCContents">
    <w:name w:val="AGLC Contents"/>
    <w:basedOn w:val="Abstract"/>
    <w:next w:val="Normal"/>
    <w:uiPriority w:val="99"/>
    <w:rsid w:val="00FC7F0F"/>
    <w:pPr>
      <w:spacing w:after="120"/>
      <w:jc w:val="center"/>
    </w:pPr>
    <w:rPr>
      <w:i w:val="0"/>
      <w:smallCaps/>
      <w:spacing w:val="20"/>
      <w:sz w:val="20"/>
    </w:rPr>
  </w:style>
  <w:style w:type="paragraph" w:customStyle="1" w:styleId="AGLCTitleStyleNOTBOLD">
    <w:name w:val="AGLC Title Style (NOT BOLD)"/>
    <w:basedOn w:val="Heading1"/>
    <w:next w:val="Normal"/>
    <w:uiPriority w:val="99"/>
    <w:rsid w:val="00FC7F0F"/>
    <w:pPr>
      <w:numPr>
        <w:numId w:val="0"/>
      </w:numPr>
    </w:pPr>
    <w:rPr>
      <w:b w:val="0"/>
      <w:caps w:val="0"/>
    </w:rPr>
  </w:style>
  <w:style w:type="paragraph" w:customStyle="1" w:styleId="author">
    <w:name w:val="author"/>
    <w:basedOn w:val="Normal"/>
    <w:uiPriority w:val="99"/>
    <w:rsid w:val="00FC7F0F"/>
    <w:pPr>
      <w:suppressAutoHyphens/>
      <w:spacing w:after="360"/>
      <w:ind w:left="1134" w:right="1134"/>
      <w:jc w:val="center"/>
    </w:pPr>
    <w:rPr>
      <w:smallCaps/>
    </w:rPr>
  </w:style>
  <w:style w:type="paragraph" w:customStyle="1" w:styleId="authorright">
    <w:name w:val="author right"/>
    <w:basedOn w:val="author"/>
    <w:uiPriority w:val="99"/>
    <w:rsid w:val="00FC7F0F"/>
    <w:pPr>
      <w:spacing w:before="120" w:after="0"/>
      <w:ind w:left="0" w:right="0"/>
      <w:jc w:val="right"/>
    </w:pPr>
  </w:style>
  <w:style w:type="paragraph" w:styleId="BodyText">
    <w:name w:val="Body Text"/>
    <w:basedOn w:val="Normal"/>
    <w:link w:val="BodyTextChar"/>
    <w:uiPriority w:val="99"/>
    <w:semiHidden/>
    <w:rsid w:val="00FC7F0F"/>
    <w:pPr>
      <w:spacing w:line="264" w:lineRule="auto"/>
    </w:pPr>
    <w:rPr>
      <w:rFonts w:ascii="Calibri" w:hAnsi="Calibri"/>
      <w:sz w:val="23"/>
      <w:lang w:eastAsia="ja-JP"/>
    </w:rPr>
  </w:style>
  <w:style w:type="character" w:customStyle="1" w:styleId="BodyTextChar">
    <w:name w:val="Body Text Char"/>
    <w:basedOn w:val="DefaultParagraphFont"/>
    <w:link w:val="BodyText"/>
    <w:uiPriority w:val="99"/>
    <w:semiHidden/>
    <w:rsid w:val="00FC7F0F"/>
    <w:rPr>
      <w:rFonts w:ascii="Calibri" w:eastAsia="Times New Roman" w:hAnsi="Calibri" w:cs="Times New Roman"/>
      <w:sz w:val="23"/>
      <w:szCs w:val="20"/>
      <w:lang w:val="en-US" w:eastAsia="ja-JP"/>
    </w:rPr>
  </w:style>
  <w:style w:type="paragraph" w:customStyle="1" w:styleId="BookReviewHead">
    <w:name w:val="Book Review Head"/>
    <w:basedOn w:val="Normal"/>
    <w:uiPriority w:val="99"/>
    <w:rsid w:val="00FC7F0F"/>
  </w:style>
  <w:style w:type="character" w:styleId="BookTitle">
    <w:name w:val="Book Title"/>
    <w:uiPriority w:val="99"/>
    <w:qFormat/>
    <w:rsid w:val="00FC7F0F"/>
    <w:rPr>
      <w:rFonts w:ascii="Calibri" w:hAnsi="Calibri" w:cs="Times New Roman"/>
      <w:i/>
      <w:color w:val="1F497D"/>
      <w:sz w:val="20"/>
    </w:rPr>
  </w:style>
  <w:style w:type="paragraph" w:customStyle="1" w:styleId="BooksReceived">
    <w:name w:val="Books Received"/>
    <w:basedOn w:val="Normal"/>
    <w:uiPriority w:val="99"/>
    <w:rsid w:val="00FC7F0F"/>
    <w:pPr>
      <w:spacing w:before="120"/>
    </w:pPr>
  </w:style>
  <w:style w:type="paragraph" w:styleId="Caption">
    <w:name w:val="caption"/>
    <w:basedOn w:val="Normal"/>
    <w:next w:val="Normal"/>
    <w:uiPriority w:val="99"/>
    <w:qFormat/>
    <w:rsid w:val="00FC7F0F"/>
    <w:pPr>
      <w:spacing w:after="180" w:line="264" w:lineRule="auto"/>
    </w:pPr>
    <w:rPr>
      <w:rFonts w:ascii="Calibri" w:hAnsi="Calibri"/>
      <w:b/>
      <w:bCs/>
      <w:caps/>
      <w:sz w:val="16"/>
      <w:szCs w:val="18"/>
      <w:lang w:eastAsia="ja-JP"/>
    </w:rPr>
  </w:style>
  <w:style w:type="paragraph" w:customStyle="1" w:styleId="Chapter3">
    <w:name w:val="Chapter 3"/>
    <w:basedOn w:val="BodyText"/>
    <w:uiPriority w:val="99"/>
    <w:rsid w:val="00FC7F0F"/>
    <w:pPr>
      <w:numPr>
        <w:numId w:val="10"/>
      </w:numPr>
      <w:spacing w:line="240" w:lineRule="auto"/>
    </w:pPr>
    <w:rPr>
      <w:rFonts w:ascii="Times New Roman" w:hAnsi="Times New Roman"/>
      <w:sz w:val="24"/>
      <w:lang w:val="en-NZ" w:eastAsia="en-AU"/>
    </w:rPr>
  </w:style>
  <w:style w:type="paragraph" w:customStyle="1" w:styleId="ColorfulGrid-Accent11">
    <w:name w:val="Colorful Grid - Accent 11"/>
    <w:basedOn w:val="Normal"/>
    <w:next w:val="Normal"/>
    <w:uiPriority w:val="99"/>
    <w:qFormat/>
    <w:rsid w:val="00FC7F0F"/>
    <w:pPr>
      <w:spacing w:after="200" w:line="276" w:lineRule="auto"/>
      <w:ind w:left="227"/>
    </w:pPr>
    <w:rPr>
      <w:rFonts w:ascii="Calibri" w:hAnsi="Calibri"/>
      <w:i/>
      <w:iCs/>
      <w:color w:val="000000"/>
      <w:sz w:val="22"/>
      <w:szCs w:val="22"/>
    </w:rPr>
  </w:style>
  <w:style w:type="paragraph" w:customStyle="1" w:styleId="ColorfulList-Accent11">
    <w:name w:val="Colorful List - Accent 11"/>
    <w:basedOn w:val="Normal"/>
    <w:uiPriority w:val="99"/>
    <w:qFormat/>
    <w:rsid w:val="00FC7F0F"/>
    <w:pPr>
      <w:spacing w:after="200" w:line="276" w:lineRule="auto"/>
      <w:ind w:left="720"/>
      <w:contextualSpacing/>
    </w:pPr>
    <w:rPr>
      <w:rFonts w:ascii="Calibri" w:hAnsi="Calibri"/>
      <w:sz w:val="22"/>
      <w:szCs w:val="22"/>
    </w:rPr>
  </w:style>
  <w:style w:type="paragraph" w:customStyle="1" w:styleId="cropsevenpages">
    <w:name w:val="crops_even_pages"/>
    <w:basedOn w:val="Footer"/>
    <w:uiPriority w:val="99"/>
    <w:rsid w:val="00FC7F0F"/>
    <w:pPr>
      <w:tabs>
        <w:tab w:val="right" w:pos="-1134"/>
        <w:tab w:val="center" w:pos="3261"/>
        <w:tab w:val="left" w:pos="7372"/>
      </w:tabs>
      <w:spacing w:before="120" w:line="360" w:lineRule="atLeast"/>
      <w:ind w:right="-2552" w:hanging="2268"/>
    </w:pPr>
    <w:rPr>
      <w:rFonts w:ascii="Courier New" w:hAnsi="Courier New"/>
    </w:rPr>
  </w:style>
  <w:style w:type="paragraph" w:customStyle="1" w:styleId="cropsoddpages">
    <w:name w:val="crops_odd_pages"/>
    <w:basedOn w:val="Footer"/>
    <w:uiPriority w:val="99"/>
    <w:rsid w:val="00FC7F0F"/>
    <w:pPr>
      <w:tabs>
        <w:tab w:val="right" w:pos="-851"/>
        <w:tab w:val="center" w:pos="3261"/>
        <w:tab w:val="left" w:pos="7655"/>
      </w:tabs>
      <w:spacing w:before="120" w:line="360" w:lineRule="atLeast"/>
      <w:ind w:right="-2552" w:hanging="2268"/>
    </w:pPr>
    <w:rPr>
      <w:rFonts w:ascii="Courier New" w:hAnsi="Courier New"/>
    </w:rPr>
  </w:style>
  <w:style w:type="character" w:styleId="Emphasis">
    <w:name w:val="Emphasis"/>
    <w:uiPriority w:val="99"/>
    <w:qFormat/>
    <w:rsid w:val="00FC7F0F"/>
    <w:rPr>
      <w:rFonts w:cs="Times New Roman"/>
      <w:i/>
    </w:rPr>
  </w:style>
  <w:style w:type="character" w:styleId="EndnoteReference">
    <w:name w:val="endnote reference"/>
    <w:uiPriority w:val="99"/>
    <w:rsid w:val="00FC7F0F"/>
    <w:rPr>
      <w:rFonts w:cs="Times New Roman"/>
      <w:vertAlign w:val="superscript"/>
    </w:rPr>
  </w:style>
  <w:style w:type="paragraph" w:styleId="EndnoteText">
    <w:name w:val="endnote text"/>
    <w:basedOn w:val="Normal"/>
    <w:link w:val="EndnoteTextChar"/>
    <w:uiPriority w:val="99"/>
    <w:rsid w:val="00FC7F0F"/>
  </w:style>
  <w:style w:type="character" w:customStyle="1" w:styleId="EndnoteTextChar">
    <w:name w:val="Endnote Text Char"/>
    <w:basedOn w:val="DefaultParagraphFont"/>
    <w:link w:val="EndnoteText"/>
    <w:uiPriority w:val="99"/>
    <w:rsid w:val="00FC7F0F"/>
    <w:rPr>
      <w:rFonts w:ascii="Times New Roman" w:eastAsia="Times New Roman" w:hAnsi="Times New Roman" w:cs="Times New Roman"/>
      <w:noProof/>
      <w:kern w:val="14"/>
      <w:sz w:val="20"/>
      <w:szCs w:val="20"/>
    </w:rPr>
  </w:style>
  <w:style w:type="paragraph" w:styleId="NormalIndent">
    <w:name w:val="Normal Indent"/>
    <w:basedOn w:val="Normal"/>
    <w:uiPriority w:val="99"/>
    <w:rsid w:val="00FC7F0F"/>
    <w:pPr>
      <w:tabs>
        <w:tab w:val="left" w:pos="596"/>
        <w:tab w:val="left" w:pos="2836"/>
      </w:tabs>
      <w:spacing w:before="120" w:line="200" w:lineRule="exact"/>
      <w:ind w:left="426"/>
    </w:pPr>
    <w:rPr>
      <w:sz w:val="19"/>
    </w:rPr>
  </w:style>
  <w:style w:type="paragraph" w:customStyle="1" w:styleId="Legislation1">
    <w:name w:val="Legislation1"/>
    <w:basedOn w:val="NormalIndent"/>
    <w:uiPriority w:val="99"/>
    <w:rsid w:val="00FC7F0F"/>
    <w:pPr>
      <w:tabs>
        <w:tab w:val="clear" w:pos="596"/>
        <w:tab w:val="right" w:pos="851"/>
        <w:tab w:val="left" w:pos="993"/>
        <w:tab w:val="right" w:pos="1418"/>
        <w:tab w:val="left" w:pos="1560"/>
        <w:tab w:val="right" w:pos="1985"/>
        <w:tab w:val="left" w:pos="2127"/>
      </w:tabs>
      <w:ind w:left="993" w:hanging="709"/>
    </w:pPr>
  </w:style>
  <w:style w:type="paragraph" w:customStyle="1" w:styleId="fnleg1">
    <w:name w:val="fn_leg1"/>
    <w:basedOn w:val="Legislation1"/>
    <w:uiPriority w:val="99"/>
    <w:rsid w:val="00FC7F0F"/>
    <w:pPr>
      <w:spacing w:before="24" w:line="164" w:lineRule="exact"/>
      <w:ind w:left="709" w:hanging="284"/>
    </w:pPr>
    <w:rPr>
      <w:sz w:val="16"/>
    </w:rPr>
  </w:style>
  <w:style w:type="paragraph" w:customStyle="1" w:styleId="fnleg2">
    <w:name w:val="fn_leg2"/>
    <w:basedOn w:val="fnleg1"/>
    <w:uiPriority w:val="99"/>
    <w:rsid w:val="00FC7F0F"/>
    <w:pPr>
      <w:tabs>
        <w:tab w:val="clear" w:pos="851"/>
        <w:tab w:val="clear" w:pos="993"/>
        <w:tab w:val="clear" w:pos="1560"/>
        <w:tab w:val="clear" w:pos="2127"/>
        <w:tab w:val="clear" w:pos="2836"/>
        <w:tab w:val="left" w:pos="1559"/>
        <w:tab w:val="left" w:pos="2126"/>
        <w:tab w:val="right" w:pos="2552"/>
        <w:tab w:val="left" w:pos="2693"/>
        <w:tab w:val="left" w:pos="3402"/>
      </w:tabs>
      <w:ind w:left="1276"/>
    </w:pPr>
  </w:style>
  <w:style w:type="paragraph" w:customStyle="1" w:styleId="FooterEven">
    <w:name w:val="Footer Even"/>
    <w:basedOn w:val="Normal"/>
    <w:uiPriority w:val="99"/>
    <w:semiHidden/>
    <w:rsid w:val="00FC7F0F"/>
    <w:pPr>
      <w:pBdr>
        <w:top w:val="single" w:sz="4" w:space="1" w:color="4F81BD"/>
      </w:pBdr>
      <w:spacing w:after="180" w:line="264" w:lineRule="auto"/>
    </w:pPr>
    <w:rPr>
      <w:rFonts w:ascii="Calibri" w:hAnsi="Calibri"/>
      <w:color w:val="1F497D"/>
      <w:lang w:eastAsia="ja-JP"/>
    </w:rPr>
  </w:style>
  <w:style w:type="paragraph" w:customStyle="1" w:styleId="FooterOdd">
    <w:name w:val="Footer Odd"/>
    <w:basedOn w:val="Normal"/>
    <w:uiPriority w:val="99"/>
    <w:semiHidden/>
    <w:rsid w:val="00FC7F0F"/>
    <w:pPr>
      <w:pBdr>
        <w:top w:val="single" w:sz="4" w:space="1" w:color="4F81BD"/>
      </w:pBdr>
      <w:spacing w:after="180" w:line="264" w:lineRule="auto"/>
      <w:jc w:val="right"/>
    </w:pPr>
    <w:rPr>
      <w:rFonts w:ascii="Calibri" w:hAnsi="Calibri"/>
      <w:color w:val="1F497D"/>
      <w:lang w:eastAsia="ja-JP"/>
    </w:rPr>
  </w:style>
  <w:style w:type="paragraph" w:customStyle="1" w:styleId="footnoteindentedquote">
    <w:name w:val="footnote indented quote"/>
    <w:basedOn w:val="FootnoteText"/>
    <w:uiPriority w:val="99"/>
    <w:rsid w:val="00FC7F0F"/>
    <w:pPr>
      <w:tabs>
        <w:tab w:val="right" w:pos="284"/>
        <w:tab w:val="left" w:pos="454"/>
      </w:tabs>
      <w:ind w:left="426"/>
    </w:pPr>
  </w:style>
  <w:style w:type="character" w:customStyle="1" w:styleId="FootnoteTextChar1">
    <w:name w:val="Footnote Text Char1"/>
    <w:locked/>
    <w:rsid w:val="00FC7F0F"/>
    <w:rPr>
      <w:kern w:val="14"/>
      <w:sz w:val="16"/>
      <w:lang w:eastAsia="en-US"/>
    </w:rPr>
  </w:style>
  <w:style w:type="paragraph" w:customStyle="1" w:styleId="HeaderEven">
    <w:name w:val="Header Even"/>
    <w:basedOn w:val="Normal"/>
    <w:uiPriority w:val="99"/>
    <w:semiHidden/>
    <w:rsid w:val="00FC7F0F"/>
    <w:pPr>
      <w:pBdr>
        <w:bottom w:val="single" w:sz="4" w:space="1" w:color="4F81BD"/>
      </w:pBdr>
    </w:pPr>
    <w:rPr>
      <w:rFonts w:ascii="Calibri" w:hAnsi="Calibri"/>
      <w:b/>
      <w:color w:val="1F497D"/>
      <w:lang w:eastAsia="ko-KR"/>
    </w:rPr>
  </w:style>
  <w:style w:type="paragraph" w:customStyle="1" w:styleId="HeaderOdd">
    <w:name w:val="Header Odd"/>
    <w:basedOn w:val="Normal"/>
    <w:uiPriority w:val="99"/>
    <w:semiHidden/>
    <w:rsid w:val="00FC7F0F"/>
    <w:pPr>
      <w:pBdr>
        <w:bottom w:val="single" w:sz="4" w:space="1" w:color="4F81BD"/>
      </w:pBdr>
      <w:jc w:val="right"/>
    </w:pPr>
    <w:rPr>
      <w:rFonts w:ascii="Calibri" w:hAnsi="Calibri"/>
      <w:b/>
      <w:color w:val="1F497D"/>
      <w:lang w:eastAsia="ko-KR"/>
    </w:rPr>
  </w:style>
  <w:style w:type="paragraph" w:customStyle="1" w:styleId="headergen">
    <w:name w:val="header_gen"/>
    <w:basedOn w:val="cropsoddpages"/>
    <w:uiPriority w:val="99"/>
    <w:rsid w:val="00FC7F0F"/>
    <w:pPr>
      <w:tabs>
        <w:tab w:val="clear" w:pos="-851"/>
        <w:tab w:val="clear" w:pos="4819"/>
        <w:tab w:val="clear" w:pos="7655"/>
        <w:tab w:val="right" w:pos="6521"/>
      </w:tabs>
      <w:spacing w:before="840" w:after="240"/>
      <w:ind w:right="0" w:firstLine="0"/>
    </w:pPr>
  </w:style>
  <w:style w:type="paragraph" w:customStyle="1" w:styleId="headeroddeven">
    <w:name w:val="header_odd/even"/>
    <w:basedOn w:val="headergen"/>
    <w:uiPriority w:val="99"/>
    <w:rsid w:val="00FC7F0F"/>
    <w:pPr>
      <w:spacing w:line="240" w:lineRule="auto"/>
    </w:pPr>
    <w:rPr>
      <w:rFonts w:ascii="Times New Roman" w:hAnsi="Times New Roman"/>
    </w:rPr>
  </w:style>
  <w:style w:type="character" w:customStyle="1" w:styleId="Heading4Char">
    <w:name w:val="Heading 4 Char"/>
    <w:aliases w:val="AGLC Heading Level 3 Char"/>
    <w:basedOn w:val="DefaultParagraphFont"/>
    <w:link w:val="Heading4"/>
    <w:uiPriority w:val="99"/>
    <w:rsid w:val="00FC7F0F"/>
    <w:rPr>
      <w:rFonts w:ascii="Times New Roman" w:eastAsia="Times New Roman" w:hAnsi="Times New Roman" w:cs="Times New Roman"/>
      <w:i/>
      <w:noProof/>
      <w:kern w:val="14"/>
      <w:sz w:val="20"/>
      <w:szCs w:val="20"/>
      <w:lang w:eastAsia="en-AU"/>
    </w:rPr>
  </w:style>
  <w:style w:type="character" w:customStyle="1" w:styleId="Heading5Char">
    <w:name w:val="Heading 5 Char"/>
    <w:aliases w:val="AGLC Heading Level 4 Char"/>
    <w:basedOn w:val="DefaultParagraphFont"/>
    <w:link w:val="Heading5"/>
    <w:uiPriority w:val="99"/>
    <w:rsid w:val="00FC7F0F"/>
    <w:rPr>
      <w:rFonts w:ascii="Times New Roman" w:eastAsia="Times New Roman" w:hAnsi="Times New Roman" w:cs="Times New Roman"/>
      <w:i/>
      <w:noProof/>
      <w:kern w:val="14"/>
      <w:sz w:val="20"/>
      <w:szCs w:val="20"/>
      <w:lang w:eastAsia="en-AU"/>
    </w:rPr>
  </w:style>
  <w:style w:type="character" w:customStyle="1" w:styleId="Heading7Char">
    <w:name w:val="Heading 7 Char"/>
    <w:basedOn w:val="DefaultParagraphFont"/>
    <w:link w:val="Heading7"/>
    <w:uiPriority w:val="99"/>
    <w:rsid w:val="00FC7F0F"/>
    <w:rPr>
      <w:rFonts w:ascii="Times New Roman" w:eastAsia="Times New Roman" w:hAnsi="Times New Roman" w:cs="Times New Roman"/>
      <w:i/>
      <w:noProof/>
      <w:kern w:val="14"/>
      <w:sz w:val="20"/>
      <w:szCs w:val="20"/>
      <w:lang w:eastAsia="en-AU"/>
    </w:rPr>
  </w:style>
  <w:style w:type="character" w:customStyle="1" w:styleId="Heading6Char">
    <w:name w:val="Heading 6 Char"/>
    <w:aliases w:val="AGLC Heading Level 5 Char"/>
    <w:basedOn w:val="DefaultParagraphFont"/>
    <w:link w:val="Heading6"/>
    <w:uiPriority w:val="99"/>
    <w:rsid w:val="00FC7F0F"/>
    <w:rPr>
      <w:rFonts w:ascii="Times New Roman" w:eastAsia="Times New Roman" w:hAnsi="Times New Roman" w:cs="Times New Roman"/>
      <w:i/>
      <w:noProof/>
      <w:kern w:val="14"/>
      <w:sz w:val="20"/>
      <w:szCs w:val="20"/>
      <w:lang w:eastAsia="en-AU"/>
    </w:rPr>
  </w:style>
  <w:style w:type="character" w:customStyle="1" w:styleId="Heading8Char">
    <w:name w:val="Heading 8 Char"/>
    <w:basedOn w:val="DefaultParagraphFont"/>
    <w:link w:val="Heading8"/>
    <w:uiPriority w:val="99"/>
    <w:rsid w:val="00FC7F0F"/>
    <w:rPr>
      <w:rFonts w:ascii="Times New Roman" w:hAnsi="Times New Roman"/>
      <w:i/>
      <w:kern w:val="14"/>
      <w:lang w:eastAsia="en-AU"/>
    </w:rPr>
  </w:style>
  <w:style w:type="character" w:customStyle="1" w:styleId="Heading9Char">
    <w:name w:val="Heading 9 Char"/>
    <w:basedOn w:val="DefaultParagraphFont"/>
    <w:link w:val="Heading9"/>
    <w:uiPriority w:val="99"/>
    <w:rsid w:val="00FC7F0F"/>
    <w:rPr>
      <w:rFonts w:ascii="Times New Roman" w:hAnsi="Times New Roman"/>
      <w:i/>
      <w:kern w:val="14"/>
      <w:lang w:eastAsia="en-AU"/>
    </w:rPr>
  </w:style>
  <w:style w:type="character" w:styleId="IntenseEmphasis">
    <w:name w:val="Intense Emphasis"/>
    <w:uiPriority w:val="99"/>
    <w:qFormat/>
    <w:rsid w:val="00FC7F0F"/>
    <w:rPr>
      <w:rFonts w:ascii="Calibri" w:hAnsi="Calibri" w:cs="Times New Roman"/>
      <w:b/>
      <w:color w:val="C0504D"/>
      <w:spacing w:val="10"/>
      <w:w w:val="100"/>
      <w:kern w:val="0"/>
      <w:position w:val="0"/>
      <w:sz w:val="23"/>
      <w:vertAlign w:val="baseline"/>
    </w:rPr>
  </w:style>
  <w:style w:type="character" w:styleId="IntenseReference">
    <w:name w:val="Intense Reference"/>
    <w:uiPriority w:val="99"/>
    <w:qFormat/>
    <w:rsid w:val="00FC7F0F"/>
    <w:rPr>
      <w:rFonts w:ascii="Calibri" w:hAnsi="Calibri" w:cs="Times New Roman"/>
      <w:b/>
      <w:caps/>
      <w:color w:val="4F81BD"/>
      <w:spacing w:val="10"/>
      <w:w w:val="100"/>
      <w:position w:val="0"/>
      <w:sz w:val="18"/>
      <w:u w:val="single" w:color="4F81BD"/>
    </w:rPr>
  </w:style>
  <w:style w:type="paragraph" w:customStyle="1" w:styleId="Legislation2">
    <w:name w:val="Legislation2"/>
    <w:basedOn w:val="Legislation1"/>
    <w:uiPriority w:val="99"/>
    <w:rsid w:val="00FC7F0F"/>
    <w:pPr>
      <w:tabs>
        <w:tab w:val="clear" w:pos="851"/>
        <w:tab w:val="clear" w:pos="993"/>
      </w:tabs>
      <w:spacing w:before="0"/>
      <w:ind w:left="1560"/>
    </w:pPr>
  </w:style>
  <w:style w:type="paragraph" w:customStyle="1" w:styleId="Legislation3">
    <w:name w:val="Legislation3"/>
    <w:basedOn w:val="Legislation1"/>
    <w:uiPriority w:val="99"/>
    <w:rsid w:val="00FC7F0F"/>
    <w:pPr>
      <w:tabs>
        <w:tab w:val="clear" w:pos="851"/>
        <w:tab w:val="clear" w:pos="993"/>
        <w:tab w:val="clear" w:pos="1418"/>
        <w:tab w:val="clear" w:pos="1560"/>
      </w:tabs>
      <w:spacing w:before="0"/>
      <w:ind w:left="2127"/>
    </w:pPr>
  </w:style>
  <w:style w:type="paragraph" w:customStyle="1" w:styleId="LightShading-Accent21">
    <w:name w:val="Light Shading - Accent 21"/>
    <w:basedOn w:val="Normal"/>
    <w:uiPriority w:val="99"/>
    <w:qFormat/>
    <w:rsid w:val="00FC7F0F"/>
    <w:pPr>
      <w:pBdr>
        <w:top w:val="double" w:sz="12" w:space="10" w:color="C0504D"/>
        <w:left w:val="double" w:sz="12" w:space="10" w:color="C0504D"/>
        <w:bottom w:val="double" w:sz="12" w:space="10" w:color="C0504D"/>
        <w:right w:val="double" w:sz="12" w:space="10" w:color="C0504D"/>
      </w:pBdr>
      <w:shd w:val="clear" w:color="auto" w:fill="FFFFFF"/>
      <w:spacing w:before="300" w:after="300" w:line="264" w:lineRule="auto"/>
      <w:ind w:left="720" w:right="720"/>
      <w:contextualSpacing/>
    </w:pPr>
    <w:rPr>
      <w:rFonts w:ascii="Calibri" w:hAnsi="Calibri"/>
      <w:b/>
      <w:color w:val="C0504D"/>
      <w:sz w:val="23"/>
      <w:lang w:eastAsia="ja-JP"/>
    </w:rPr>
  </w:style>
  <w:style w:type="paragraph" w:styleId="List">
    <w:name w:val="List"/>
    <w:basedOn w:val="Normal"/>
    <w:uiPriority w:val="99"/>
    <w:semiHidden/>
    <w:rsid w:val="00FC7F0F"/>
    <w:pPr>
      <w:spacing w:after="180" w:line="264" w:lineRule="auto"/>
      <w:ind w:left="360" w:hanging="360"/>
    </w:pPr>
    <w:rPr>
      <w:rFonts w:ascii="Calibri" w:hAnsi="Calibri"/>
      <w:sz w:val="23"/>
      <w:lang w:eastAsia="ja-JP"/>
    </w:rPr>
  </w:style>
  <w:style w:type="paragraph" w:styleId="List2">
    <w:name w:val="List 2"/>
    <w:basedOn w:val="Normal"/>
    <w:uiPriority w:val="99"/>
    <w:semiHidden/>
    <w:rsid w:val="00FC7F0F"/>
    <w:pPr>
      <w:spacing w:after="180" w:line="264" w:lineRule="auto"/>
      <w:ind w:left="720" w:hanging="360"/>
    </w:pPr>
    <w:rPr>
      <w:rFonts w:ascii="Calibri" w:hAnsi="Calibri"/>
      <w:sz w:val="23"/>
      <w:lang w:eastAsia="ja-JP"/>
    </w:rPr>
  </w:style>
  <w:style w:type="paragraph" w:styleId="ListBullet">
    <w:name w:val="List Bullet"/>
    <w:basedOn w:val="Normal"/>
    <w:uiPriority w:val="99"/>
    <w:rsid w:val="00FC7F0F"/>
    <w:pPr>
      <w:numPr>
        <w:numId w:val="21"/>
      </w:numPr>
      <w:spacing w:after="180" w:line="264" w:lineRule="auto"/>
    </w:pPr>
    <w:rPr>
      <w:rFonts w:ascii="Calibri" w:hAnsi="Calibri"/>
      <w:lang w:eastAsia="ja-JP"/>
    </w:rPr>
  </w:style>
  <w:style w:type="paragraph" w:styleId="ListBullet2">
    <w:name w:val="List Bullet 2"/>
    <w:basedOn w:val="Normal"/>
    <w:uiPriority w:val="99"/>
    <w:rsid w:val="00FC7F0F"/>
    <w:pPr>
      <w:spacing w:after="180" w:line="264" w:lineRule="auto"/>
      <w:ind w:left="720" w:hanging="360"/>
    </w:pPr>
    <w:rPr>
      <w:rFonts w:ascii="Calibri" w:hAnsi="Calibri"/>
      <w:color w:val="4F81BD"/>
      <w:sz w:val="23"/>
      <w:lang w:eastAsia="ja-JP"/>
    </w:rPr>
  </w:style>
  <w:style w:type="paragraph" w:styleId="ListBullet3">
    <w:name w:val="List Bullet 3"/>
    <w:basedOn w:val="Normal"/>
    <w:uiPriority w:val="99"/>
    <w:rsid w:val="00FC7F0F"/>
    <w:pPr>
      <w:spacing w:after="180" w:line="264" w:lineRule="auto"/>
      <w:ind w:left="864" w:hanging="360"/>
    </w:pPr>
    <w:rPr>
      <w:rFonts w:ascii="Calibri" w:hAnsi="Calibri"/>
      <w:color w:val="C0504D"/>
      <w:sz w:val="23"/>
      <w:lang w:eastAsia="ja-JP"/>
    </w:rPr>
  </w:style>
  <w:style w:type="paragraph" w:styleId="ListBullet4">
    <w:name w:val="List Bullet 4"/>
    <w:basedOn w:val="Normal"/>
    <w:uiPriority w:val="99"/>
    <w:rsid w:val="00FC7F0F"/>
    <w:pPr>
      <w:spacing w:after="180" w:line="264" w:lineRule="auto"/>
      <w:ind w:left="1440" w:hanging="360"/>
    </w:pPr>
    <w:rPr>
      <w:rFonts w:ascii="Calibri" w:hAnsi="Calibri"/>
      <w:caps/>
      <w:spacing w:val="4"/>
      <w:sz w:val="23"/>
      <w:lang w:eastAsia="ja-JP"/>
    </w:rPr>
  </w:style>
  <w:style w:type="paragraph" w:styleId="ListBullet5">
    <w:name w:val="List Bullet 5"/>
    <w:basedOn w:val="Normal"/>
    <w:uiPriority w:val="99"/>
    <w:rsid w:val="00FC7F0F"/>
    <w:pPr>
      <w:spacing w:after="180" w:line="264" w:lineRule="auto"/>
      <w:ind w:left="1584" w:hanging="360"/>
    </w:pPr>
    <w:rPr>
      <w:rFonts w:ascii="Calibri" w:hAnsi="Calibri"/>
      <w:sz w:val="23"/>
      <w:lang w:eastAsia="ja-JP"/>
    </w:rPr>
  </w:style>
  <w:style w:type="numbering" w:customStyle="1" w:styleId="MedianListStyle">
    <w:name w:val="Median List Style"/>
    <w:rsid w:val="00FC7F0F"/>
    <w:pPr>
      <w:numPr>
        <w:numId w:val="26"/>
      </w:numPr>
    </w:pPr>
  </w:style>
  <w:style w:type="table" w:styleId="MediumGrid2-Accent2">
    <w:name w:val="Medium Grid 2 Accent 2"/>
    <w:basedOn w:val="TableNormal"/>
    <w:uiPriority w:val="99"/>
    <w:rsid w:val="00FC7F0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Shading2-Accent2">
    <w:name w:val="Medium Shading 2 Accent 2"/>
    <w:basedOn w:val="TableNormal"/>
    <w:uiPriority w:val="99"/>
    <w:rsid w:val="00FC7F0F"/>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Spacing">
    <w:name w:val="No Spacing"/>
    <w:basedOn w:val="Normal"/>
    <w:uiPriority w:val="99"/>
    <w:qFormat/>
    <w:rsid w:val="00FC7F0F"/>
    <w:rPr>
      <w:rFonts w:ascii="Calibri" w:hAnsi="Calibri"/>
      <w:sz w:val="23"/>
      <w:lang w:eastAsia="ja-JP"/>
    </w:rPr>
  </w:style>
  <w:style w:type="paragraph" w:styleId="NormalWeb">
    <w:name w:val="Normal (Web)"/>
    <w:basedOn w:val="Normal"/>
    <w:uiPriority w:val="99"/>
    <w:rsid w:val="00FC7F0F"/>
    <w:pPr>
      <w:spacing w:before="100" w:beforeAutospacing="1" w:after="100" w:afterAutospacing="1"/>
      <w:ind w:firstLine="0"/>
    </w:pPr>
    <w:rPr>
      <w:kern w:val="0"/>
      <w:lang w:val="en-US"/>
    </w:rPr>
  </w:style>
  <w:style w:type="paragraph" w:customStyle="1" w:styleId="NormalLeft">
    <w:name w:val="Normal Left"/>
    <w:basedOn w:val="Normal"/>
    <w:uiPriority w:val="99"/>
    <w:rsid w:val="00FC7F0F"/>
    <w:pPr>
      <w:ind w:firstLine="0"/>
    </w:pPr>
  </w:style>
  <w:style w:type="paragraph" w:customStyle="1" w:styleId="NormalBullet">
    <w:name w:val="Normal Bullet"/>
    <w:basedOn w:val="NormalLeft"/>
    <w:uiPriority w:val="99"/>
    <w:rsid w:val="00FC7F0F"/>
    <w:pPr>
      <w:spacing w:before="40" w:after="60"/>
      <w:ind w:left="459" w:hanging="289"/>
    </w:pPr>
  </w:style>
  <w:style w:type="paragraph" w:customStyle="1" w:styleId="NormalIndentIndent">
    <w:name w:val="Normal Indent Indent"/>
    <w:basedOn w:val="NormalIndent"/>
    <w:next w:val="NormalIndent"/>
    <w:uiPriority w:val="99"/>
    <w:rsid w:val="00FC7F0F"/>
    <w:pPr>
      <w:spacing w:after="120"/>
      <w:ind w:left="852" w:firstLine="0"/>
    </w:pPr>
    <w:rPr>
      <w:sz w:val="18"/>
    </w:rPr>
  </w:style>
  <w:style w:type="paragraph" w:customStyle="1" w:styleId="NormalNumbered">
    <w:name w:val="Normal Numbered"/>
    <w:basedOn w:val="NormalBullet"/>
    <w:uiPriority w:val="99"/>
    <w:rsid w:val="00FC7F0F"/>
    <w:pPr>
      <w:ind w:left="454" w:hanging="284"/>
    </w:pPr>
  </w:style>
  <w:style w:type="paragraph" w:customStyle="1" w:styleId="Numberedpara">
    <w:name w:val="Numberedpara"/>
    <w:uiPriority w:val="99"/>
    <w:rsid w:val="00FC7F0F"/>
    <w:pPr>
      <w:numPr>
        <w:numId w:val="27"/>
      </w:numPr>
      <w:spacing w:after="180" w:line="264" w:lineRule="auto"/>
      <w:jc w:val="both"/>
    </w:pPr>
    <w:rPr>
      <w:rFonts w:ascii="Tw Cen MT" w:hAnsi="Tw Cen MT"/>
      <w:sz w:val="23"/>
      <w:lang w:eastAsia="ja-JP"/>
    </w:rPr>
  </w:style>
  <w:style w:type="character" w:styleId="PageNumber">
    <w:name w:val="page number"/>
    <w:uiPriority w:val="99"/>
    <w:rsid w:val="00FC7F0F"/>
    <w:rPr>
      <w:rFonts w:cs="Times New Roman"/>
    </w:rPr>
  </w:style>
  <w:style w:type="paragraph" w:customStyle="1" w:styleId="Run-OnNormal">
    <w:name w:val="Run-On Normal"/>
    <w:basedOn w:val="Normal"/>
    <w:next w:val="Normal"/>
    <w:uiPriority w:val="99"/>
    <w:rsid w:val="00FC7F0F"/>
    <w:pPr>
      <w:ind w:firstLine="0"/>
    </w:pPr>
  </w:style>
  <w:style w:type="paragraph" w:customStyle="1" w:styleId="Script">
    <w:name w:val="Script"/>
    <w:basedOn w:val="Normal"/>
    <w:uiPriority w:val="99"/>
    <w:rsid w:val="00FC7F0F"/>
    <w:pPr>
      <w:tabs>
        <w:tab w:val="left" w:pos="1702"/>
      </w:tabs>
      <w:spacing w:before="48"/>
      <w:ind w:left="426" w:firstLine="0"/>
    </w:pPr>
  </w:style>
  <w:style w:type="paragraph" w:customStyle="1" w:styleId="ScriptBullet">
    <w:name w:val="ScriptBullet"/>
    <w:basedOn w:val="Script"/>
    <w:uiPriority w:val="99"/>
    <w:rsid w:val="00FC7F0F"/>
    <w:pPr>
      <w:ind w:left="786" w:hanging="360"/>
    </w:pPr>
  </w:style>
  <w:style w:type="paragraph" w:customStyle="1" w:styleId="ScriptName">
    <w:name w:val="ScriptName"/>
    <w:basedOn w:val="Script"/>
    <w:uiPriority w:val="99"/>
    <w:rsid w:val="00FC7F0F"/>
    <w:pPr>
      <w:spacing w:before="96"/>
      <w:ind w:left="0"/>
    </w:pPr>
    <w:rPr>
      <w:b/>
    </w:rPr>
  </w:style>
  <w:style w:type="paragraph" w:customStyle="1" w:styleId="ScriptQuote">
    <w:name w:val="ScriptQuote"/>
    <w:basedOn w:val="Script"/>
    <w:uiPriority w:val="99"/>
    <w:rsid w:val="00FC7F0F"/>
    <w:pPr>
      <w:ind w:left="1702" w:hanging="11"/>
    </w:pPr>
  </w:style>
  <w:style w:type="paragraph" w:customStyle="1" w:styleId="Separator">
    <w:name w:val="Separator"/>
    <w:basedOn w:val="NormalIndent"/>
    <w:uiPriority w:val="99"/>
    <w:rsid w:val="00FC7F0F"/>
    <w:pPr>
      <w:pBdr>
        <w:bottom w:val="single" w:sz="6" w:space="1" w:color="auto"/>
      </w:pBdr>
      <w:spacing w:after="120" w:line="120" w:lineRule="exact"/>
      <w:ind w:left="1134" w:right="1134" w:firstLine="0"/>
      <w:jc w:val="center"/>
    </w:pPr>
    <w:rPr>
      <w:sz w:val="12"/>
    </w:rPr>
  </w:style>
  <w:style w:type="character" w:styleId="Strong">
    <w:name w:val="Strong"/>
    <w:uiPriority w:val="99"/>
    <w:qFormat/>
    <w:rsid w:val="00FC7F0F"/>
    <w:rPr>
      <w:rFonts w:ascii="Calibri" w:hAnsi="Calibri" w:cs="Times New Roman"/>
      <w:b/>
      <w:color w:val="C0504D"/>
    </w:rPr>
  </w:style>
  <w:style w:type="paragraph" w:styleId="Subtitle">
    <w:name w:val="Subtitle"/>
    <w:basedOn w:val="Normal"/>
    <w:link w:val="SubtitleChar"/>
    <w:uiPriority w:val="99"/>
    <w:qFormat/>
    <w:rsid w:val="00FC7F0F"/>
    <w:pPr>
      <w:spacing w:after="720"/>
      <w:ind w:firstLine="0"/>
    </w:pPr>
    <w:rPr>
      <w:rFonts w:ascii="Cambria" w:hAnsi="Cambria"/>
      <w:b/>
      <w:caps/>
      <w:color w:val="C0504D"/>
      <w:spacing w:val="50"/>
      <w:kern w:val="0"/>
      <w:sz w:val="22"/>
      <w:szCs w:val="22"/>
      <w:lang w:val="en-US" w:eastAsia="ja-JP"/>
    </w:rPr>
  </w:style>
  <w:style w:type="character" w:customStyle="1" w:styleId="SubtitleChar">
    <w:name w:val="Subtitle Char"/>
    <w:basedOn w:val="DefaultParagraphFont"/>
    <w:link w:val="Subtitle"/>
    <w:uiPriority w:val="99"/>
    <w:rsid w:val="00FC7F0F"/>
    <w:rPr>
      <w:rFonts w:ascii="Cambria" w:eastAsia="Times New Roman" w:hAnsi="Cambria" w:cs="Times New Roman"/>
      <w:b/>
      <w:caps/>
      <w:color w:val="C0504D"/>
      <w:spacing w:val="50"/>
      <w:sz w:val="22"/>
      <w:szCs w:val="22"/>
      <w:lang w:val="en-US" w:eastAsia="ja-JP"/>
    </w:rPr>
  </w:style>
  <w:style w:type="character" w:styleId="SubtleEmphasis">
    <w:name w:val="Subtle Emphasis"/>
    <w:uiPriority w:val="99"/>
    <w:qFormat/>
    <w:rsid w:val="00FC7F0F"/>
    <w:rPr>
      <w:rFonts w:ascii="Calibri" w:hAnsi="Calibri" w:cs="Times New Roman"/>
      <w:i/>
      <w:sz w:val="23"/>
    </w:rPr>
  </w:style>
  <w:style w:type="character" w:styleId="SubtleReference">
    <w:name w:val="Subtle Reference"/>
    <w:uiPriority w:val="99"/>
    <w:qFormat/>
    <w:rsid w:val="00FC7F0F"/>
    <w:rPr>
      <w:rFonts w:ascii="Calibri" w:hAnsi="Calibri" w:cs="Times New Roman"/>
      <w:b/>
      <w:i/>
      <w:color w:val="1F497D"/>
      <w:sz w:val="23"/>
    </w:rPr>
  </w:style>
  <w:style w:type="paragraph" w:customStyle="1" w:styleId="TableColumn1">
    <w:name w:val="Table Column 1"/>
    <w:basedOn w:val="Normal"/>
    <w:uiPriority w:val="99"/>
    <w:rsid w:val="00FC7F0F"/>
    <w:pPr>
      <w:spacing w:before="60" w:after="60"/>
      <w:ind w:firstLine="0"/>
      <w:jc w:val="left"/>
    </w:pPr>
    <w:rPr>
      <w:b/>
    </w:rPr>
  </w:style>
  <w:style w:type="table" w:styleId="TableGrid">
    <w:name w:val="Table Grid"/>
    <w:basedOn w:val="TableNormal"/>
    <w:uiPriority w:val="99"/>
    <w:rsid w:val="00FC7F0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C7F0F"/>
    <w:pPr>
      <w:spacing w:before="120" w:after="120"/>
      <w:jc w:val="center"/>
    </w:pPr>
    <w:rPr>
      <w:b/>
    </w:rPr>
  </w:style>
  <w:style w:type="paragraph" w:styleId="TableofAuthorities">
    <w:name w:val="table of authorities"/>
    <w:basedOn w:val="Normal"/>
    <w:next w:val="Normal"/>
    <w:uiPriority w:val="99"/>
    <w:semiHidden/>
    <w:rsid w:val="00FC7F0F"/>
    <w:pPr>
      <w:spacing w:after="180" w:line="264" w:lineRule="auto"/>
      <w:ind w:left="220" w:hanging="220"/>
    </w:pPr>
    <w:rPr>
      <w:rFonts w:ascii="Calibri" w:hAnsi="Calibri"/>
      <w:kern w:val="0"/>
      <w:sz w:val="23"/>
      <w:lang w:val="en-US" w:eastAsia="ja-JP"/>
    </w:rPr>
  </w:style>
  <w:style w:type="paragraph" w:customStyle="1" w:styleId="TableRow1Col1Heading">
    <w:name w:val="Table Row 1 Col 1 Heading"/>
    <w:basedOn w:val="Normal"/>
    <w:uiPriority w:val="99"/>
    <w:rsid w:val="00FC7F0F"/>
    <w:pPr>
      <w:spacing w:before="60" w:afterLines="60"/>
      <w:ind w:firstLine="0"/>
      <w:jc w:val="left"/>
    </w:pPr>
    <w:rPr>
      <w:b/>
    </w:rPr>
  </w:style>
  <w:style w:type="paragraph" w:customStyle="1" w:styleId="TableRow1Heading">
    <w:name w:val="Table Row 1 Heading"/>
    <w:basedOn w:val="Normal"/>
    <w:uiPriority w:val="99"/>
    <w:rsid w:val="00FC7F0F"/>
    <w:pPr>
      <w:spacing w:before="60" w:afterLines="60"/>
      <w:ind w:firstLine="0"/>
      <w:jc w:val="center"/>
    </w:pPr>
    <w:rPr>
      <w:b/>
    </w:rPr>
  </w:style>
  <w:style w:type="paragraph" w:customStyle="1" w:styleId="TableText">
    <w:name w:val="Table Text"/>
    <w:basedOn w:val="Normal"/>
    <w:uiPriority w:val="99"/>
    <w:rsid w:val="00FC7F0F"/>
    <w:pPr>
      <w:spacing w:before="60" w:after="60"/>
      <w:ind w:firstLine="0"/>
      <w:jc w:val="center"/>
    </w:pPr>
  </w:style>
  <w:style w:type="paragraph" w:styleId="TOC1">
    <w:name w:val="toc 1"/>
    <w:basedOn w:val="Normal"/>
    <w:next w:val="Normal"/>
    <w:autoRedefine/>
    <w:uiPriority w:val="99"/>
    <w:rsid w:val="00FC7F0F"/>
    <w:pPr>
      <w:spacing w:before="100" w:after="100"/>
      <w:ind w:firstLine="0"/>
      <w:jc w:val="center"/>
    </w:pPr>
    <w:rPr>
      <w:smallCaps/>
    </w:rPr>
  </w:style>
  <w:style w:type="paragraph" w:styleId="TOC2">
    <w:name w:val="toc 2"/>
    <w:basedOn w:val="Normal"/>
    <w:next w:val="Normal"/>
    <w:uiPriority w:val="39"/>
    <w:rsid w:val="00FC7F0F"/>
    <w:pPr>
      <w:tabs>
        <w:tab w:val="left" w:pos="426"/>
        <w:tab w:val="left" w:pos="600"/>
        <w:tab w:val="right" w:leader="dot" w:pos="6521"/>
      </w:tabs>
      <w:ind w:left="425" w:right="425" w:hanging="425"/>
      <w:jc w:val="left"/>
    </w:pPr>
    <w:rPr>
      <w:sz w:val="18"/>
    </w:rPr>
  </w:style>
  <w:style w:type="paragraph" w:styleId="TOC3">
    <w:name w:val="toc 3"/>
    <w:basedOn w:val="Normal"/>
    <w:next w:val="Normal"/>
    <w:uiPriority w:val="39"/>
    <w:rsid w:val="00FC7F0F"/>
    <w:pPr>
      <w:tabs>
        <w:tab w:val="left" w:pos="993"/>
        <w:tab w:val="right" w:leader="dot" w:pos="6521"/>
      </w:tabs>
      <w:ind w:left="993" w:right="424" w:hanging="284"/>
      <w:jc w:val="left"/>
    </w:pPr>
    <w:rPr>
      <w:sz w:val="18"/>
    </w:rPr>
  </w:style>
  <w:style w:type="paragraph" w:styleId="TOC4">
    <w:name w:val="toc 4"/>
    <w:basedOn w:val="Normal"/>
    <w:next w:val="Normal"/>
    <w:autoRedefine/>
    <w:uiPriority w:val="99"/>
    <w:rsid w:val="00FC7F0F"/>
    <w:pPr>
      <w:tabs>
        <w:tab w:val="left" w:pos="1560"/>
        <w:tab w:val="right" w:leader="dot" w:pos="6521"/>
      </w:tabs>
      <w:ind w:left="1560" w:right="424" w:hanging="284"/>
      <w:jc w:val="left"/>
    </w:pPr>
    <w:rPr>
      <w:sz w:val="18"/>
    </w:rPr>
  </w:style>
  <w:style w:type="paragraph" w:styleId="TOC5">
    <w:name w:val="toc 5"/>
    <w:basedOn w:val="Normal"/>
    <w:next w:val="Normal"/>
    <w:autoRedefine/>
    <w:uiPriority w:val="99"/>
    <w:rsid w:val="00FC7F0F"/>
    <w:pPr>
      <w:tabs>
        <w:tab w:val="left" w:pos="2127"/>
        <w:tab w:val="right" w:leader="dot" w:pos="6521"/>
      </w:tabs>
      <w:ind w:left="2127" w:right="424" w:hanging="284"/>
      <w:jc w:val="left"/>
    </w:pPr>
    <w:rPr>
      <w:sz w:val="18"/>
    </w:rPr>
  </w:style>
  <w:style w:type="paragraph" w:styleId="TOC6">
    <w:name w:val="toc 6"/>
    <w:basedOn w:val="Normal"/>
    <w:next w:val="Normal"/>
    <w:autoRedefine/>
    <w:uiPriority w:val="99"/>
    <w:rsid w:val="00FC7F0F"/>
    <w:pPr>
      <w:tabs>
        <w:tab w:val="left" w:pos="2694"/>
        <w:tab w:val="right" w:leader="dot" w:pos="6521"/>
      </w:tabs>
      <w:ind w:left="2694" w:right="424" w:hanging="284"/>
      <w:jc w:val="left"/>
    </w:pPr>
    <w:rPr>
      <w:sz w:val="18"/>
    </w:rPr>
  </w:style>
  <w:style w:type="paragraph" w:styleId="TOC7">
    <w:name w:val="toc 7"/>
    <w:basedOn w:val="Normal"/>
    <w:next w:val="Normal"/>
    <w:autoRedefine/>
    <w:uiPriority w:val="99"/>
    <w:semiHidden/>
    <w:rsid w:val="00FC7F0F"/>
    <w:pPr>
      <w:tabs>
        <w:tab w:val="right" w:leader="dot" w:pos="8630"/>
      </w:tabs>
      <w:spacing w:after="40"/>
      <w:ind w:left="864" w:firstLine="0"/>
    </w:pPr>
    <w:rPr>
      <w:rFonts w:ascii="Calibri" w:hAnsi="Calibri"/>
      <w:kern w:val="0"/>
      <w:sz w:val="23"/>
      <w:lang w:val="en-US" w:eastAsia="ja-JP"/>
    </w:rPr>
  </w:style>
  <w:style w:type="paragraph" w:styleId="TOC8">
    <w:name w:val="toc 8"/>
    <w:basedOn w:val="Normal"/>
    <w:next w:val="Normal"/>
    <w:autoRedefine/>
    <w:uiPriority w:val="99"/>
    <w:semiHidden/>
    <w:rsid w:val="00FC7F0F"/>
    <w:pPr>
      <w:tabs>
        <w:tab w:val="right" w:leader="dot" w:pos="8630"/>
      </w:tabs>
      <w:spacing w:after="40"/>
      <w:ind w:left="1008" w:firstLine="0"/>
    </w:pPr>
    <w:rPr>
      <w:rFonts w:ascii="Calibri" w:hAnsi="Calibri"/>
      <w:kern w:val="0"/>
      <w:sz w:val="23"/>
      <w:lang w:val="en-US" w:eastAsia="ja-JP"/>
    </w:rPr>
  </w:style>
  <w:style w:type="paragraph" w:styleId="TOC9">
    <w:name w:val="toc 9"/>
    <w:basedOn w:val="Normal"/>
    <w:next w:val="Normal"/>
    <w:autoRedefine/>
    <w:uiPriority w:val="99"/>
    <w:semiHidden/>
    <w:rsid w:val="00FC7F0F"/>
    <w:pPr>
      <w:tabs>
        <w:tab w:val="right" w:leader="dot" w:pos="8630"/>
      </w:tabs>
      <w:spacing w:after="40"/>
      <w:ind w:left="1152" w:firstLine="0"/>
    </w:pPr>
    <w:rPr>
      <w:rFonts w:ascii="Calibri" w:hAnsi="Calibri"/>
      <w:kern w:val="0"/>
      <w:sz w:val="23"/>
      <w:lang w:val="en-US" w:eastAsia="ja-JP"/>
    </w:rPr>
  </w:style>
  <w:style w:type="character" w:customStyle="1" w:styleId="legds">
    <w:name w:val="legds"/>
    <w:basedOn w:val="DefaultParagraphFont"/>
    <w:rsid w:val="00A656B0"/>
  </w:style>
  <w:style w:type="paragraph" w:customStyle="1" w:styleId="Bullet">
    <w:name w:val="Bullet"/>
    <w:basedOn w:val="Normal"/>
    <w:link w:val="BulletChar"/>
    <w:rsid w:val="001A5EA7"/>
    <w:pPr>
      <w:numPr>
        <w:numId w:val="31"/>
      </w:numPr>
      <w:spacing w:after="240" w:line="280" w:lineRule="exact"/>
      <w:ind w:left="1134" w:hanging="567"/>
    </w:pPr>
    <w:rPr>
      <w:rFonts w:asciiTheme="minorHAnsi" w:hAnsiTheme="minorHAnsi"/>
      <w:color w:val="000000"/>
      <w:kern w:val="0"/>
      <w:sz w:val="22"/>
      <w:lang w:eastAsia="en-AU"/>
    </w:rPr>
  </w:style>
  <w:style w:type="paragraph" w:customStyle="1" w:styleId="Dash">
    <w:name w:val="Dash"/>
    <w:basedOn w:val="Normal"/>
    <w:rsid w:val="001A5EA7"/>
    <w:pPr>
      <w:numPr>
        <w:ilvl w:val="1"/>
        <w:numId w:val="31"/>
      </w:numPr>
      <w:spacing w:after="240" w:line="280" w:lineRule="exact"/>
      <w:ind w:left="1361" w:hanging="397"/>
    </w:pPr>
    <w:rPr>
      <w:rFonts w:asciiTheme="minorHAnsi" w:hAnsiTheme="minorHAnsi"/>
      <w:color w:val="000000"/>
      <w:kern w:val="0"/>
      <w:sz w:val="22"/>
      <w:lang w:eastAsia="en-AU"/>
    </w:rPr>
  </w:style>
  <w:style w:type="paragraph" w:customStyle="1" w:styleId="DoubleDot">
    <w:name w:val="Double Dot"/>
    <w:basedOn w:val="Normal"/>
    <w:rsid w:val="001A5EA7"/>
    <w:pPr>
      <w:numPr>
        <w:ilvl w:val="2"/>
        <w:numId w:val="31"/>
      </w:numPr>
      <w:spacing w:after="240" w:line="280" w:lineRule="exact"/>
      <w:ind w:left="1758" w:hanging="397"/>
    </w:pPr>
    <w:rPr>
      <w:rFonts w:asciiTheme="minorHAnsi" w:hAnsiTheme="minorHAnsi"/>
      <w:color w:val="000000"/>
      <w:kern w:val="0"/>
      <w:sz w:val="22"/>
      <w:lang w:eastAsia="en-AU"/>
    </w:rPr>
  </w:style>
  <w:style w:type="character" w:customStyle="1" w:styleId="BulletChar">
    <w:name w:val="Bullet Char"/>
    <w:basedOn w:val="DefaultParagraphFont"/>
    <w:link w:val="Bullet"/>
    <w:locked/>
    <w:rsid w:val="001A5EA7"/>
    <w:rPr>
      <w:rFonts w:asciiTheme="minorHAnsi" w:hAnsiTheme="minorHAnsi"/>
      <w:color w:val="000000"/>
      <w:sz w:val="22"/>
      <w:lang w:eastAsia="en-AU"/>
    </w:rPr>
  </w:style>
</w:styles>
</file>

<file path=word/webSettings.xml><?xml version="1.0" encoding="utf-8"?>
<w:webSettings xmlns:r="http://schemas.openxmlformats.org/officeDocument/2006/relationships" xmlns:w="http://schemas.openxmlformats.org/wordprocessingml/2006/main">
  <w:divs>
    <w:div w:id="36592890">
      <w:bodyDiv w:val="1"/>
      <w:marLeft w:val="0"/>
      <w:marRight w:val="0"/>
      <w:marTop w:val="0"/>
      <w:marBottom w:val="0"/>
      <w:divBdr>
        <w:top w:val="none" w:sz="0" w:space="0" w:color="auto"/>
        <w:left w:val="none" w:sz="0" w:space="0" w:color="auto"/>
        <w:bottom w:val="none" w:sz="0" w:space="0" w:color="auto"/>
        <w:right w:val="none" w:sz="0" w:space="0" w:color="auto"/>
      </w:divBdr>
    </w:div>
    <w:div w:id="167526718">
      <w:bodyDiv w:val="1"/>
      <w:marLeft w:val="0"/>
      <w:marRight w:val="0"/>
      <w:marTop w:val="0"/>
      <w:marBottom w:val="0"/>
      <w:divBdr>
        <w:top w:val="none" w:sz="0" w:space="0" w:color="auto"/>
        <w:left w:val="none" w:sz="0" w:space="0" w:color="auto"/>
        <w:bottom w:val="none" w:sz="0" w:space="0" w:color="auto"/>
        <w:right w:val="none" w:sz="0" w:space="0" w:color="auto"/>
      </w:divBdr>
    </w:div>
    <w:div w:id="234323514">
      <w:bodyDiv w:val="1"/>
      <w:marLeft w:val="0"/>
      <w:marRight w:val="0"/>
      <w:marTop w:val="0"/>
      <w:marBottom w:val="0"/>
      <w:divBdr>
        <w:top w:val="none" w:sz="0" w:space="0" w:color="auto"/>
        <w:left w:val="none" w:sz="0" w:space="0" w:color="auto"/>
        <w:bottom w:val="none" w:sz="0" w:space="0" w:color="auto"/>
        <w:right w:val="none" w:sz="0" w:space="0" w:color="auto"/>
      </w:divBdr>
    </w:div>
    <w:div w:id="419299401">
      <w:bodyDiv w:val="1"/>
      <w:marLeft w:val="0"/>
      <w:marRight w:val="0"/>
      <w:marTop w:val="0"/>
      <w:marBottom w:val="0"/>
      <w:divBdr>
        <w:top w:val="none" w:sz="0" w:space="0" w:color="auto"/>
        <w:left w:val="none" w:sz="0" w:space="0" w:color="auto"/>
        <w:bottom w:val="none" w:sz="0" w:space="0" w:color="auto"/>
        <w:right w:val="none" w:sz="0" w:space="0" w:color="auto"/>
      </w:divBdr>
    </w:div>
    <w:div w:id="449738143">
      <w:bodyDiv w:val="1"/>
      <w:marLeft w:val="0"/>
      <w:marRight w:val="0"/>
      <w:marTop w:val="0"/>
      <w:marBottom w:val="0"/>
      <w:divBdr>
        <w:top w:val="none" w:sz="0" w:space="0" w:color="auto"/>
        <w:left w:val="none" w:sz="0" w:space="0" w:color="auto"/>
        <w:bottom w:val="none" w:sz="0" w:space="0" w:color="auto"/>
        <w:right w:val="none" w:sz="0" w:space="0" w:color="auto"/>
      </w:divBdr>
      <w:divsChild>
        <w:div w:id="1856842801">
          <w:marLeft w:val="720"/>
          <w:marRight w:val="0"/>
          <w:marTop w:val="0"/>
          <w:marBottom w:val="0"/>
          <w:divBdr>
            <w:top w:val="none" w:sz="0" w:space="0" w:color="auto"/>
            <w:left w:val="none" w:sz="0" w:space="0" w:color="auto"/>
            <w:bottom w:val="none" w:sz="0" w:space="0" w:color="auto"/>
            <w:right w:val="none" w:sz="0" w:space="0" w:color="auto"/>
          </w:divBdr>
        </w:div>
        <w:div w:id="1943880492">
          <w:marLeft w:val="720"/>
          <w:marRight w:val="0"/>
          <w:marTop w:val="0"/>
          <w:marBottom w:val="0"/>
          <w:divBdr>
            <w:top w:val="none" w:sz="0" w:space="0" w:color="auto"/>
            <w:left w:val="none" w:sz="0" w:space="0" w:color="auto"/>
            <w:bottom w:val="none" w:sz="0" w:space="0" w:color="auto"/>
            <w:right w:val="none" w:sz="0" w:space="0" w:color="auto"/>
          </w:divBdr>
        </w:div>
        <w:div w:id="267390117">
          <w:marLeft w:val="720"/>
          <w:marRight w:val="0"/>
          <w:marTop w:val="0"/>
          <w:marBottom w:val="0"/>
          <w:divBdr>
            <w:top w:val="none" w:sz="0" w:space="0" w:color="auto"/>
            <w:left w:val="none" w:sz="0" w:space="0" w:color="auto"/>
            <w:bottom w:val="none" w:sz="0" w:space="0" w:color="auto"/>
            <w:right w:val="none" w:sz="0" w:space="0" w:color="auto"/>
          </w:divBdr>
        </w:div>
        <w:div w:id="693726513">
          <w:marLeft w:val="720"/>
          <w:marRight w:val="0"/>
          <w:marTop w:val="0"/>
          <w:marBottom w:val="0"/>
          <w:divBdr>
            <w:top w:val="none" w:sz="0" w:space="0" w:color="auto"/>
            <w:left w:val="none" w:sz="0" w:space="0" w:color="auto"/>
            <w:bottom w:val="none" w:sz="0" w:space="0" w:color="auto"/>
            <w:right w:val="none" w:sz="0" w:space="0" w:color="auto"/>
          </w:divBdr>
        </w:div>
        <w:div w:id="591083235">
          <w:marLeft w:val="720"/>
          <w:marRight w:val="0"/>
          <w:marTop w:val="0"/>
          <w:marBottom w:val="0"/>
          <w:divBdr>
            <w:top w:val="none" w:sz="0" w:space="0" w:color="auto"/>
            <w:left w:val="none" w:sz="0" w:space="0" w:color="auto"/>
            <w:bottom w:val="none" w:sz="0" w:space="0" w:color="auto"/>
            <w:right w:val="none" w:sz="0" w:space="0" w:color="auto"/>
          </w:divBdr>
        </w:div>
        <w:div w:id="985822002">
          <w:marLeft w:val="720"/>
          <w:marRight w:val="0"/>
          <w:marTop w:val="0"/>
          <w:marBottom w:val="0"/>
          <w:divBdr>
            <w:top w:val="none" w:sz="0" w:space="0" w:color="auto"/>
            <w:left w:val="none" w:sz="0" w:space="0" w:color="auto"/>
            <w:bottom w:val="none" w:sz="0" w:space="0" w:color="auto"/>
            <w:right w:val="none" w:sz="0" w:space="0" w:color="auto"/>
          </w:divBdr>
        </w:div>
        <w:div w:id="1592275625">
          <w:marLeft w:val="720"/>
          <w:marRight w:val="0"/>
          <w:marTop w:val="0"/>
          <w:marBottom w:val="0"/>
          <w:divBdr>
            <w:top w:val="none" w:sz="0" w:space="0" w:color="auto"/>
            <w:left w:val="none" w:sz="0" w:space="0" w:color="auto"/>
            <w:bottom w:val="none" w:sz="0" w:space="0" w:color="auto"/>
            <w:right w:val="none" w:sz="0" w:space="0" w:color="auto"/>
          </w:divBdr>
        </w:div>
        <w:div w:id="189343627">
          <w:marLeft w:val="720"/>
          <w:marRight w:val="0"/>
          <w:marTop w:val="0"/>
          <w:marBottom w:val="0"/>
          <w:divBdr>
            <w:top w:val="none" w:sz="0" w:space="0" w:color="auto"/>
            <w:left w:val="none" w:sz="0" w:space="0" w:color="auto"/>
            <w:bottom w:val="none" w:sz="0" w:space="0" w:color="auto"/>
            <w:right w:val="none" w:sz="0" w:space="0" w:color="auto"/>
          </w:divBdr>
        </w:div>
        <w:div w:id="324749995">
          <w:marLeft w:val="720"/>
          <w:marRight w:val="0"/>
          <w:marTop w:val="0"/>
          <w:marBottom w:val="0"/>
          <w:divBdr>
            <w:top w:val="none" w:sz="0" w:space="0" w:color="auto"/>
            <w:left w:val="none" w:sz="0" w:space="0" w:color="auto"/>
            <w:bottom w:val="none" w:sz="0" w:space="0" w:color="auto"/>
            <w:right w:val="none" w:sz="0" w:space="0" w:color="auto"/>
          </w:divBdr>
        </w:div>
        <w:div w:id="396366686">
          <w:marLeft w:val="720"/>
          <w:marRight w:val="0"/>
          <w:marTop w:val="0"/>
          <w:marBottom w:val="0"/>
          <w:divBdr>
            <w:top w:val="none" w:sz="0" w:space="0" w:color="auto"/>
            <w:left w:val="none" w:sz="0" w:space="0" w:color="auto"/>
            <w:bottom w:val="none" w:sz="0" w:space="0" w:color="auto"/>
            <w:right w:val="none" w:sz="0" w:space="0" w:color="auto"/>
          </w:divBdr>
        </w:div>
      </w:divsChild>
    </w:div>
    <w:div w:id="542904241">
      <w:bodyDiv w:val="1"/>
      <w:marLeft w:val="0"/>
      <w:marRight w:val="0"/>
      <w:marTop w:val="0"/>
      <w:marBottom w:val="0"/>
      <w:divBdr>
        <w:top w:val="none" w:sz="0" w:space="0" w:color="auto"/>
        <w:left w:val="none" w:sz="0" w:space="0" w:color="auto"/>
        <w:bottom w:val="none" w:sz="0" w:space="0" w:color="auto"/>
        <w:right w:val="none" w:sz="0" w:space="0" w:color="auto"/>
      </w:divBdr>
    </w:div>
    <w:div w:id="698892710">
      <w:bodyDiv w:val="1"/>
      <w:marLeft w:val="0"/>
      <w:marRight w:val="0"/>
      <w:marTop w:val="0"/>
      <w:marBottom w:val="0"/>
      <w:divBdr>
        <w:top w:val="none" w:sz="0" w:space="0" w:color="auto"/>
        <w:left w:val="none" w:sz="0" w:space="0" w:color="auto"/>
        <w:bottom w:val="none" w:sz="0" w:space="0" w:color="auto"/>
        <w:right w:val="none" w:sz="0" w:space="0" w:color="auto"/>
      </w:divBdr>
      <w:divsChild>
        <w:div w:id="2137403952">
          <w:marLeft w:val="360"/>
          <w:marRight w:val="0"/>
          <w:marTop w:val="0"/>
          <w:marBottom w:val="0"/>
          <w:divBdr>
            <w:top w:val="none" w:sz="0" w:space="0" w:color="auto"/>
            <w:left w:val="none" w:sz="0" w:space="0" w:color="auto"/>
            <w:bottom w:val="none" w:sz="0" w:space="0" w:color="auto"/>
            <w:right w:val="none" w:sz="0" w:space="0" w:color="auto"/>
          </w:divBdr>
        </w:div>
        <w:div w:id="1900287479">
          <w:marLeft w:val="360"/>
          <w:marRight w:val="0"/>
          <w:marTop w:val="0"/>
          <w:marBottom w:val="0"/>
          <w:divBdr>
            <w:top w:val="none" w:sz="0" w:space="0" w:color="auto"/>
            <w:left w:val="none" w:sz="0" w:space="0" w:color="auto"/>
            <w:bottom w:val="none" w:sz="0" w:space="0" w:color="auto"/>
            <w:right w:val="none" w:sz="0" w:space="0" w:color="auto"/>
          </w:divBdr>
        </w:div>
        <w:div w:id="918633001">
          <w:marLeft w:val="360"/>
          <w:marRight w:val="0"/>
          <w:marTop w:val="0"/>
          <w:marBottom w:val="0"/>
          <w:divBdr>
            <w:top w:val="none" w:sz="0" w:space="0" w:color="auto"/>
            <w:left w:val="none" w:sz="0" w:space="0" w:color="auto"/>
            <w:bottom w:val="none" w:sz="0" w:space="0" w:color="auto"/>
            <w:right w:val="none" w:sz="0" w:space="0" w:color="auto"/>
          </w:divBdr>
        </w:div>
        <w:div w:id="1660112691">
          <w:marLeft w:val="360"/>
          <w:marRight w:val="0"/>
          <w:marTop w:val="0"/>
          <w:marBottom w:val="0"/>
          <w:divBdr>
            <w:top w:val="none" w:sz="0" w:space="0" w:color="auto"/>
            <w:left w:val="none" w:sz="0" w:space="0" w:color="auto"/>
            <w:bottom w:val="none" w:sz="0" w:space="0" w:color="auto"/>
            <w:right w:val="none" w:sz="0" w:space="0" w:color="auto"/>
          </w:divBdr>
        </w:div>
        <w:div w:id="1891065306">
          <w:marLeft w:val="360"/>
          <w:marRight w:val="0"/>
          <w:marTop w:val="0"/>
          <w:marBottom w:val="0"/>
          <w:divBdr>
            <w:top w:val="none" w:sz="0" w:space="0" w:color="auto"/>
            <w:left w:val="none" w:sz="0" w:space="0" w:color="auto"/>
            <w:bottom w:val="none" w:sz="0" w:space="0" w:color="auto"/>
            <w:right w:val="none" w:sz="0" w:space="0" w:color="auto"/>
          </w:divBdr>
        </w:div>
      </w:divsChild>
    </w:div>
    <w:div w:id="866213577">
      <w:bodyDiv w:val="1"/>
      <w:marLeft w:val="0"/>
      <w:marRight w:val="0"/>
      <w:marTop w:val="0"/>
      <w:marBottom w:val="0"/>
      <w:divBdr>
        <w:top w:val="none" w:sz="0" w:space="0" w:color="auto"/>
        <w:left w:val="none" w:sz="0" w:space="0" w:color="auto"/>
        <w:bottom w:val="none" w:sz="0" w:space="0" w:color="auto"/>
        <w:right w:val="none" w:sz="0" w:space="0" w:color="auto"/>
      </w:divBdr>
      <w:divsChild>
        <w:div w:id="1383366150">
          <w:marLeft w:val="720"/>
          <w:marRight w:val="0"/>
          <w:marTop w:val="0"/>
          <w:marBottom w:val="0"/>
          <w:divBdr>
            <w:top w:val="none" w:sz="0" w:space="0" w:color="auto"/>
            <w:left w:val="none" w:sz="0" w:space="0" w:color="auto"/>
            <w:bottom w:val="none" w:sz="0" w:space="0" w:color="auto"/>
            <w:right w:val="none" w:sz="0" w:space="0" w:color="auto"/>
          </w:divBdr>
        </w:div>
        <w:div w:id="1702782371">
          <w:marLeft w:val="720"/>
          <w:marRight w:val="0"/>
          <w:marTop w:val="0"/>
          <w:marBottom w:val="0"/>
          <w:divBdr>
            <w:top w:val="none" w:sz="0" w:space="0" w:color="auto"/>
            <w:left w:val="none" w:sz="0" w:space="0" w:color="auto"/>
            <w:bottom w:val="none" w:sz="0" w:space="0" w:color="auto"/>
            <w:right w:val="none" w:sz="0" w:space="0" w:color="auto"/>
          </w:divBdr>
        </w:div>
        <w:div w:id="1244953330">
          <w:marLeft w:val="720"/>
          <w:marRight w:val="0"/>
          <w:marTop w:val="0"/>
          <w:marBottom w:val="0"/>
          <w:divBdr>
            <w:top w:val="none" w:sz="0" w:space="0" w:color="auto"/>
            <w:left w:val="none" w:sz="0" w:space="0" w:color="auto"/>
            <w:bottom w:val="none" w:sz="0" w:space="0" w:color="auto"/>
            <w:right w:val="none" w:sz="0" w:space="0" w:color="auto"/>
          </w:divBdr>
        </w:div>
        <w:div w:id="1160921715">
          <w:marLeft w:val="720"/>
          <w:marRight w:val="0"/>
          <w:marTop w:val="0"/>
          <w:marBottom w:val="0"/>
          <w:divBdr>
            <w:top w:val="none" w:sz="0" w:space="0" w:color="auto"/>
            <w:left w:val="none" w:sz="0" w:space="0" w:color="auto"/>
            <w:bottom w:val="none" w:sz="0" w:space="0" w:color="auto"/>
            <w:right w:val="none" w:sz="0" w:space="0" w:color="auto"/>
          </w:divBdr>
        </w:div>
        <w:div w:id="1657034405">
          <w:marLeft w:val="720"/>
          <w:marRight w:val="0"/>
          <w:marTop w:val="0"/>
          <w:marBottom w:val="0"/>
          <w:divBdr>
            <w:top w:val="none" w:sz="0" w:space="0" w:color="auto"/>
            <w:left w:val="none" w:sz="0" w:space="0" w:color="auto"/>
            <w:bottom w:val="none" w:sz="0" w:space="0" w:color="auto"/>
            <w:right w:val="none" w:sz="0" w:space="0" w:color="auto"/>
          </w:divBdr>
        </w:div>
        <w:div w:id="627779782">
          <w:marLeft w:val="720"/>
          <w:marRight w:val="0"/>
          <w:marTop w:val="0"/>
          <w:marBottom w:val="0"/>
          <w:divBdr>
            <w:top w:val="none" w:sz="0" w:space="0" w:color="auto"/>
            <w:left w:val="none" w:sz="0" w:space="0" w:color="auto"/>
            <w:bottom w:val="none" w:sz="0" w:space="0" w:color="auto"/>
            <w:right w:val="none" w:sz="0" w:space="0" w:color="auto"/>
          </w:divBdr>
        </w:div>
        <w:div w:id="1051423876">
          <w:marLeft w:val="720"/>
          <w:marRight w:val="0"/>
          <w:marTop w:val="0"/>
          <w:marBottom w:val="0"/>
          <w:divBdr>
            <w:top w:val="none" w:sz="0" w:space="0" w:color="auto"/>
            <w:left w:val="none" w:sz="0" w:space="0" w:color="auto"/>
            <w:bottom w:val="none" w:sz="0" w:space="0" w:color="auto"/>
            <w:right w:val="none" w:sz="0" w:space="0" w:color="auto"/>
          </w:divBdr>
        </w:div>
        <w:div w:id="236063833">
          <w:marLeft w:val="720"/>
          <w:marRight w:val="0"/>
          <w:marTop w:val="0"/>
          <w:marBottom w:val="0"/>
          <w:divBdr>
            <w:top w:val="none" w:sz="0" w:space="0" w:color="auto"/>
            <w:left w:val="none" w:sz="0" w:space="0" w:color="auto"/>
            <w:bottom w:val="none" w:sz="0" w:space="0" w:color="auto"/>
            <w:right w:val="none" w:sz="0" w:space="0" w:color="auto"/>
          </w:divBdr>
        </w:div>
      </w:divsChild>
    </w:div>
    <w:div w:id="1062875540">
      <w:bodyDiv w:val="1"/>
      <w:marLeft w:val="0"/>
      <w:marRight w:val="0"/>
      <w:marTop w:val="0"/>
      <w:marBottom w:val="0"/>
      <w:divBdr>
        <w:top w:val="none" w:sz="0" w:space="0" w:color="auto"/>
        <w:left w:val="none" w:sz="0" w:space="0" w:color="auto"/>
        <w:bottom w:val="none" w:sz="0" w:space="0" w:color="auto"/>
        <w:right w:val="none" w:sz="0" w:space="0" w:color="auto"/>
      </w:divBdr>
    </w:div>
    <w:div w:id="1111969661">
      <w:bodyDiv w:val="1"/>
      <w:marLeft w:val="0"/>
      <w:marRight w:val="0"/>
      <w:marTop w:val="0"/>
      <w:marBottom w:val="0"/>
      <w:divBdr>
        <w:top w:val="none" w:sz="0" w:space="0" w:color="auto"/>
        <w:left w:val="none" w:sz="0" w:space="0" w:color="auto"/>
        <w:bottom w:val="none" w:sz="0" w:space="0" w:color="auto"/>
        <w:right w:val="none" w:sz="0" w:space="0" w:color="auto"/>
      </w:divBdr>
      <w:divsChild>
        <w:div w:id="231505084">
          <w:marLeft w:val="720"/>
          <w:marRight w:val="0"/>
          <w:marTop w:val="0"/>
          <w:marBottom w:val="0"/>
          <w:divBdr>
            <w:top w:val="none" w:sz="0" w:space="0" w:color="auto"/>
            <w:left w:val="none" w:sz="0" w:space="0" w:color="auto"/>
            <w:bottom w:val="none" w:sz="0" w:space="0" w:color="auto"/>
            <w:right w:val="none" w:sz="0" w:space="0" w:color="auto"/>
          </w:divBdr>
        </w:div>
        <w:div w:id="1398162785">
          <w:marLeft w:val="720"/>
          <w:marRight w:val="0"/>
          <w:marTop w:val="0"/>
          <w:marBottom w:val="0"/>
          <w:divBdr>
            <w:top w:val="none" w:sz="0" w:space="0" w:color="auto"/>
            <w:left w:val="none" w:sz="0" w:space="0" w:color="auto"/>
            <w:bottom w:val="none" w:sz="0" w:space="0" w:color="auto"/>
            <w:right w:val="none" w:sz="0" w:space="0" w:color="auto"/>
          </w:divBdr>
        </w:div>
        <w:div w:id="715281534">
          <w:marLeft w:val="720"/>
          <w:marRight w:val="0"/>
          <w:marTop w:val="0"/>
          <w:marBottom w:val="0"/>
          <w:divBdr>
            <w:top w:val="none" w:sz="0" w:space="0" w:color="auto"/>
            <w:left w:val="none" w:sz="0" w:space="0" w:color="auto"/>
            <w:bottom w:val="none" w:sz="0" w:space="0" w:color="auto"/>
            <w:right w:val="none" w:sz="0" w:space="0" w:color="auto"/>
          </w:divBdr>
        </w:div>
        <w:div w:id="56973376">
          <w:marLeft w:val="720"/>
          <w:marRight w:val="0"/>
          <w:marTop w:val="0"/>
          <w:marBottom w:val="0"/>
          <w:divBdr>
            <w:top w:val="none" w:sz="0" w:space="0" w:color="auto"/>
            <w:left w:val="none" w:sz="0" w:space="0" w:color="auto"/>
            <w:bottom w:val="none" w:sz="0" w:space="0" w:color="auto"/>
            <w:right w:val="none" w:sz="0" w:space="0" w:color="auto"/>
          </w:divBdr>
        </w:div>
      </w:divsChild>
    </w:div>
    <w:div w:id="1129276149">
      <w:bodyDiv w:val="1"/>
      <w:marLeft w:val="0"/>
      <w:marRight w:val="0"/>
      <w:marTop w:val="0"/>
      <w:marBottom w:val="0"/>
      <w:divBdr>
        <w:top w:val="none" w:sz="0" w:space="0" w:color="auto"/>
        <w:left w:val="none" w:sz="0" w:space="0" w:color="auto"/>
        <w:bottom w:val="none" w:sz="0" w:space="0" w:color="auto"/>
        <w:right w:val="none" w:sz="0" w:space="0" w:color="auto"/>
      </w:divBdr>
    </w:div>
    <w:div w:id="1158035645">
      <w:bodyDiv w:val="1"/>
      <w:marLeft w:val="0"/>
      <w:marRight w:val="0"/>
      <w:marTop w:val="0"/>
      <w:marBottom w:val="0"/>
      <w:divBdr>
        <w:top w:val="none" w:sz="0" w:space="0" w:color="auto"/>
        <w:left w:val="none" w:sz="0" w:space="0" w:color="auto"/>
        <w:bottom w:val="none" w:sz="0" w:space="0" w:color="auto"/>
        <w:right w:val="none" w:sz="0" w:space="0" w:color="auto"/>
      </w:divBdr>
    </w:div>
    <w:div w:id="1359967079">
      <w:bodyDiv w:val="1"/>
      <w:marLeft w:val="0"/>
      <w:marRight w:val="0"/>
      <w:marTop w:val="0"/>
      <w:marBottom w:val="0"/>
      <w:divBdr>
        <w:top w:val="none" w:sz="0" w:space="0" w:color="auto"/>
        <w:left w:val="none" w:sz="0" w:space="0" w:color="auto"/>
        <w:bottom w:val="none" w:sz="0" w:space="0" w:color="auto"/>
        <w:right w:val="none" w:sz="0" w:space="0" w:color="auto"/>
      </w:divBdr>
    </w:div>
    <w:div w:id="1446149523">
      <w:bodyDiv w:val="1"/>
      <w:marLeft w:val="0"/>
      <w:marRight w:val="0"/>
      <w:marTop w:val="0"/>
      <w:marBottom w:val="0"/>
      <w:divBdr>
        <w:top w:val="none" w:sz="0" w:space="0" w:color="auto"/>
        <w:left w:val="none" w:sz="0" w:space="0" w:color="auto"/>
        <w:bottom w:val="none" w:sz="0" w:space="0" w:color="auto"/>
        <w:right w:val="none" w:sz="0" w:space="0" w:color="auto"/>
      </w:divBdr>
    </w:div>
    <w:div w:id="2088844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ycechia:Library:Application%20Support:Microsoft:Office:User%20Templates:My%20Templates:MULR%20style%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MULR style article.dotx</Template>
  <TotalTime>0</TotalTime>
  <Pages>14</Pages>
  <Words>6381</Words>
  <Characters>36376</Characters>
  <Application>Microsoft Word 12.0.0</Application>
  <DocSecurity>0</DocSecurity>
  <Lines>303</Lines>
  <Paragraphs>72</Paragraphs>
  <ScaleCrop>false</ScaleCrop>
  <Company/>
  <LinksUpToDate>false</LinksUpToDate>
  <CharactersWithSpaces>44672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Chia</dc:creator>
  <cp:keywords/>
  <cp:lastModifiedBy>Joyce Chia</cp:lastModifiedBy>
  <cp:revision>2</cp:revision>
  <cp:lastPrinted>2012-03-30T04:33:00Z</cp:lastPrinted>
  <dcterms:created xsi:type="dcterms:W3CDTF">2012-08-26T10:16:00Z</dcterms:created>
  <dcterms:modified xsi:type="dcterms:W3CDTF">2012-08-26T10:16:00Z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id="slNBgQxT"/&gt;&lt;style id="http://www.zotero.org/styles/joycestylev4" hasBibliography="0" bibliographyStyleHasBeenSet="0"/&gt;&lt;prefs&gt;&lt;pref name="fieldType" value="Field"/&gt;&lt;pref name="storeReferences" valu</vt:lpwstr>
  </property>
  <property fmtid="{D5CDD505-2E9C-101B-9397-08002B2CF9AE}" pid="3" name="ZOTERO_PREF_2">
    <vt:lpwstr>e="true"/&gt;&lt;pref name="noteType" value="1"/&gt;&lt;/prefs&gt;&lt;/data&gt;</vt:lpwstr>
  </property>
</Properties>
</file>