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764" w:rsidRPr="000E3CB8" w:rsidRDefault="00BE0764" w:rsidP="007E7929">
      <w:pPr>
        <w:spacing w:after="0" w:line="240" w:lineRule="auto"/>
        <w:jc w:val="center"/>
        <w:rPr>
          <w:rFonts w:ascii="Times New Roman" w:hAnsi="Times New Roman" w:cs="Times New Roman"/>
          <w:b/>
          <w:sz w:val="24"/>
          <w:szCs w:val="24"/>
        </w:rPr>
      </w:pPr>
      <w:r w:rsidRPr="000E3CB8">
        <w:rPr>
          <w:rFonts w:ascii="Times New Roman" w:hAnsi="Times New Roman" w:cs="Times New Roman"/>
          <w:b/>
          <w:sz w:val="24"/>
          <w:szCs w:val="24"/>
        </w:rPr>
        <w:t>Australian Government</w:t>
      </w:r>
    </w:p>
    <w:p w:rsidR="00BE0764" w:rsidRPr="000E3CB8" w:rsidRDefault="00BE0764" w:rsidP="007E7929">
      <w:pPr>
        <w:spacing w:after="0" w:line="240" w:lineRule="auto"/>
        <w:jc w:val="center"/>
        <w:rPr>
          <w:rFonts w:ascii="Times New Roman" w:hAnsi="Times New Roman" w:cs="Times New Roman"/>
          <w:b/>
          <w:sz w:val="24"/>
          <w:szCs w:val="24"/>
        </w:rPr>
      </w:pPr>
      <w:r w:rsidRPr="000E3CB8">
        <w:rPr>
          <w:rFonts w:ascii="Times New Roman" w:hAnsi="Times New Roman" w:cs="Times New Roman"/>
          <w:b/>
          <w:sz w:val="24"/>
          <w:szCs w:val="24"/>
        </w:rPr>
        <w:t>Treasury</w:t>
      </w:r>
    </w:p>
    <w:p w:rsidR="00BE0764" w:rsidRPr="000E3CB8" w:rsidRDefault="00BE0764" w:rsidP="007E7929">
      <w:pPr>
        <w:spacing w:after="0" w:line="240" w:lineRule="auto"/>
        <w:jc w:val="center"/>
        <w:rPr>
          <w:rFonts w:ascii="Times New Roman" w:hAnsi="Times New Roman" w:cs="Times New Roman"/>
          <w:b/>
          <w:sz w:val="24"/>
          <w:szCs w:val="24"/>
        </w:rPr>
      </w:pPr>
    </w:p>
    <w:p w:rsidR="00AF38FE" w:rsidRPr="000E3CB8" w:rsidRDefault="0078349D" w:rsidP="007E7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ASIC INDUSTRY FUNDING MODEL AND REGISTRY SEARCH FEES</w:t>
      </w:r>
    </w:p>
    <w:p w:rsidR="00BE0764" w:rsidRPr="000E3CB8" w:rsidRDefault="00BE0764" w:rsidP="007E7929">
      <w:pPr>
        <w:spacing w:after="0" w:line="240" w:lineRule="auto"/>
        <w:jc w:val="center"/>
        <w:rPr>
          <w:rFonts w:ascii="Times New Roman" w:hAnsi="Times New Roman" w:cs="Times New Roman"/>
          <w:sz w:val="24"/>
          <w:szCs w:val="24"/>
        </w:rPr>
      </w:pPr>
    </w:p>
    <w:p w:rsidR="00BE0764" w:rsidRPr="000E3CB8" w:rsidRDefault="00BE0764" w:rsidP="007E7929">
      <w:pPr>
        <w:spacing w:after="0" w:line="240" w:lineRule="auto"/>
        <w:jc w:val="center"/>
        <w:rPr>
          <w:rFonts w:ascii="Times New Roman" w:hAnsi="Times New Roman" w:cs="Times New Roman"/>
          <w:b/>
          <w:sz w:val="24"/>
          <w:szCs w:val="24"/>
        </w:rPr>
      </w:pPr>
      <w:r w:rsidRPr="000E3CB8">
        <w:rPr>
          <w:rFonts w:ascii="Times New Roman" w:hAnsi="Times New Roman" w:cs="Times New Roman"/>
          <w:b/>
          <w:sz w:val="24"/>
          <w:szCs w:val="24"/>
        </w:rPr>
        <w:t>Submission by Professor Helen Anderson, Melbourne Law School</w:t>
      </w:r>
      <w:r w:rsidR="00AF38FE" w:rsidRPr="000E3CB8">
        <w:rPr>
          <w:rFonts w:ascii="Times New Roman" w:hAnsi="Times New Roman" w:cs="Times New Roman"/>
          <w:b/>
          <w:sz w:val="24"/>
          <w:szCs w:val="24"/>
        </w:rPr>
        <w:t>.</w:t>
      </w:r>
    </w:p>
    <w:p w:rsidR="00BE0764" w:rsidRPr="000E3CB8" w:rsidRDefault="00BE0764" w:rsidP="007E7929">
      <w:pPr>
        <w:spacing w:after="0" w:line="240" w:lineRule="auto"/>
        <w:jc w:val="center"/>
        <w:rPr>
          <w:rFonts w:ascii="Times New Roman" w:hAnsi="Times New Roman" w:cs="Times New Roman"/>
          <w:b/>
          <w:sz w:val="24"/>
          <w:szCs w:val="24"/>
        </w:rPr>
      </w:pPr>
    </w:p>
    <w:p w:rsidR="00BE0764" w:rsidRPr="000E3CB8" w:rsidRDefault="0078349D" w:rsidP="007E7929">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January 2019</w:t>
      </w:r>
    </w:p>
    <w:p w:rsidR="00BE0764" w:rsidRPr="000E3CB8" w:rsidRDefault="00BE0764" w:rsidP="007E7929">
      <w:pPr>
        <w:pBdr>
          <w:bottom w:val="single" w:sz="6" w:space="1" w:color="auto"/>
        </w:pBdr>
        <w:spacing w:after="0" w:line="240" w:lineRule="auto"/>
        <w:jc w:val="both"/>
        <w:rPr>
          <w:rFonts w:ascii="Times New Roman" w:hAnsi="Times New Roman" w:cs="Times New Roman"/>
          <w:b/>
          <w:sz w:val="24"/>
          <w:szCs w:val="24"/>
        </w:rPr>
      </w:pPr>
    </w:p>
    <w:p w:rsidR="00BE0764" w:rsidRPr="000E3CB8" w:rsidRDefault="00BE0764" w:rsidP="007E7929">
      <w:pPr>
        <w:spacing w:after="0" w:line="240" w:lineRule="auto"/>
        <w:jc w:val="both"/>
        <w:rPr>
          <w:rFonts w:ascii="Times New Roman" w:hAnsi="Times New Roman" w:cs="Times New Roman"/>
          <w:sz w:val="24"/>
          <w:szCs w:val="24"/>
        </w:rPr>
      </w:pPr>
    </w:p>
    <w:p w:rsidR="00AC344D" w:rsidRDefault="00AF38FE" w:rsidP="007E7929">
      <w:pPr>
        <w:spacing w:after="0" w:line="240" w:lineRule="auto"/>
        <w:jc w:val="both"/>
        <w:rPr>
          <w:rFonts w:ascii="Times New Roman" w:hAnsi="Times New Roman" w:cs="Times New Roman"/>
          <w:sz w:val="24"/>
          <w:szCs w:val="24"/>
        </w:rPr>
      </w:pPr>
      <w:r w:rsidRPr="000E3CB8">
        <w:rPr>
          <w:rFonts w:ascii="Times New Roman" w:hAnsi="Times New Roman" w:cs="Times New Roman"/>
          <w:sz w:val="24"/>
          <w:szCs w:val="24"/>
        </w:rPr>
        <w:t>I</w:t>
      </w:r>
      <w:r w:rsidR="00BE0764" w:rsidRPr="000E3CB8">
        <w:rPr>
          <w:rFonts w:ascii="Times New Roman" w:hAnsi="Times New Roman" w:cs="Times New Roman"/>
          <w:sz w:val="24"/>
          <w:szCs w:val="24"/>
        </w:rPr>
        <w:t xml:space="preserve"> thank Treasury for this opportunity to make a</w:t>
      </w:r>
      <w:r w:rsidR="008575E9" w:rsidRPr="000E3CB8">
        <w:rPr>
          <w:rFonts w:ascii="Times New Roman" w:hAnsi="Times New Roman" w:cs="Times New Roman"/>
          <w:sz w:val="24"/>
          <w:szCs w:val="24"/>
        </w:rPr>
        <w:t xml:space="preserve"> </w:t>
      </w:r>
      <w:r w:rsidR="00BE0764" w:rsidRPr="000E3CB8">
        <w:rPr>
          <w:rFonts w:ascii="Times New Roman" w:hAnsi="Times New Roman" w:cs="Times New Roman"/>
          <w:sz w:val="24"/>
          <w:szCs w:val="24"/>
        </w:rPr>
        <w:t xml:space="preserve">submission regarding </w:t>
      </w:r>
      <w:r w:rsidR="0078349D" w:rsidRPr="0078349D">
        <w:rPr>
          <w:rFonts w:ascii="Times New Roman" w:hAnsi="Times New Roman" w:cs="Times New Roman"/>
          <w:sz w:val="24"/>
          <w:szCs w:val="24"/>
        </w:rPr>
        <w:t>ASIC Industry Funding Model And Registry Search Fees</w:t>
      </w:r>
      <w:r w:rsidR="009247E4" w:rsidRPr="000E3CB8">
        <w:rPr>
          <w:rFonts w:ascii="Times New Roman" w:hAnsi="Times New Roman" w:cs="Times New Roman"/>
          <w:sz w:val="24"/>
          <w:szCs w:val="24"/>
        </w:rPr>
        <w:t>.</w:t>
      </w:r>
      <w:r w:rsidR="00BE0764" w:rsidRPr="000E3CB8">
        <w:rPr>
          <w:rFonts w:ascii="Times New Roman" w:hAnsi="Times New Roman" w:cs="Times New Roman"/>
          <w:sz w:val="24"/>
          <w:szCs w:val="24"/>
        </w:rPr>
        <w:t xml:space="preserve"> </w:t>
      </w:r>
      <w:r w:rsidRPr="000E3CB8">
        <w:rPr>
          <w:rFonts w:ascii="Times New Roman" w:hAnsi="Times New Roman" w:cs="Times New Roman"/>
          <w:sz w:val="24"/>
          <w:szCs w:val="24"/>
        </w:rPr>
        <w:t>I</w:t>
      </w:r>
      <w:r w:rsidR="008575E9" w:rsidRPr="000E3CB8">
        <w:rPr>
          <w:rFonts w:ascii="Times New Roman" w:hAnsi="Times New Roman" w:cs="Times New Roman"/>
          <w:sz w:val="24"/>
          <w:szCs w:val="24"/>
        </w:rPr>
        <w:t xml:space="preserve"> refer to </w:t>
      </w:r>
      <w:r w:rsidR="007E7929">
        <w:rPr>
          <w:rFonts w:ascii="Times New Roman" w:hAnsi="Times New Roman" w:cs="Times New Roman"/>
          <w:sz w:val="24"/>
          <w:szCs w:val="24"/>
        </w:rPr>
        <w:t xml:space="preserve">my </w:t>
      </w:r>
      <w:r w:rsidRPr="000E3CB8">
        <w:rPr>
          <w:rFonts w:ascii="Times New Roman" w:hAnsi="Times New Roman" w:cs="Times New Roman"/>
          <w:sz w:val="24"/>
          <w:szCs w:val="24"/>
        </w:rPr>
        <w:t xml:space="preserve">earlier submissions to </w:t>
      </w:r>
      <w:r w:rsidR="0078349D">
        <w:rPr>
          <w:rFonts w:ascii="Times New Roman" w:hAnsi="Times New Roman" w:cs="Times New Roman"/>
          <w:sz w:val="24"/>
          <w:szCs w:val="24"/>
        </w:rPr>
        <w:t xml:space="preserve">Treasury on ASIC’s Industry Funding Model and Cost Recovery Model. These </w:t>
      </w:r>
      <w:r w:rsidR="007971AD" w:rsidRPr="000E3CB8">
        <w:rPr>
          <w:rFonts w:ascii="Times New Roman" w:hAnsi="Times New Roman" w:cs="Times New Roman"/>
          <w:sz w:val="24"/>
          <w:szCs w:val="24"/>
        </w:rPr>
        <w:t xml:space="preserve">explain </w:t>
      </w:r>
      <w:r w:rsidR="003827A1">
        <w:rPr>
          <w:rFonts w:ascii="Times New Roman" w:hAnsi="Times New Roman" w:cs="Times New Roman"/>
          <w:sz w:val="24"/>
          <w:szCs w:val="24"/>
        </w:rPr>
        <w:t xml:space="preserve">the </w:t>
      </w:r>
      <w:r w:rsidR="007971AD" w:rsidRPr="000E3CB8">
        <w:rPr>
          <w:rFonts w:ascii="Times New Roman" w:hAnsi="Times New Roman" w:cs="Times New Roman"/>
          <w:sz w:val="24"/>
          <w:szCs w:val="24"/>
        </w:rPr>
        <w:t xml:space="preserve">Australian Research Council project </w:t>
      </w:r>
      <w:r w:rsidR="003827A1">
        <w:rPr>
          <w:rFonts w:ascii="Times New Roman" w:hAnsi="Times New Roman" w:cs="Times New Roman"/>
          <w:sz w:val="24"/>
          <w:szCs w:val="24"/>
        </w:rPr>
        <w:t xml:space="preserve">I led </w:t>
      </w:r>
      <w:r w:rsidR="00E4171D" w:rsidRPr="000E3CB8">
        <w:rPr>
          <w:rFonts w:ascii="Times New Roman" w:hAnsi="Times New Roman" w:cs="Times New Roman"/>
          <w:sz w:val="24"/>
          <w:szCs w:val="24"/>
        </w:rPr>
        <w:t xml:space="preserve">that </w:t>
      </w:r>
      <w:r w:rsidR="0078349D">
        <w:rPr>
          <w:rFonts w:ascii="Times New Roman" w:hAnsi="Times New Roman" w:cs="Times New Roman"/>
          <w:sz w:val="24"/>
          <w:szCs w:val="24"/>
        </w:rPr>
        <w:t>examined</w:t>
      </w:r>
      <w:r w:rsidR="00E4171D" w:rsidRPr="000E3CB8">
        <w:rPr>
          <w:rFonts w:ascii="Times New Roman" w:hAnsi="Times New Roman" w:cs="Times New Roman"/>
          <w:sz w:val="24"/>
          <w:szCs w:val="24"/>
        </w:rPr>
        <w:t xml:space="preserve"> </w:t>
      </w:r>
      <w:r w:rsidR="007971AD" w:rsidRPr="000E3CB8">
        <w:rPr>
          <w:rFonts w:ascii="Times New Roman" w:hAnsi="Times New Roman" w:cs="Times New Roman"/>
          <w:sz w:val="24"/>
          <w:szCs w:val="24"/>
        </w:rPr>
        <w:t>ways to regulate illegal phoenix activity</w:t>
      </w:r>
      <w:r w:rsidR="0078349D">
        <w:rPr>
          <w:rFonts w:ascii="Times New Roman" w:hAnsi="Times New Roman" w:cs="Times New Roman"/>
          <w:sz w:val="24"/>
          <w:szCs w:val="24"/>
        </w:rPr>
        <w:t xml:space="preserve">. </w:t>
      </w:r>
      <w:r w:rsidRPr="000E3CB8">
        <w:rPr>
          <w:rFonts w:ascii="Times New Roman" w:hAnsi="Times New Roman" w:cs="Times New Roman"/>
          <w:sz w:val="24"/>
          <w:szCs w:val="24"/>
        </w:rPr>
        <w:t xml:space="preserve">This submission is confined to comments on </w:t>
      </w:r>
      <w:r w:rsidR="0078349D">
        <w:rPr>
          <w:rFonts w:ascii="Times New Roman" w:hAnsi="Times New Roman" w:cs="Times New Roman"/>
          <w:sz w:val="24"/>
          <w:szCs w:val="24"/>
        </w:rPr>
        <w:t xml:space="preserve">exempting journalists from paying certain registry search fees, and reducing the cost of various search fees. </w:t>
      </w:r>
    </w:p>
    <w:p w:rsidR="0078349D" w:rsidRDefault="0078349D" w:rsidP="007E7929">
      <w:pPr>
        <w:spacing w:after="0" w:line="240" w:lineRule="auto"/>
        <w:jc w:val="both"/>
        <w:rPr>
          <w:rFonts w:ascii="Times New Roman" w:hAnsi="Times New Roman" w:cs="Times New Roman"/>
          <w:sz w:val="24"/>
          <w:szCs w:val="24"/>
        </w:rPr>
      </w:pPr>
    </w:p>
    <w:p w:rsidR="0078349D" w:rsidRDefault="0078349D" w:rsidP="007E7929">
      <w:pPr>
        <w:spacing w:after="0" w:line="240" w:lineRule="auto"/>
        <w:jc w:val="both"/>
        <w:rPr>
          <w:rFonts w:ascii="Times New Roman" w:hAnsi="Times New Roman" w:cs="Times New Roman"/>
          <w:sz w:val="24"/>
          <w:szCs w:val="24"/>
        </w:rPr>
      </w:pPr>
      <w:r w:rsidRPr="003827A1">
        <w:rPr>
          <w:rFonts w:ascii="Times New Roman" w:hAnsi="Times New Roman" w:cs="Times New Roman"/>
          <w:b/>
          <w:sz w:val="24"/>
          <w:szCs w:val="24"/>
        </w:rPr>
        <w:t xml:space="preserve">I applaud </w:t>
      </w:r>
      <w:r>
        <w:rPr>
          <w:rFonts w:ascii="Times New Roman" w:hAnsi="Times New Roman" w:cs="Times New Roman"/>
          <w:b/>
          <w:sz w:val="24"/>
          <w:szCs w:val="24"/>
        </w:rPr>
        <w:t>Treasury’s move in exempting journalists</w:t>
      </w:r>
      <w:r>
        <w:rPr>
          <w:rFonts w:ascii="Times New Roman" w:hAnsi="Times New Roman" w:cs="Times New Roman"/>
          <w:b/>
          <w:sz w:val="24"/>
          <w:szCs w:val="24"/>
        </w:rPr>
        <w:t xml:space="preserve"> from certain registry search fees, and reducing the cost of certain searches. </w:t>
      </w:r>
      <w:r>
        <w:rPr>
          <w:rFonts w:ascii="Times New Roman" w:hAnsi="Times New Roman" w:cs="Times New Roman"/>
          <w:sz w:val="24"/>
          <w:szCs w:val="24"/>
        </w:rPr>
        <w:t>Journalists are a vital source of investigation,</w:t>
      </w:r>
      <w:r w:rsidR="001F4915">
        <w:rPr>
          <w:rFonts w:ascii="Times New Roman" w:hAnsi="Times New Roman" w:cs="Times New Roman"/>
          <w:sz w:val="24"/>
          <w:szCs w:val="24"/>
        </w:rPr>
        <w:t xml:space="preserve"> in addition to the </w:t>
      </w:r>
      <w:r w:rsidR="000D11B2">
        <w:rPr>
          <w:rFonts w:ascii="Times New Roman" w:hAnsi="Times New Roman" w:cs="Times New Roman"/>
          <w:sz w:val="24"/>
          <w:szCs w:val="24"/>
        </w:rPr>
        <w:t xml:space="preserve">investigatory </w:t>
      </w:r>
      <w:r w:rsidR="001F4915">
        <w:rPr>
          <w:rFonts w:ascii="Times New Roman" w:hAnsi="Times New Roman" w:cs="Times New Roman"/>
          <w:sz w:val="24"/>
          <w:szCs w:val="24"/>
        </w:rPr>
        <w:t xml:space="preserve">work of ASIC. The </w:t>
      </w:r>
      <w:r>
        <w:rPr>
          <w:rFonts w:ascii="Times New Roman" w:hAnsi="Times New Roman" w:cs="Times New Roman"/>
          <w:sz w:val="24"/>
          <w:szCs w:val="24"/>
        </w:rPr>
        <w:t xml:space="preserve">work </w:t>
      </w:r>
      <w:r w:rsidR="001F4915">
        <w:rPr>
          <w:rFonts w:ascii="Times New Roman" w:hAnsi="Times New Roman" w:cs="Times New Roman"/>
          <w:sz w:val="24"/>
          <w:szCs w:val="24"/>
        </w:rPr>
        <w:t xml:space="preserve">of journalists </w:t>
      </w:r>
      <w:r>
        <w:rPr>
          <w:rFonts w:ascii="Times New Roman" w:hAnsi="Times New Roman" w:cs="Times New Roman"/>
          <w:sz w:val="24"/>
          <w:szCs w:val="24"/>
        </w:rPr>
        <w:t xml:space="preserve">helps to shed light on </w:t>
      </w:r>
      <w:r w:rsidR="001F4915">
        <w:rPr>
          <w:rFonts w:ascii="Times New Roman" w:hAnsi="Times New Roman" w:cs="Times New Roman"/>
          <w:sz w:val="24"/>
          <w:szCs w:val="24"/>
        </w:rPr>
        <w:t xml:space="preserve">some examples of </w:t>
      </w:r>
      <w:r>
        <w:rPr>
          <w:rFonts w:ascii="Times New Roman" w:hAnsi="Times New Roman" w:cs="Times New Roman"/>
          <w:sz w:val="24"/>
          <w:szCs w:val="24"/>
        </w:rPr>
        <w:t>improper dealings</w:t>
      </w:r>
      <w:r w:rsidR="001F4915">
        <w:rPr>
          <w:rFonts w:ascii="Times New Roman" w:hAnsi="Times New Roman" w:cs="Times New Roman"/>
          <w:sz w:val="24"/>
          <w:szCs w:val="24"/>
        </w:rPr>
        <w:t xml:space="preserve"> that have escaped ASIC’s attention. This puts pressure, appropriately, on ASIC to follow up and to bring legal action where necessary.</w:t>
      </w:r>
    </w:p>
    <w:p w:rsidR="001F4915" w:rsidRDefault="001F4915" w:rsidP="007E7929">
      <w:pPr>
        <w:spacing w:after="0" w:line="240" w:lineRule="auto"/>
        <w:jc w:val="both"/>
        <w:rPr>
          <w:rFonts w:ascii="Times New Roman" w:hAnsi="Times New Roman" w:cs="Times New Roman"/>
          <w:sz w:val="24"/>
          <w:szCs w:val="24"/>
        </w:rPr>
      </w:pPr>
    </w:p>
    <w:p w:rsidR="001F4915" w:rsidRDefault="001F4915" w:rsidP="007E7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journalists play a vital role in disseminating ASIC’s message and in achieving general deterrence. This is a social good that justifies their free access to ASIC data. The public is very unlikely to know of ASIC’s work in relation to rogues if the news media did not report it.</w:t>
      </w:r>
    </w:p>
    <w:p w:rsidR="001F4915" w:rsidRDefault="001F4915" w:rsidP="007E7929">
      <w:pPr>
        <w:spacing w:after="0" w:line="240" w:lineRule="auto"/>
        <w:jc w:val="both"/>
        <w:rPr>
          <w:rFonts w:ascii="Times New Roman" w:hAnsi="Times New Roman" w:cs="Times New Roman"/>
          <w:sz w:val="24"/>
          <w:szCs w:val="24"/>
        </w:rPr>
      </w:pPr>
    </w:p>
    <w:p w:rsidR="001F4915" w:rsidRDefault="001F4915" w:rsidP="007E7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same vein, I suggest that a similar exemption be granted to academics. In my own case, my work on illegal phoenix activity has led to significant public awareness of the problem</w:t>
      </w:r>
      <w:r w:rsidR="000D11B2">
        <w:rPr>
          <w:rFonts w:ascii="Times New Roman" w:hAnsi="Times New Roman" w:cs="Times New Roman"/>
          <w:sz w:val="24"/>
          <w:szCs w:val="24"/>
        </w:rPr>
        <w:t>, as well as</w:t>
      </w:r>
      <w:r>
        <w:rPr>
          <w:rFonts w:ascii="Times New Roman" w:hAnsi="Times New Roman" w:cs="Times New Roman"/>
          <w:sz w:val="24"/>
          <w:szCs w:val="24"/>
        </w:rPr>
        <w:t xml:space="preserve"> proposed law reform, including a director identification number. Other measures I have recommended over the past decade, including expanding the power to disqualify directors to regulators other than ASIC, reforms to </w:t>
      </w:r>
      <w:r>
        <w:rPr>
          <w:rFonts w:ascii="Times New Roman" w:hAnsi="Times New Roman" w:cs="Times New Roman"/>
          <w:i/>
          <w:sz w:val="24"/>
          <w:szCs w:val="24"/>
        </w:rPr>
        <w:t xml:space="preserve">Corporations Act </w:t>
      </w:r>
      <w:r>
        <w:rPr>
          <w:rFonts w:ascii="Times New Roman" w:hAnsi="Times New Roman" w:cs="Times New Roman"/>
          <w:sz w:val="24"/>
          <w:szCs w:val="24"/>
        </w:rPr>
        <w:t xml:space="preserve">s 596AB, and broader recovery powers against third parties, are also the subject of current draft legislation. </w:t>
      </w:r>
    </w:p>
    <w:p w:rsidR="001F4915" w:rsidRDefault="001F4915" w:rsidP="007E7929">
      <w:pPr>
        <w:spacing w:after="0" w:line="240" w:lineRule="auto"/>
        <w:jc w:val="both"/>
        <w:rPr>
          <w:rFonts w:ascii="Times New Roman" w:hAnsi="Times New Roman" w:cs="Times New Roman"/>
          <w:sz w:val="24"/>
          <w:szCs w:val="24"/>
        </w:rPr>
      </w:pPr>
    </w:p>
    <w:p w:rsidR="001F4915" w:rsidRPr="0078349D" w:rsidRDefault="001F4915" w:rsidP="007E7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Academics are not using information obtained from ASIC for commercial gain. They struggle to obtain </w:t>
      </w:r>
      <w:r w:rsidR="007E7929">
        <w:rPr>
          <w:rFonts w:ascii="Times New Roman" w:hAnsi="Times New Roman" w:cs="Times New Roman"/>
          <w:sz w:val="24"/>
          <w:szCs w:val="24"/>
        </w:rPr>
        <w:t xml:space="preserve">research </w:t>
      </w:r>
      <w:r>
        <w:rPr>
          <w:rFonts w:ascii="Times New Roman" w:hAnsi="Times New Roman" w:cs="Times New Roman"/>
          <w:sz w:val="24"/>
          <w:szCs w:val="24"/>
        </w:rPr>
        <w:t xml:space="preserve">funding. The cost of ASIC searches significantly inhibits their ability to delve into specific instances of wrongdoing. My own funding for the illegal phoenix activity research came from the Australian Research Council. This means money spent on ASIC searches both came from the government and returned to the government. An exemption could therefore be justified on the same basis as that allowed to the ABC, SBS and </w:t>
      </w:r>
      <w:r w:rsidR="000D11B2">
        <w:rPr>
          <w:rFonts w:ascii="Times New Roman" w:hAnsi="Times New Roman" w:cs="Times New Roman"/>
          <w:sz w:val="24"/>
          <w:szCs w:val="24"/>
        </w:rPr>
        <w:t>the ABS, as explained in the Exposure Draft.</w:t>
      </w:r>
    </w:p>
    <w:p w:rsidR="0078349D" w:rsidRDefault="0078349D" w:rsidP="007E7929">
      <w:pPr>
        <w:spacing w:after="0" w:line="240" w:lineRule="auto"/>
        <w:jc w:val="both"/>
        <w:rPr>
          <w:rFonts w:ascii="Times New Roman" w:hAnsi="Times New Roman" w:cs="Times New Roman"/>
          <w:sz w:val="24"/>
          <w:szCs w:val="24"/>
        </w:rPr>
      </w:pPr>
    </w:p>
    <w:p w:rsidR="000D11B2" w:rsidRDefault="0078349D" w:rsidP="007E7929">
      <w:pPr>
        <w:spacing w:after="0" w:line="240" w:lineRule="auto"/>
        <w:jc w:val="both"/>
        <w:rPr>
          <w:rFonts w:ascii="Times New Roman" w:hAnsi="Times New Roman" w:cs="Times New Roman"/>
          <w:sz w:val="24"/>
          <w:szCs w:val="24"/>
        </w:rPr>
      </w:pPr>
      <w:r w:rsidRPr="0078349D">
        <w:rPr>
          <w:rFonts w:ascii="Times New Roman" w:hAnsi="Times New Roman" w:cs="Times New Roman"/>
          <w:sz w:val="24"/>
          <w:szCs w:val="24"/>
        </w:rPr>
        <w:t>However, as you</w:t>
      </w:r>
      <w:r>
        <w:rPr>
          <w:rFonts w:ascii="Times New Roman" w:hAnsi="Times New Roman" w:cs="Times New Roman"/>
          <w:sz w:val="24"/>
          <w:szCs w:val="24"/>
        </w:rPr>
        <w:t xml:space="preserve"> will see from my comments below, </w:t>
      </w:r>
      <w:r w:rsidRPr="007E7929">
        <w:rPr>
          <w:rFonts w:ascii="Times New Roman" w:hAnsi="Times New Roman" w:cs="Times New Roman"/>
          <w:b/>
          <w:sz w:val="24"/>
          <w:szCs w:val="24"/>
        </w:rPr>
        <w:t xml:space="preserve">I believe Treasury should go much further. I have long advocated for the removal of </w:t>
      </w:r>
      <w:r w:rsidR="007E7929">
        <w:rPr>
          <w:rFonts w:ascii="Times New Roman" w:hAnsi="Times New Roman" w:cs="Times New Roman"/>
          <w:b/>
          <w:sz w:val="24"/>
          <w:szCs w:val="24"/>
        </w:rPr>
        <w:t xml:space="preserve">all </w:t>
      </w:r>
      <w:r w:rsidRPr="007E7929">
        <w:rPr>
          <w:rFonts w:ascii="Times New Roman" w:hAnsi="Times New Roman" w:cs="Times New Roman"/>
          <w:b/>
          <w:sz w:val="24"/>
          <w:szCs w:val="24"/>
        </w:rPr>
        <w:t>search fees.</w:t>
      </w:r>
      <w:r>
        <w:rPr>
          <w:rFonts w:ascii="Times New Roman" w:hAnsi="Times New Roman" w:cs="Times New Roman"/>
          <w:sz w:val="24"/>
          <w:szCs w:val="24"/>
        </w:rPr>
        <w:t xml:space="preserve"> In 2017, our phoenix activity research team produced a final report entitled </w:t>
      </w:r>
      <w:hyperlink r:id="rId8" w:history="1">
        <w:r w:rsidRPr="0078349D">
          <w:rPr>
            <w:rStyle w:val="Hyperlink"/>
            <w:rFonts w:ascii="Times New Roman" w:hAnsi="Times New Roman"/>
            <w:sz w:val="24"/>
            <w:szCs w:val="24"/>
          </w:rPr>
          <w:t>Phoenix Activity Reco</w:t>
        </w:r>
        <w:r w:rsidRPr="0078349D">
          <w:rPr>
            <w:rStyle w:val="Hyperlink"/>
            <w:rFonts w:ascii="Times New Roman" w:hAnsi="Times New Roman"/>
            <w:sz w:val="24"/>
            <w:szCs w:val="24"/>
          </w:rPr>
          <w:t>m</w:t>
        </w:r>
        <w:r w:rsidRPr="0078349D">
          <w:rPr>
            <w:rStyle w:val="Hyperlink"/>
            <w:rFonts w:ascii="Times New Roman" w:hAnsi="Times New Roman"/>
            <w:sz w:val="24"/>
            <w:szCs w:val="24"/>
          </w:rPr>
          <w:t>mendations on Detection Disruption and Enforcement</w:t>
        </w:r>
      </w:hyperlink>
      <w:r>
        <w:rPr>
          <w:rFonts w:ascii="Times New Roman" w:hAnsi="Times New Roman" w:cs="Times New Roman"/>
          <w:sz w:val="24"/>
          <w:szCs w:val="24"/>
        </w:rPr>
        <w:t xml:space="preserve">. </w:t>
      </w:r>
    </w:p>
    <w:p w:rsidR="000D11B2" w:rsidRDefault="000D11B2" w:rsidP="007E7929">
      <w:pPr>
        <w:spacing w:after="0" w:line="240" w:lineRule="auto"/>
        <w:jc w:val="both"/>
        <w:rPr>
          <w:rFonts w:ascii="Times New Roman" w:hAnsi="Times New Roman" w:cs="Times New Roman"/>
          <w:sz w:val="24"/>
          <w:szCs w:val="24"/>
        </w:rPr>
      </w:pPr>
    </w:p>
    <w:p w:rsidR="000D11B2" w:rsidRDefault="000D11B2" w:rsidP="007E7929">
      <w:pPr>
        <w:spacing w:after="0" w:line="240" w:lineRule="auto"/>
        <w:jc w:val="both"/>
        <w:rPr>
          <w:rFonts w:ascii="Times New Roman" w:hAnsi="Times New Roman" w:cs="Times New Roman"/>
          <w:sz w:val="24"/>
          <w:szCs w:val="24"/>
        </w:rPr>
      </w:pPr>
    </w:p>
    <w:p w:rsidR="000D11B2" w:rsidRDefault="000D11B2" w:rsidP="007E7929">
      <w:pPr>
        <w:spacing w:after="0" w:line="240" w:lineRule="auto"/>
        <w:jc w:val="both"/>
        <w:rPr>
          <w:rFonts w:ascii="Times New Roman" w:hAnsi="Times New Roman" w:cs="Times New Roman"/>
          <w:sz w:val="24"/>
          <w:szCs w:val="24"/>
        </w:rPr>
      </w:pPr>
    </w:p>
    <w:p w:rsidR="0078349D" w:rsidRDefault="0078349D" w:rsidP="007E7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relation to search fees, we said:</w:t>
      </w:r>
    </w:p>
    <w:p w:rsidR="0078349D"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pStyle w:val="Heading2"/>
        <w:numPr>
          <w:ilvl w:val="0"/>
          <w:numId w:val="0"/>
        </w:numPr>
        <w:spacing w:before="0" w:line="240" w:lineRule="auto"/>
        <w:ind w:left="576" w:hanging="576"/>
        <w:rPr>
          <w:rFonts w:cs="Times New Roman"/>
          <w:szCs w:val="24"/>
        </w:rPr>
      </w:pPr>
      <w:bookmarkStart w:id="0" w:name="_Toc465872682"/>
      <w:bookmarkStart w:id="1" w:name="_Toc475690123"/>
      <w:r w:rsidRPr="00F55732">
        <w:rPr>
          <w:rFonts w:cs="Times New Roman"/>
          <w:szCs w:val="24"/>
        </w:rPr>
        <w:t>Assist creditors and employees to detect harmful phoenix activity</w:t>
      </w:r>
      <w:bookmarkEnd w:id="0"/>
      <w:bookmarkEnd w:id="1"/>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eastAsia="Calibri" w:hAnsi="Times New Roman" w:cs="Times New Roman"/>
          <w:sz w:val="24"/>
          <w:szCs w:val="24"/>
        </w:rPr>
      </w:pPr>
      <w:r w:rsidRPr="00F55732">
        <w:rPr>
          <w:rFonts w:ascii="Times New Roman" w:hAnsi="Times New Roman" w:cs="Times New Roman"/>
          <w:sz w:val="24"/>
          <w:szCs w:val="24"/>
        </w:rPr>
        <w:t>Information about companies and directors should be readily available to the public so that creditors and employees can vet companies and their managers to protect themselves against harmful phoenix activity. We recommend making detailed information about companies available to the public free-of-charge and establishing a searchable register (see [</w:t>
      </w:r>
      <w:r w:rsidRPr="00F55732">
        <w:rPr>
          <w:rFonts w:ascii="Times New Roman" w:hAnsi="Times New Roman" w:cs="Times New Roman"/>
          <w:sz w:val="24"/>
          <w:szCs w:val="24"/>
        </w:rPr>
        <w:fldChar w:fldCharType="begin"/>
      </w:r>
      <w:r w:rsidRPr="00F55732">
        <w:rPr>
          <w:rFonts w:ascii="Times New Roman" w:hAnsi="Times New Roman" w:cs="Times New Roman"/>
          <w:sz w:val="24"/>
          <w:szCs w:val="24"/>
        </w:rPr>
        <w:instrText xml:space="preserve"> REF _Ref469048383 \r \h  \* MERGEFORMAT </w:instrText>
      </w:r>
      <w:r w:rsidRPr="00F55732">
        <w:rPr>
          <w:rFonts w:ascii="Times New Roman" w:hAnsi="Times New Roman" w:cs="Times New Roman"/>
          <w:sz w:val="24"/>
          <w:szCs w:val="24"/>
        </w:rPr>
        <w:fldChar w:fldCharType="separate"/>
      </w:r>
      <w:r w:rsidR="00940B04">
        <w:rPr>
          <w:rFonts w:ascii="Times New Roman" w:hAnsi="Times New Roman" w:cs="Times New Roman"/>
          <w:b/>
          <w:bCs/>
          <w:sz w:val="24"/>
          <w:szCs w:val="24"/>
          <w:lang w:val="en-US"/>
        </w:rPr>
        <w:t>Error! Reference source not found.</w:t>
      </w:r>
      <w:r w:rsidRPr="00F55732">
        <w:rPr>
          <w:rFonts w:ascii="Times New Roman" w:hAnsi="Times New Roman" w:cs="Times New Roman"/>
          <w:sz w:val="24"/>
          <w:szCs w:val="24"/>
        </w:rPr>
        <w:fldChar w:fldCharType="end"/>
      </w:r>
      <w:r w:rsidRPr="00F55732">
        <w:rPr>
          <w:rFonts w:ascii="Times New Roman" w:hAnsi="Times New Roman" w:cs="Times New Roman"/>
          <w:sz w:val="24"/>
          <w:szCs w:val="24"/>
        </w:rPr>
        <w:t>]) of disqualified and ‘restricted’ directors. Director restriction is a new protective mechanism that we recommend introducing in relation to directors who have been involved in five or more corporate failures within the previous ten years (see [</w:t>
      </w:r>
      <w:r w:rsidRPr="00F55732">
        <w:rPr>
          <w:rFonts w:ascii="Times New Roman" w:hAnsi="Times New Roman" w:cs="Times New Roman"/>
          <w:sz w:val="24"/>
          <w:szCs w:val="24"/>
        </w:rPr>
        <w:fldChar w:fldCharType="begin"/>
      </w:r>
      <w:r w:rsidRPr="00F55732">
        <w:rPr>
          <w:rFonts w:ascii="Times New Roman" w:hAnsi="Times New Roman" w:cs="Times New Roman"/>
          <w:sz w:val="24"/>
          <w:szCs w:val="24"/>
        </w:rPr>
        <w:instrText xml:space="preserve"> REF _Ref469046904 \r \h  \* MERGEFORMAT </w:instrText>
      </w:r>
      <w:r w:rsidRPr="00F55732">
        <w:rPr>
          <w:rFonts w:ascii="Times New Roman" w:hAnsi="Times New Roman" w:cs="Times New Roman"/>
          <w:sz w:val="24"/>
          <w:szCs w:val="24"/>
        </w:rPr>
        <w:fldChar w:fldCharType="separate"/>
      </w:r>
      <w:r w:rsidR="00940B04">
        <w:rPr>
          <w:rFonts w:ascii="Times New Roman" w:hAnsi="Times New Roman" w:cs="Times New Roman"/>
          <w:b/>
          <w:bCs/>
          <w:sz w:val="24"/>
          <w:szCs w:val="24"/>
          <w:lang w:val="en-US"/>
        </w:rPr>
        <w:t>Error! Reference source not found.</w:t>
      </w:r>
      <w:r w:rsidRPr="00F55732">
        <w:rPr>
          <w:rFonts w:ascii="Times New Roman" w:hAnsi="Times New Roman" w:cs="Times New Roman"/>
          <w:sz w:val="24"/>
          <w:szCs w:val="24"/>
        </w:rPr>
        <w:fldChar w:fldCharType="end"/>
      </w:r>
      <w:r w:rsidRPr="00F55732">
        <w:rPr>
          <w:rFonts w:ascii="Times New Roman" w:hAnsi="Times New Roman" w:cs="Times New Roman"/>
          <w:sz w:val="24"/>
          <w:szCs w:val="24"/>
        </w:rPr>
        <w:t xml:space="preserve">] for further discussion). </w:t>
      </w:r>
      <w:r w:rsidRPr="00F55732">
        <w:rPr>
          <w:rFonts w:ascii="Times New Roman" w:eastAsia="Calibri" w:hAnsi="Times New Roman" w:cs="Times New Roman"/>
          <w:sz w:val="24"/>
          <w:szCs w:val="24"/>
        </w:rPr>
        <w:t>We believe these proposals would play a significant role in reducing the incidence of harmful phoenix activity.</w:t>
      </w:r>
    </w:p>
    <w:p w:rsidR="0078349D" w:rsidRPr="00F55732" w:rsidRDefault="0078349D" w:rsidP="007E7929">
      <w:pPr>
        <w:spacing w:after="0" w:line="240" w:lineRule="auto"/>
        <w:jc w:val="both"/>
        <w:rPr>
          <w:rFonts w:ascii="Times New Roman" w:hAnsi="Times New Roman" w:cs="Times New Roman"/>
          <w:sz w:val="24"/>
          <w:szCs w:val="24"/>
          <w:highlight w:val="yellow"/>
        </w:rPr>
      </w:pPr>
    </w:p>
    <w:p w:rsidR="0078349D" w:rsidRPr="00F55732" w:rsidRDefault="0078349D" w:rsidP="007E7929">
      <w:pPr>
        <w:pStyle w:val="Heading3"/>
        <w:numPr>
          <w:ilvl w:val="0"/>
          <w:numId w:val="0"/>
        </w:numPr>
        <w:spacing w:before="0" w:line="240" w:lineRule="auto"/>
        <w:ind w:left="720" w:hanging="720"/>
        <w:rPr>
          <w:rFonts w:cs="Times New Roman"/>
        </w:rPr>
      </w:pPr>
      <w:bookmarkStart w:id="2" w:name="_Toc466032809"/>
      <w:bookmarkStart w:id="3" w:name="_Toc466032942"/>
      <w:bookmarkStart w:id="4" w:name="_Toc466386349"/>
      <w:bookmarkStart w:id="5" w:name="_Toc466386628"/>
      <w:bookmarkStart w:id="6" w:name="_Toc466386821"/>
      <w:bookmarkStart w:id="7" w:name="_Toc466387014"/>
      <w:bookmarkStart w:id="8" w:name="_Toc466387629"/>
      <w:bookmarkStart w:id="9" w:name="_Toc466387836"/>
      <w:bookmarkStart w:id="10" w:name="_Toc466388459"/>
      <w:bookmarkStart w:id="11" w:name="_Toc466388999"/>
      <w:bookmarkStart w:id="12" w:name="_Toc466389204"/>
      <w:bookmarkStart w:id="13" w:name="_Toc466390236"/>
      <w:bookmarkStart w:id="14" w:name="_Toc466390441"/>
      <w:bookmarkStart w:id="15" w:name="_Toc466390647"/>
      <w:bookmarkStart w:id="16" w:name="_Toc466390855"/>
      <w:bookmarkStart w:id="17" w:name="_Toc466391061"/>
      <w:bookmarkStart w:id="18" w:name="_Toc466391266"/>
      <w:bookmarkStart w:id="19" w:name="_Toc466391470"/>
      <w:bookmarkStart w:id="20" w:name="_Toc466391675"/>
      <w:bookmarkStart w:id="21" w:name="_Toc466392845"/>
      <w:bookmarkStart w:id="22" w:name="_Toc466393051"/>
      <w:bookmarkStart w:id="23" w:name="_Toc466888725"/>
      <w:bookmarkStart w:id="24" w:name="_Public_availability_of"/>
      <w:bookmarkStart w:id="25" w:name="_Toc465872684"/>
      <w:bookmarkStart w:id="26" w:name="_Ref469047056"/>
      <w:bookmarkStart w:id="27" w:name="_Ref469321340"/>
      <w:bookmarkStart w:id="28" w:name="_Ref469481538"/>
      <w:bookmarkStart w:id="29" w:name="_Ref470095689"/>
      <w:bookmarkStart w:id="30" w:name="_Ref474391910"/>
      <w:bookmarkStart w:id="31" w:name="_Toc4756901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55732">
        <w:rPr>
          <w:rFonts w:cs="Times New Roman"/>
        </w:rPr>
        <w:t>Public availability of data</w:t>
      </w:r>
      <w:bookmarkEnd w:id="25"/>
      <w:bookmarkEnd w:id="26"/>
      <w:bookmarkEnd w:id="27"/>
      <w:bookmarkEnd w:id="28"/>
      <w:bookmarkEnd w:id="29"/>
      <w:bookmarkEnd w:id="30"/>
      <w:bookmarkEnd w:id="31"/>
    </w:p>
    <w:p w:rsidR="0078349D" w:rsidRPr="00F55732" w:rsidRDefault="0078349D" w:rsidP="007E7929">
      <w:pPr>
        <w:spacing w:after="0" w:line="240" w:lineRule="auto"/>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An ounce of prevention is worth a pound of cure, so the saying goes. Potential victims of harmful phoenix activity can avoid being hurt by equipping themselves with information. This has the capacity to reduce the demand for later enforcement action by regulators. The abuse of the corporate form through phoenix activity is able to exist partly because of its ability to masquerade as a legitimate business rescue. The more information that is in the hands of creditors and employees before the event, the more likely it is that harmful phoenix activity will lose its appeal.</w:t>
      </w:r>
      <w:r w:rsidRPr="00F55732">
        <w:rPr>
          <w:rStyle w:val="FootnoteReference"/>
          <w:rFonts w:ascii="Times New Roman" w:hAnsi="Times New Roman" w:cs="Times New Roman"/>
          <w:sz w:val="24"/>
          <w:szCs w:val="24"/>
        </w:rPr>
        <w:footnoteReference w:id="1"/>
      </w:r>
      <w:r w:rsidRPr="00F55732">
        <w:rPr>
          <w:rFonts w:ascii="Times New Roman" w:hAnsi="Times New Roman" w:cs="Times New Roman"/>
          <w:sz w:val="24"/>
          <w:szCs w:val="24"/>
        </w:rPr>
        <w:t xml:space="preserve"> </w:t>
      </w:r>
    </w:p>
    <w:p w:rsidR="0078349D" w:rsidRPr="00F55732" w:rsidRDefault="0078349D" w:rsidP="007E7929">
      <w:pPr>
        <w:spacing w:after="0" w:line="240" w:lineRule="auto"/>
        <w:jc w:val="both"/>
        <w:rPr>
          <w:rFonts w:ascii="Times New Roman" w:hAnsi="Times New Roman" w:cs="Times New Roman"/>
          <w:sz w:val="24"/>
          <w:szCs w:val="24"/>
        </w:rPr>
      </w:pPr>
    </w:p>
    <w:p w:rsidR="0078349D"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Currently, harmful phoenix activity is simply too easy and too profitable for many offenders to resist, since it is unlikely that anyone will ‘join the dots’. Creditors have little chance of detecting directors’ history of repeated phoenix activity from publicly available records about the company they are presently dealing with. There is limited information available without charge on ASIC’s databases. Even if company documents are bought, a search of its documents does not reveal the past corporate history of its directors or other company officers. </w:t>
      </w:r>
    </w:p>
    <w:p w:rsidR="007E7929" w:rsidRPr="00F55732" w:rsidRDefault="007E7929"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We are not the only ones calling for ASIC information to be widely available. The Senate Economics References Committee looking at ASIC’s performance in 2014 recommended that ASIC ‘promote “informed participation” in the market by making information more accessible and presented in an informative way.’</w:t>
      </w:r>
      <w:r w:rsidRPr="00F55732">
        <w:rPr>
          <w:rStyle w:val="FootnoteReference"/>
          <w:rFonts w:ascii="Times New Roman" w:hAnsi="Times New Roman" w:cs="Times New Roman"/>
          <w:sz w:val="24"/>
          <w:szCs w:val="24"/>
        </w:rPr>
        <w:footnoteReference w:id="2"/>
      </w:r>
      <w:r w:rsidRPr="00F55732">
        <w:rPr>
          <w:rFonts w:ascii="Times New Roman" w:hAnsi="Times New Roman" w:cs="Times New Roman"/>
          <w:sz w:val="24"/>
          <w:szCs w:val="24"/>
        </w:rPr>
        <w:t xml:space="preserve"> The lack of easily locatable information about directors’ prior corporate history cannot be justified as ‘red-tape reduction’. The information is already there. It simply needs to be collated from existing document lodgements and made available by ASIC. Nor is the information confidential. It is already in the public domain, and with enough searching and paying for documents, a creditor would be able to locate it. Indeed, credit reporting agencies can piece the information together if creditors are prepared to pay for it, and larger suppliers commonly use their services for this purpose.</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The parties who lack access to information but for whom information is crucial for self-protection are independent contractors and other small unsecured trade creditors for whom paid credit searching may not be economical. Because these parties are unable to enforce their debts </w:t>
      </w:r>
      <w:r w:rsidRPr="00F55732">
        <w:rPr>
          <w:rFonts w:ascii="Times New Roman" w:hAnsi="Times New Roman" w:cs="Times New Roman"/>
          <w:sz w:val="24"/>
          <w:szCs w:val="24"/>
        </w:rPr>
        <w:lastRenderedPageBreak/>
        <w:t>directly once the company enters liquidation,</w:t>
      </w:r>
      <w:r w:rsidRPr="00F55732">
        <w:rPr>
          <w:rStyle w:val="FootnoteReference"/>
          <w:rFonts w:ascii="Times New Roman" w:hAnsi="Times New Roman" w:cs="Times New Roman"/>
          <w:sz w:val="24"/>
          <w:szCs w:val="24"/>
        </w:rPr>
        <w:footnoteReference w:id="3"/>
      </w:r>
      <w:r w:rsidRPr="00F55732">
        <w:rPr>
          <w:rFonts w:ascii="Times New Roman" w:hAnsi="Times New Roman" w:cs="Times New Roman"/>
          <w:sz w:val="24"/>
          <w:szCs w:val="24"/>
        </w:rPr>
        <w:t xml:space="preserve"> any recovery they receive is at the lowest rank of unsecured creditor. This typically is less than 11 cents in the dollar.</w:t>
      </w:r>
      <w:bookmarkStart w:id="32" w:name="_Ref471212444"/>
      <w:r w:rsidRPr="00F55732">
        <w:rPr>
          <w:rStyle w:val="FootnoteReference"/>
          <w:rFonts w:ascii="Times New Roman" w:hAnsi="Times New Roman" w:cs="Times New Roman"/>
          <w:sz w:val="24"/>
          <w:szCs w:val="24"/>
        </w:rPr>
        <w:footnoteReference w:id="4"/>
      </w:r>
      <w:bookmarkEnd w:id="32"/>
      <w:r w:rsidRPr="00F55732">
        <w:rPr>
          <w:rFonts w:ascii="Times New Roman" w:hAnsi="Times New Roman" w:cs="Times New Roman"/>
          <w:sz w:val="24"/>
          <w:szCs w:val="24"/>
        </w:rPr>
        <w:t xml:space="preserve"> These parties need information </w:t>
      </w:r>
      <w:r w:rsidRPr="00F55732">
        <w:rPr>
          <w:rFonts w:ascii="Times New Roman" w:hAnsi="Times New Roman" w:cs="Times New Roman"/>
          <w:i/>
          <w:sz w:val="24"/>
          <w:szCs w:val="24"/>
        </w:rPr>
        <w:t>before</w:t>
      </w:r>
      <w:r w:rsidRPr="00F55732">
        <w:rPr>
          <w:rFonts w:ascii="Times New Roman" w:hAnsi="Times New Roman" w:cs="Times New Roman"/>
          <w:sz w:val="24"/>
          <w:szCs w:val="24"/>
        </w:rPr>
        <w:t xml:space="preserve"> any contract is entered into</w:t>
      </w:r>
      <w:r w:rsidRPr="00F55732">
        <w:rPr>
          <w:rStyle w:val="FootnoteReference"/>
          <w:rFonts w:ascii="Times New Roman" w:hAnsi="Times New Roman" w:cs="Times New Roman"/>
          <w:sz w:val="24"/>
          <w:szCs w:val="24"/>
        </w:rPr>
        <w:footnoteReference w:id="5"/>
      </w:r>
      <w:r w:rsidRPr="00F55732">
        <w:rPr>
          <w:rFonts w:ascii="Times New Roman" w:hAnsi="Times New Roman" w:cs="Times New Roman"/>
          <w:sz w:val="24"/>
          <w:szCs w:val="24"/>
        </w:rPr>
        <w:t xml:space="preserve"> so that a decision can be made whether to do business with this company at all and if so, what price to charge. Once again, this lack of information was highlighted by the 2015 SERC Construction Insolvency Report, and their first recommendation was that </w:t>
      </w:r>
    </w:p>
    <w:p w:rsidR="0078349D" w:rsidRPr="00F55732" w:rsidRDefault="0078349D" w:rsidP="007E7929">
      <w:pPr>
        <w:spacing w:after="0" w:line="240" w:lineRule="auto"/>
        <w:ind w:left="720"/>
        <w:jc w:val="both"/>
        <w:rPr>
          <w:rFonts w:ascii="Times New Roman" w:hAnsi="Times New Roman" w:cs="Times New Roman"/>
          <w:sz w:val="24"/>
          <w:szCs w:val="24"/>
        </w:rPr>
      </w:pPr>
      <w:r w:rsidRPr="00F55732">
        <w:rPr>
          <w:rFonts w:ascii="Times New Roman" w:hAnsi="Times New Roman" w:cs="Times New Roman"/>
          <w:sz w:val="24"/>
          <w:szCs w:val="24"/>
        </w:rPr>
        <w:t>ASIC conduct a review of administrators’ and liquidators’ reporting requirements and the range and extent of information it requires to be reported and, where necessary, make changes that will ensure the regulator is able to fully inform itself, the Parliament and the public with complete, relevant and up-to-date data on insolvencies.</w:t>
      </w:r>
      <w:r w:rsidRPr="00F55732">
        <w:rPr>
          <w:rStyle w:val="FootnoteReference"/>
          <w:rFonts w:ascii="Times New Roman" w:hAnsi="Times New Roman" w:cs="Times New Roman"/>
          <w:sz w:val="24"/>
          <w:szCs w:val="24"/>
        </w:rPr>
        <w:footnoteReference w:id="6"/>
      </w:r>
    </w:p>
    <w:p w:rsidR="0078349D" w:rsidRPr="00F55732" w:rsidRDefault="0078349D" w:rsidP="007E7929">
      <w:pPr>
        <w:spacing w:after="0" w:line="240" w:lineRule="auto"/>
        <w:ind w:left="720"/>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This was followed up with recommendations about ‘early warning to industry participants about repeat and concerning insolvent practices’</w:t>
      </w:r>
      <w:r w:rsidRPr="00F55732">
        <w:rPr>
          <w:rStyle w:val="FootnoteReference"/>
          <w:rFonts w:ascii="Times New Roman" w:hAnsi="Times New Roman" w:cs="Times New Roman"/>
          <w:sz w:val="24"/>
          <w:szCs w:val="24"/>
        </w:rPr>
        <w:footnoteReference w:id="7"/>
      </w:r>
      <w:r w:rsidRPr="00F55732">
        <w:rPr>
          <w:rFonts w:ascii="Times New Roman" w:hAnsi="Times New Roman" w:cs="Times New Roman"/>
          <w:sz w:val="24"/>
          <w:szCs w:val="24"/>
        </w:rPr>
        <w:t xml:space="preserve"> and ‘that regulators increase engagement efforts with industry participants aimed at increasing and enhancing information flows.’</w:t>
      </w:r>
      <w:r w:rsidRPr="00F55732">
        <w:rPr>
          <w:rStyle w:val="FootnoteReference"/>
          <w:rFonts w:ascii="Times New Roman" w:hAnsi="Times New Roman" w:cs="Times New Roman"/>
          <w:sz w:val="24"/>
          <w:szCs w:val="24"/>
        </w:rPr>
        <w:footnoteReference w:id="8"/>
      </w:r>
      <w:r w:rsidRPr="00F55732">
        <w:rPr>
          <w:rFonts w:ascii="Times New Roman" w:hAnsi="Times New Roman" w:cs="Times New Roman"/>
          <w:sz w:val="24"/>
          <w:szCs w:val="24"/>
        </w:rPr>
        <w:t xml:space="preserve"> Of particular importance is their recommendation ‘that ASIC and Australian Financial Security Authority company records be available online </w:t>
      </w:r>
      <w:r w:rsidRPr="00F55732">
        <w:rPr>
          <w:rFonts w:ascii="Times New Roman" w:hAnsi="Times New Roman" w:cs="Times New Roman"/>
          <w:i/>
          <w:sz w:val="24"/>
          <w:szCs w:val="24"/>
        </w:rPr>
        <w:t>without payment of a fee</w:t>
      </w:r>
      <w:r w:rsidRPr="00F55732">
        <w:rPr>
          <w:rFonts w:ascii="Times New Roman" w:hAnsi="Times New Roman" w:cs="Times New Roman"/>
          <w:sz w:val="24"/>
          <w:szCs w:val="24"/>
        </w:rPr>
        <w:t>.’</w:t>
      </w:r>
      <w:r w:rsidRPr="00F55732">
        <w:rPr>
          <w:rStyle w:val="FootnoteReference"/>
          <w:rFonts w:ascii="Times New Roman" w:hAnsi="Times New Roman" w:cs="Times New Roman"/>
          <w:sz w:val="24"/>
          <w:szCs w:val="24"/>
        </w:rPr>
        <w:footnoteReference w:id="9"/>
      </w:r>
      <w:r w:rsidRPr="00F55732">
        <w:rPr>
          <w:rFonts w:ascii="Times New Roman" w:hAnsi="Times New Roman" w:cs="Times New Roman"/>
          <w:sz w:val="24"/>
          <w:szCs w:val="24"/>
        </w:rPr>
        <w:t xml:space="preserve"> </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The Australian Government has abandoned its plans to privatise the ASIC registry. However, it is important not to equate the decision to abandon the privatisation of the ASIC registry with a decision to make ASIC information free-of-charge. Indeed, the fact that the decision to abandon privatisation was made on financial grounds</w:t>
      </w:r>
      <w:bookmarkStart w:id="33" w:name="_Ref472602629"/>
      <w:r w:rsidRPr="00F55732">
        <w:rPr>
          <w:rStyle w:val="FootnoteReference"/>
          <w:rFonts w:ascii="Times New Roman" w:hAnsi="Times New Roman" w:cs="Times New Roman"/>
          <w:sz w:val="24"/>
          <w:szCs w:val="24"/>
        </w:rPr>
        <w:footnoteReference w:id="10"/>
      </w:r>
      <w:bookmarkEnd w:id="33"/>
      <w:r w:rsidRPr="00F55732">
        <w:rPr>
          <w:rFonts w:ascii="Times New Roman" w:hAnsi="Times New Roman" w:cs="Times New Roman"/>
          <w:sz w:val="24"/>
          <w:szCs w:val="24"/>
        </w:rPr>
        <w:t xml:space="preserve"> raises a question about whether the government would be willing to forego the significant revenue generated from ASIC registry fees.</w:t>
      </w:r>
      <w:r w:rsidRPr="00F55732">
        <w:rPr>
          <w:rStyle w:val="FootnoteReference"/>
          <w:rFonts w:ascii="Times New Roman" w:hAnsi="Times New Roman" w:cs="Times New Roman"/>
          <w:sz w:val="24"/>
          <w:szCs w:val="24"/>
        </w:rPr>
        <w:footnoteReference w:id="11"/>
      </w:r>
      <w:r w:rsidRPr="00F55732">
        <w:rPr>
          <w:rFonts w:ascii="Times New Roman" w:hAnsi="Times New Roman" w:cs="Times New Roman"/>
          <w:sz w:val="24"/>
          <w:szCs w:val="24"/>
        </w:rPr>
        <w:t xml:space="preserve"> ASIC and the government need to take the next step of providing free-of-charge access to information in the ASIC registry, for the reasons set out below.</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eastAsiaTheme="majorEastAsia" w:hAnsi="Times New Roman" w:cs="Times New Roman"/>
          <w:sz w:val="24"/>
          <w:szCs w:val="24"/>
        </w:rPr>
      </w:pPr>
      <w:r w:rsidRPr="00F55732">
        <w:rPr>
          <w:rFonts w:ascii="Times New Roman" w:hAnsi="Times New Roman" w:cs="Times New Roman"/>
          <w:sz w:val="24"/>
          <w:szCs w:val="24"/>
        </w:rPr>
        <w:t xml:space="preserve">First, providing free-of-charge access to ASIC registry information appears to be required by the </w:t>
      </w:r>
      <w:r w:rsidRPr="00F55732">
        <w:rPr>
          <w:rFonts w:ascii="Times New Roman" w:eastAsiaTheme="majorEastAsia" w:hAnsi="Times New Roman" w:cs="Times New Roman"/>
          <w:sz w:val="24"/>
          <w:szCs w:val="24"/>
        </w:rPr>
        <w:t>government’s policy for</w:t>
      </w:r>
      <w:r w:rsidRPr="00F55732">
        <w:rPr>
          <w:rFonts w:ascii="Times New Roman" w:eastAsiaTheme="majorEastAsia" w:hAnsi="Times New Roman" w:cs="Times New Roman"/>
          <w:bCs/>
          <w:sz w:val="24"/>
          <w:szCs w:val="24"/>
        </w:rPr>
        <w:t xml:space="preserve"> ‘Better and More Accessible Digital Services’</w:t>
      </w:r>
      <w:r w:rsidRPr="00F55732">
        <w:rPr>
          <w:rFonts w:ascii="Times New Roman" w:eastAsiaTheme="majorEastAsia" w:hAnsi="Times New Roman" w:cs="Times New Roman"/>
          <w:sz w:val="24"/>
          <w:szCs w:val="24"/>
        </w:rPr>
        <w:t>,</w:t>
      </w:r>
      <w:r w:rsidRPr="00F55732">
        <w:rPr>
          <w:rStyle w:val="FootnoteReference"/>
          <w:rFonts w:ascii="Times New Roman" w:hAnsi="Times New Roman" w:cs="Times New Roman"/>
          <w:bCs/>
          <w:sz w:val="24"/>
          <w:szCs w:val="24"/>
        </w:rPr>
        <w:footnoteReference w:id="12"/>
      </w:r>
      <w:r w:rsidRPr="00F55732">
        <w:rPr>
          <w:rFonts w:ascii="Times New Roman" w:eastAsiaTheme="majorEastAsia" w:hAnsi="Times New Roman" w:cs="Times New Roman"/>
          <w:sz w:val="24"/>
          <w:szCs w:val="24"/>
        </w:rPr>
        <w:t xml:space="preserve"> including its Public Data Policy.</w:t>
      </w:r>
      <w:r w:rsidRPr="00F55732">
        <w:rPr>
          <w:rStyle w:val="FootnoteReference"/>
          <w:rFonts w:ascii="Times New Roman" w:hAnsi="Times New Roman" w:cs="Times New Roman"/>
          <w:sz w:val="24"/>
          <w:szCs w:val="24"/>
        </w:rPr>
        <w:footnoteReference w:id="13"/>
      </w:r>
      <w:r w:rsidRPr="00F55732">
        <w:rPr>
          <w:rFonts w:ascii="Times New Roman" w:eastAsiaTheme="majorEastAsia" w:hAnsi="Times New Roman" w:cs="Times New Roman"/>
          <w:sz w:val="24"/>
          <w:szCs w:val="24"/>
        </w:rPr>
        <w:t xml:space="preserve"> The </w:t>
      </w:r>
      <w:r w:rsidRPr="00F55732">
        <w:rPr>
          <w:rFonts w:ascii="Times New Roman" w:eastAsia="Calibri" w:hAnsi="Times New Roman" w:cs="Times New Roman"/>
          <w:sz w:val="24"/>
          <w:szCs w:val="24"/>
        </w:rPr>
        <w:t xml:space="preserve">government’s </w:t>
      </w:r>
      <w:r w:rsidRPr="00F55732">
        <w:rPr>
          <w:rFonts w:ascii="Times New Roman" w:eastAsia="Calibri" w:hAnsi="Times New Roman" w:cs="Times New Roman"/>
          <w:i/>
          <w:sz w:val="24"/>
          <w:szCs w:val="24"/>
        </w:rPr>
        <w:t>Public Data Policy Statement</w:t>
      </w:r>
      <w:r w:rsidRPr="00F55732">
        <w:rPr>
          <w:rFonts w:ascii="Times New Roman" w:eastAsia="Calibri" w:hAnsi="Times New Roman" w:cs="Times New Roman"/>
          <w:sz w:val="24"/>
          <w:szCs w:val="24"/>
        </w:rPr>
        <w:t xml:space="preserve"> provides that Australian Government entities will ‘where possible, make data available with free, easy to use, high quality and reliable Application Programming Interfaces’ and ‘only charge for specialised data </w:t>
      </w:r>
      <w:r w:rsidRPr="00F55732">
        <w:rPr>
          <w:rFonts w:ascii="Times New Roman" w:eastAsia="Calibri" w:hAnsi="Times New Roman" w:cs="Times New Roman"/>
          <w:sz w:val="24"/>
          <w:szCs w:val="24"/>
        </w:rPr>
        <w:lastRenderedPageBreak/>
        <w:t>services and, where possible, publish the resulting data open by default.’</w:t>
      </w:r>
      <w:bookmarkStart w:id="34" w:name="_Ref472610746"/>
      <w:r w:rsidRPr="00F55732">
        <w:rPr>
          <w:rFonts w:ascii="Times New Roman" w:eastAsia="Calibri" w:hAnsi="Times New Roman" w:cs="Times New Roman"/>
          <w:sz w:val="24"/>
          <w:szCs w:val="24"/>
          <w:vertAlign w:val="superscript"/>
        </w:rPr>
        <w:footnoteReference w:id="14"/>
      </w:r>
      <w:bookmarkEnd w:id="34"/>
      <w:r w:rsidRPr="00F55732">
        <w:rPr>
          <w:rFonts w:ascii="Times New Roman" w:eastAsiaTheme="majorEastAsia" w:hAnsi="Times New Roman" w:cs="Times New Roman"/>
          <w:sz w:val="24"/>
          <w:szCs w:val="24"/>
        </w:rPr>
        <w:t xml:space="preserve"> </w:t>
      </w:r>
      <w:r w:rsidRPr="00F55732">
        <w:rPr>
          <w:rFonts w:ascii="Times New Roman" w:hAnsi="Times New Roman" w:cs="Times New Roman"/>
          <w:sz w:val="24"/>
          <w:szCs w:val="24"/>
        </w:rPr>
        <w:t>As CPA Australia CEO Alex Malley observed, privatisation of the ASIC registry ‘has always been in conflict with the government’s own open data policy which commits to release non-sensitive data as open by default.’</w:t>
      </w:r>
      <w:r w:rsidRPr="00F55732">
        <w:rPr>
          <w:rStyle w:val="FootnoteReference"/>
          <w:rFonts w:ascii="Times New Roman" w:hAnsi="Times New Roman" w:cs="Times New Roman"/>
          <w:sz w:val="24"/>
          <w:szCs w:val="24"/>
        </w:rPr>
        <w:footnoteReference w:id="15"/>
      </w:r>
      <w:r w:rsidRPr="00F55732">
        <w:rPr>
          <w:rFonts w:ascii="Times New Roman" w:hAnsi="Times New Roman" w:cs="Times New Roman"/>
          <w:sz w:val="24"/>
          <w:szCs w:val="24"/>
        </w:rPr>
        <w:t xml:space="preserve"> </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Second, making corporate registry information available free-of-charge is consistent with the approach being taken to this issue overseas. Mr Malley remarked in response to the government’s decision to abandon its plans to privatise the ASIC Registry, ‘[t]he challenge ahead is that registry information that is free in other comparable jurisdictions like the USA, UK and New Zealand is expensive and difficult to access here. That’s something that needs to be addressed.’</w:t>
      </w:r>
      <w:r w:rsidRPr="00F55732">
        <w:rPr>
          <w:rStyle w:val="FootnoteReference"/>
          <w:rFonts w:ascii="Times New Roman" w:hAnsi="Times New Roman" w:cs="Times New Roman"/>
          <w:sz w:val="24"/>
          <w:szCs w:val="24"/>
        </w:rPr>
        <w:footnoteReference w:id="16"/>
      </w:r>
      <w:r w:rsidRPr="00F55732">
        <w:rPr>
          <w:rFonts w:ascii="Times New Roman" w:hAnsi="Times New Roman" w:cs="Times New Roman"/>
          <w:sz w:val="24"/>
          <w:szCs w:val="24"/>
        </w:rPr>
        <w:t xml:space="preserve"> Increased transparency in Australia would follow the trend set in European Union countries</w:t>
      </w:r>
      <w:r w:rsidRPr="00F55732">
        <w:rPr>
          <w:rStyle w:val="FootnoteReference"/>
          <w:rFonts w:ascii="Times New Roman" w:hAnsi="Times New Roman" w:cs="Times New Roman"/>
          <w:sz w:val="24"/>
          <w:szCs w:val="24"/>
        </w:rPr>
        <w:footnoteReference w:id="17"/>
      </w:r>
      <w:r w:rsidRPr="00F55732">
        <w:rPr>
          <w:rFonts w:ascii="Times New Roman" w:hAnsi="Times New Roman" w:cs="Times New Roman"/>
          <w:sz w:val="24"/>
          <w:szCs w:val="24"/>
        </w:rPr>
        <w:t xml:space="preserve"> and the UK.</w:t>
      </w:r>
      <w:r w:rsidRPr="00F55732">
        <w:rPr>
          <w:rStyle w:val="FootnoteReference"/>
          <w:rFonts w:ascii="Times New Roman" w:hAnsi="Times New Roman" w:cs="Times New Roman"/>
          <w:sz w:val="24"/>
          <w:szCs w:val="24"/>
        </w:rPr>
        <w:footnoteReference w:id="18"/>
      </w:r>
      <w:r w:rsidRPr="00F55732">
        <w:rPr>
          <w:rFonts w:ascii="Times New Roman" w:hAnsi="Times New Roman" w:cs="Times New Roman"/>
          <w:sz w:val="24"/>
          <w:szCs w:val="24"/>
        </w:rPr>
        <w:t xml:space="preserve"> According to UK Secretary of State for Business, Innovation and Skills, the Rt Hon Dr Vince Cable,</w:t>
      </w:r>
    </w:p>
    <w:p w:rsidR="0078349D" w:rsidRPr="00F55732" w:rsidRDefault="0078349D" w:rsidP="007E7929">
      <w:pPr>
        <w:spacing w:after="0" w:line="240" w:lineRule="auto"/>
        <w:ind w:left="720"/>
        <w:jc w:val="both"/>
        <w:rPr>
          <w:rFonts w:ascii="Times New Roman" w:hAnsi="Times New Roman" w:cs="Times New Roman"/>
          <w:sz w:val="24"/>
          <w:szCs w:val="24"/>
        </w:rPr>
      </w:pPr>
      <w:r w:rsidRPr="00F55732">
        <w:rPr>
          <w:rFonts w:ascii="Times New Roman" w:hAnsi="Times New Roman" w:cs="Times New Roman"/>
          <w:sz w:val="24"/>
          <w:szCs w:val="24"/>
        </w:rPr>
        <w:t>[t]he government firmly believes that the best way to maximise the value to the UK economy of the information which Companies House holds, is for it to be available as open data. By making its data freely available and free of charge, Companies House is making the UK a more transparent, efficient and effective place to do business.</w:t>
      </w:r>
      <w:r w:rsidRPr="00F55732">
        <w:rPr>
          <w:rStyle w:val="FootnoteReference"/>
          <w:rFonts w:ascii="Times New Roman" w:hAnsi="Times New Roman" w:cs="Times New Roman"/>
          <w:sz w:val="24"/>
          <w:szCs w:val="24"/>
        </w:rPr>
        <w:footnoteReference w:id="19"/>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UK Companies House still charges small fees to access certain more detailed documents about companies, such as £1 for a ‘company record’ or ‘mortgage statement’.</w:t>
      </w:r>
      <w:r w:rsidRPr="00F55732">
        <w:rPr>
          <w:rStyle w:val="FootnoteReference"/>
          <w:rFonts w:ascii="Times New Roman" w:hAnsi="Times New Roman" w:cs="Times New Roman"/>
          <w:sz w:val="24"/>
          <w:szCs w:val="24"/>
        </w:rPr>
        <w:footnoteReference w:id="20"/>
      </w:r>
      <w:r w:rsidRPr="00F55732">
        <w:rPr>
          <w:rFonts w:ascii="Times New Roman" w:hAnsi="Times New Roman" w:cs="Times New Roman"/>
          <w:sz w:val="24"/>
          <w:szCs w:val="24"/>
        </w:rPr>
        <w:t xml:space="preserve"> However, a large amount of basic information is now free-of-charge via a user friendly-search engine,</w:t>
      </w:r>
      <w:r w:rsidRPr="00F55732">
        <w:rPr>
          <w:rStyle w:val="FootnoteReference"/>
          <w:rFonts w:ascii="Times New Roman" w:hAnsi="Times New Roman" w:cs="Times New Roman"/>
          <w:sz w:val="24"/>
          <w:szCs w:val="24"/>
        </w:rPr>
        <w:footnoteReference w:id="21"/>
      </w:r>
      <w:r w:rsidRPr="00F55732">
        <w:rPr>
          <w:rFonts w:ascii="Times New Roman" w:hAnsi="Times New Roman" w:cs="Times New Roman"/>
          <w:sz w:val="24"/>
          <w:szCs w:val="24"/>
        </w:rPr>
        <w:t xml:space="preserve"> including: an overview of the company and its status; its filing history with hyperlinks to the corresponding PDF documents; a list of active and resigned officeholders; and insolvency information, among other details. It is possible to search for either a company or an officer and then click into the company or officer to determine which officers are associated with which companies and vice versa. Importantly, the register indicates whether officers are disqualified and provides basic details of the disqualification. As discussed further at [</w:t>
      </w:r>
      <w:r w:rsidRPr="00F55732">
        <w:rPr>
          <w:rFonts w:ascii="Times New Roman" w:hAnsi="Times New Roman" w:cs="Times New Roman"/>
          <w:sz w:val="24"/>
          <w:szCs w:val="24"/>
        </w:rPr>
        <w:fldChar w:fldCharType="begin"/>
      </w:r>
      <w:r w:rsidRPr="00F55732">
        <w:rPr>
          <w:rFonts w:ascii="Times New Roman" w:hAnsi="Times New Roman" w:cs="Times New Roman"/>
          <w:sz w:val="24"/>
          <w:szCs w:val="24"/>
        </w:rPr>
        <w:instrText xml:space="preserve"> REF _Ref469048383 \r \h  \* MERGEFORMAT </w:instrText>
      </w:r>
      <w:r w:rsidRPr="00F55732">
        <w:rPr>
          <w:rFonts w:ascii="Times New Roman" w:hAnsi="Times New Roman" w:cs="Times New Roman"/>
          <w:sz w:val="24"/>
          <w:szCs w:val="24"/>
        </w:rPr>
        <w:fldChar w:fldCharType="separate"/>
      </w:r>
      <w:r w:rsidR="00940B04">
        <w:rPr>
          <w:rFonts w:ascii="Times New Roman" w:hAnsi="Times New Roman" w:cs="Times New Roman"/>
          <w:b/>
          <w:bCs/>
          <w:sz w:val="24"/>
          <w:szCs w:val="24"/>
          <w:lang w:val="en-US"/>
        </w:rPr>
        <w:t>Error! Reference source not found.</w:t>
      </w:r>
      <w:r w:rsidRPr="00F55732">
        <w:rPr>
          <w:rFonts w:ascii="Times New Roman" w:hAnsi="Times New Roman" w:cs="Times New Roman"/>
          <w:sz w:val="24"/>
          <w:szCs w:val="24"/>
        </w:rPr>
        <w:fldChar w:fldCharType="end"/>
      </w:r>
      <w:r w:rsidRPr="00F55732">
        <w:rPr>
          <w:rFonts w:ascii="Times New Roman" w:hAnsi="Times New Roman" w:cs="Times New Roman"/>
          <w:sz w:val="24"/>
          <w:szCs w:val="24"/>
        </w:rPr>
        <w:t>], detailed information about disqualifications, including a summary of the misconduct that gave rise to the disqualification, is made available by the UK Insolvency Service for three months following the disqualification.</w:t>
      </w:r>
      <w:bookmarkStart w:id="36" w:name="_Ref472611229"/>
      <w:r w:rsidRPr="00F55732">
        <w:rPr>
          <w:rStyle w:val="FootnoteReference"/>
          <w:rFonts w:ascii="Times New Roman" w:hAnsi="Times New Roman" w:cs="Times New Roman"/>
          <w:sz w:val="24"/>
          <w:szCs w:val="24"/>
        </w:rPr>
        <w:footnoteReference w:id="22"/>
      </w:r>
      <w:bookmarkEnd w:id="36"/>
      <w:r w:rsidRPr="00F55732">
        <w:rPr>
          <w:rFonts w:ascii="Times New Roman" w:hAnsi="Times New Roman" w:cs="Times New Roman"/>
          <w:sz w:val="24"/>
          <w:szCs w:val="24"/>
        </w:rPr>
        <w:t xml:space="preserve"> </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lastRenderedPageBreak/>
        <w:t>France has recently announced the introduction of an online, publicly accessible, register of trusts containing information about the trust and its trustees, settlors and beneficiaries.</w:t>
      </w:r>
      <w:r w:rsidRPr="00F55732">
        <w:rPr>
          <w:rStyle w:val="FootnoteReference"/>
          <w:rFonts w:ascii="Times New Roman" w:hAnsi="Times New Roman" w:cs="Times New Roman"/>
          <w:sz w:val="24"/>
          <w:szCs w:val="24"/>
        </w:rPr>
        <w:footnoteReference w:id="23"/>
      </w:r>
      <w:r w:rsidRPr="00F55732">
        <w:rPr>
          <w:rFonts w:ascii="Times New Roman" w:hAnsi="Times New Roman" w:cs="Times New Roman"/>
          <w:sz w:val="24"/>
          <w:szCs w:val="24"/>
        </w:rPr>
        <w:t xml:space="preserve"> Providing transparency about trusts is intended to end ‘use of shell companies for tax evasion, money laundering and financing illicit activities.’</w:t>
      </w:r>
      <w:r w:rsidRPr="00F55732">
        <w:rPr>
          <w:rStyle w:val="FootnoteReference"/>
          <w:rFonts w:ascii="Times New Roman" w:hAnsi="Times New Roman" w:cs="Times New Roman"/>
          <w:sz w:val="24"/>
          <w:szCs w:val="24"/>
        </w:rPr>
        <w:footnoteReference w:id="24"/>
      </w:r>
      <w:r w:rsidRPr="00F55732">
        <w:rPr>
          <w:rFonts w:ascii="Times New Roman" w:hAnsi="Times New Roman" w:cs="Times New Roman"/>
          <w:sz w:val="24"/>
          <w:szCs w:val="24"/>
        </w:rPr>
        <w:t xml:space="preserve"> </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Third, there is now a mounting body of evidence indicating that open data adds significant value to the economy. Lateral Economics estimates the potential value of open data (including government, research, private and business data) to the Australian economy at up to $64 billion per annum,</w:t>
      </w:r>
      <w:r w:rsidRPr="00F55732">
        <w:rPr>
          <w:rStyle w:val="FootnoteReference"/>
          <w:rFonts w:ascii="Times New Roman" w:hAnsi="Times New Roman" w:cs="Times New Roman"/>
          <w:sz w:val="24"/>
          <w:szCs w:val="24"/>
        </w:rPr>
        <w:footnoteReference w:id="25"/>
      </w:r>
      <w:r w:rsidRPr="00F55732">
        <w:rPr>
          <w:rFonts w:ascii="Times New Roman" w:hAnsi="Times New Roman" w:cs="Times New Roman"/>
          <w:sz w:val="24"/>
          <w:szCs w:val="24"/>
        </w:rPr>
        <w:t xml:space="preserve"> while PwC estimates that data-driven innovation added an estimated $67 billion in new value to the Australian economy in 2013, leaving another $48 billion in unrealised potential value.</w:t>
      </w:r>
      <w:r w:rsidRPr="00F55732">
        <w:rPr>
          <w:rStyle w:val="FootnoteReference"/>
          <w:rFonts w:ascii="Times New Roman" w:hAnsi="Times New Roman" w:cs="Times New Roman"/>
          <w:sz w:val="24"/>
          <w:szCs w:val="24"/>
        </w:rPr>
        <w:footnoteReference w:id="26"/>
      </w:r>
      <w:r w:rsidRPr="00F55732">
        <w:rPr>
          <w:rFonts w:ascii="Times New Roman" w:hAnsi="Times New Roman" w:cs="Times New Roman"/>
          <w:sz w:val="24"/>
          <w:szCs w:val="24"/>
        </w:rPr>
        <w:t xml:space="preserve"> PwC concludes that ‘[g]overnment should prioritise the provision of open data as a key input for the Australian economy and provide senior political leadership to “get on with it” in order to support wider innovation by other players.’</w:t>
      </w:r>
      <w:r w:rsidRPr="00F55732">
        <w:rPr>
          <w:rStyle w:val="FootnoteReference"/>
          <w:rFonts w:ascii="Times New Roman" w:hAnsi="Times New Roman" w:cs="Times New Roman"/>
          <w:sz w:val="24"/>
          <w:szCs w:val="24"/>
        </w:rPr>
        <w:footnoteReference w:id="27"/>
      </w:r>
      <w:r w:rsidRPr="00F55732">
        <w:rPr>
          <w:rFonts w:ascii="Times New Roman" w:hAnsi="Times New Roman" w:cs="Times New Roman"/>
          <w:sz w:val="24"/>
          <w:szCs w:val="24"/>
        </w:rPr>
        <w:t xml:space="preserve"> The World Bank notes that ‘[w]hile sources differ in their precise estimates of the economic potential of Open Data, all are agreed that it is potentially very large’ and ‘governments should consider how to use their Open Data to enhance economic growth, and should put in place strategies to promote and support the use of data in this way.’</w:t>
      </w:r>
      <w:r w:rsidRPr="00F55732">
        <w:rPr>
          <w:rStyle w:val="FootnoteReference"/>
          <w:rFonts w:ascii="Times New Roman" w:hAnsi="Times New Roman" w:cs="Times New Roman"/>
          <w:sz w:val="24"/>
          <w:szCs w:val="24"/>
        </w:rPr>
        <w:footnoteReference w:id="28"/>
      </w:r>
      <w:r w:rsidRPr="00F55732">
        <w:rPr>
          <w:rFonts w:ascii="Times New Roman" w:hAnsi="Times New Roman" w:cs="Times New Roman"/>
          <w:sz w:val="24"/>
          <w:szCs w:val="24"/>
        </w:rPr>
        <w:t xml:space="preserve"> </w:t>
      </w:r>
    </w:p>
    <w:p w:rsidR="0078349D" w:rsidRPr="00F55732" w:rsidRDefault="0078349D" w:rsidP="007E7929">
      <w:pPr>
        <w:spacing w:after="0" w:line="240" w:lineRule="auto"/>
        <w:ind w:right="-45"/>
        <w:jc w:val="both"/>
        <w:rPr>
          <w:rFonts w:ascii="Times New Roman" w:hAnsi="Times New Roman" w:cs="Times New Roman"/>
          <w:sz w:val="24"/>
          <w:szCs w:val="24"/>
        </w:rPr>
      </w:pPr>
    </w:p>
    <w:p w:rsidR="0078349D" w:rsidRPr="00F55732" w:rsidRDefault="0078349D" w:rsidP="007E7929">
      <w:pPr>
        <w:spacing w:after="0" w:line="240" w:lineRule="auto"/>
        <w:ind w:right="-45"/>
        <w:jc w:val="both"/>
        <w:rPr>
          <w:rFonts w:ascii="Times New Roman" w:hAnsi="Times New Roman" w:cs="Times New Roman"/>
          <w:sz w:val="24"/>
          <w:szCs w:val="24"/>
        </w:rPr>
      </w:pPr>
      <w:r w:rsidRPr="00F55732">
        <w:rPr>
          <w:rFonts w:ascii="Times New Roman" w:hAnsi="Times New Roman" w:cs="Times New Roman"/>
          <w:sz w:val="24"/>
          <w:szCs w:val="24"/>
        </w:rPr>
        <w:t>A report by the Australian Bureau of Communications Research in February 2016, which estimates the value of Open Government Data to the Australian economy at up to $25 billion per year, concluded that ‘[w]hile there is little consensus on the magnitude of the economic benefits of open government data sets, it is apparent that they provide substantial current and potential net benefits to the economy and society.’</w:t>
      </w:r>
      <w:r w:rsidRPr="00F55732">
        <w:rPr>
          <w:rStyle w:val="FootnoteReference"/>
          <w:rFonts w:ascii="Times New Roman" w:hAnsi="Times New Roman" w:cs="Times New Roman"/>
          <w:sz w:val="24"/>
          <w:szCs w:val="24"/>
        </w:rPr>
        <w:footnoteReference w:id="29"/>
      </w:r>
      <w:r w:rsidRPr="00F55732">
        <w:rPr>
          <w:rFonts w:ascii="Times New Roman" w:hAnsi="Times New Roman" w:cs="Times New Roman"/>
          <w:sz w:val="24"/>
          <w:szCs w:val="24"/>
        </w:rPr>
        <w:t xml:space="preserve"> The Bureau consulted with the Securities Industry Research Centre of Asia-Pacific (‘SIRCA’) in the process of preparing the report, which made the following comment in regard to ASIC’s data provision practices:</w:t>
      </w:r>
    </w:p>
    <w:p w:rsidR="0078349D" w:rsidRPr="00F55732" w:rsidRDefault="0078349D" w:rsidP="007E7929">
      <w:pPr>
        <w:autoSpaceDE w:val="0"/>
        <w:autoSpaceDN w:val="0"/>
        <w:adjustRightInd w:val="0"/>
        <w:spacing w:after="0" w:line="240" w:lineRule="auto"/>
        <w:ind w:left="720" w:right="-46"/>
        <w:jc w:val="both"/>
        <w:rPr>
          <w:rFonts w:ascii="Times New Roman" w:eastAsia="Cambria" w:hAnsi="Times New Roman" w:cs="Times New Roman"/>
          <w:sz w:val="24"/>
          <w:szCs w:val="24"/>
        </w:rPr>
      </w:pPr>
      <w:r w:rsidRPr="00F55732">
        <w:rPr>
          <w:rFonts w:ascii="Times New Roman" w:eastAsia="Cambria" w:hAnsi="Times New Roman" w:cs="Times New Roman"/>
          <w:sz w:val="24"/>
          <w:szCs w:val="24"/>
        </w:rPr>
        <w:t>SIRCA believes ASIC’s current model of data provision is limiting innovation; information is only provided on the title of a document with a pay-per-view model for access. There is a significant information asymmetry here—only the holders of data know what is there, while the users don’t have the full picture. With limited information, the opportunities for innovation are not fully understood, and hence the potential business case for opening the data is limited. Fully readable and searchable data would be preferred, noting that similar institutions overseas do provide this service for free to encourage financial system innovation.</w:t>
      </w:r>
      <w:r w:rsidRPr="00F55732">
        <w:rPr>
          <w:rStyle w:val="FootnoteReference"/>
          <w:rFonts w:ascii="Times New Roman" w:eastAsia="Cambria" w:hAnsi="Times New Roman" w:cs="Times New Roman"/>
          <w:sz w:val="24"/>
          <w:szCs w:val="24"/>
        </w:rPr>
        <w:footnoteReference w:id="30"/>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While there are many good reasons for providing better access to corporate registry information, confidentiality restrictions may prevent the disclosure of some information. ASIC’s Regulatory Guide 103 ‘Confidentiality and Release of Information’</w:t>
      </w:r>
      <w:r w:rsidRPr="00F55732">
        <w:rPr>
          <w:rStyle w:val="FootnoteReference"/>
          <w:rFonts w:ascii="Times New Roman" w:hAnsi="Times New Roman" w:cs="Times New Roman"/>
          <w:sz w:val="24"/>
          <w:szCs w:val="24"/>
        </w:rPr>
        <w:footnoteReference w:id="31"/>
      </w:r>
      <w:r w:rsidRPr="00F55732">
        <w:rPr>
          <w:rFonts w:ascii="Times New Roman" w:hAnsi="Times New Roman" w:cs="Times New Roman"/>
          <w:sz w:val="24"/>
          <w:szCs w:val="24"/>
        </w:rPr>
        <w:t xml:space="preserve"> outlines the </w:t>
      </w:r>
      <w:r w:rsidRPr="00F55732">
        <w:rPr>
          <w:rFonts w:ascii="Times New Roman" w:hAnsi="Times New Roman" w:cs="Times New Roman"/>
          <w:sz w:val="24"/>
          <w:szCs w:val="24"/>
        </w:rPr>
        <w:lastRenderedPageBreak/>
        <w:t xml:space="preserve">practices it has adopted in relation to disclosure of information based on its reading of the High Court’s decision in </w:t>
      </w:r>
      <w:r w:rsidRPr="00F55732">
        <w:rPr>
          <w:rFonts w:ascii="Times New Roman" w:hAnsi="Times New Roman" w:cs="Times New Roman"/>
          <w:i/>
          <w:sz w:val="24"/>
          <w:szCs w:val="24"/>
        </w:rPr>
        <w:t>Johns v Australian Securities Commission</w:t>
      </w:r>
      <w:r w:rsidRPr="00F55732">
        <w:rPr>
          <w:rFonts w:ascii="Times New Roman" w:hAnsi="Times New Roman" w:cs="Times New Roman"/>
          <w:sz w:val="24"/>
          <w:szCs w:val="24"/>
        </w:rPr>
        <w:t>.</w:t>
      </w:r>
      <w:r w:rsidRPr="00F55732">
        <w:rPr>
          <w:rStyle w:val="FootnoteReference"/>
          <w:rFonts w:ascii="Times New Roman" w:hAnsi="Times New Roman" w:cs="Times New Roman"/>
          <w:sz w:val="24"/>
          <w:szCs w:val="24"/>
        </w:rPr>
        <w:footnoteReference w:id="32"/>
      </w:r>
      <w:r w:rsidRPr="00F55732">
        <w:rPr>
          <w:rFonts w:ascii="Times New Roman" w:hAnsi="Times New Roman" w:cs="Times New Roman"/>
          <w:sz w:val="24"/>
          <w:szCs w:val="24"/>
        </w:rPr>
        <w:t xml:space="preserve"> However, we note that Regulatory Guide 103 has not been updated for over 20 years. As a preliminary step towards wider availability of free information, we recommend that ASIC review and clarify its ability to disclose information about companies and their directors and update its regulatory guidance accordingly.</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Any initiatives to publicise information about company directors must also comply with the provisions of the </w:t>
      </w:r>
      <w:r w:rsidRPr="00F55732">
        <w:rPr>
          <w:rFonts w:ascii="Times New Roman" w:hAnsi="Times New Roman" w:cs="Times New Roman"/>
          <w:i/>
          <w:sz w:val="24"/>
          <w:szCs w:val="24"/>
        </w:rPr>
        <w:t xml:space="preserve">Privacy Act 1988 </w:t>
      </w:r>
      <w:r w:rsidRPr="00F55732">
        <w:rPr>
          <w:rFonts w:ascii="Times New Roman" w:hAnsi="Times New Roman" w:cs="Times New Roman"/>
          <w:sz w:val="24"/>
          <w:szCs w:val="24"/>
        </w:rPr>
        <w:t>(Cth) which was amended in 2012.</w:t>
      </w:r>
      <w:r w:rsidRPr="00F55732">
        <w:rPr>
          <w:rStyle w:val="FootnoteReference"/>
          <w:rFonts w:ascii="Times New Roman" w:hAnsi="Times New Roman" w:cs="Times New Roman"/>
          <w:sz w:val="24"/>
          <w:szCs w:val="24"/>
        </w:rPr>
        <w:footnoteReference w:id="33"/>
      </w:r>
      <w:r w:rsidRPr="00F55732">
        <w:rPr>
          <w:rFonts w:ascii="Times New Roman" w:hAnsi="Times New Roman" w:cs="Times New Roman"/>
          <w:sz w:val="24"/>
          <w:szCs w:val="24"/>
        </w:rPr>
        <w:t xml:space="preserve"> The Act only covers the information of individuals, not companies, and as far as the individuals are concerned, identity verification is not covered by the </w:t>
      </w:r>
      <w:r w:rsidRPr="00F55732">
        <w:rPr>
          <w:rFonts w:ascii="Times New Roman" w:hAnsi="Times New Roman" w:cs="Times New Roman"/>
          <w:i/>
          <w:sz w:val="24"/>
          <w:szCs w:val="24"/>
        </w:rPr>
        <w:t>Privacy Act</w:t>
      </w:r>
      <w:r w:rsidRPr="00F55732">
        <w:rPr>
          <w:rFonts w:ascii="Times New Roman" w:hAnsi="Times New Roman" w:cs="Times New Roman"/>
          <w:sz w:val="24"/>
          <w:szCs w:val="24"/>
        </w:rPr>
        <w:t>.</w:t>
      </w:r>
      <w:r w:rsidRPr="00F55732">
        <w:rPr>
          <w:rStyle w:val="FootnoteReference"/>
          <w:rFonts w:ascii="Times New Roman" w:hAnsi="Times New Roman" w:cs="Times New Roman"/>
          <w:sz w:val="24"/>
          <w:szCs w:val="24"/>
        </w:rPr>
        <w:footnoteReference w:id="34"/>
      </w:r>
      <w:r w:rsidRPr="00F55732">
        <w:rPr>
          <w:rFonts w:ascii="Times New Roman" w:hAnsi="Times New Roman" w:cs="Times New Roman"/>
          <w:sz w:val="24"/>
          <w:szCs w:val="24"/>
        </w:rPr>
        <w:t xml:space="preserve"> The Australian Privacy Principles, which form part of the Act,</w:t>
      </w:r>
      <w:r w:rsidRPr="00F55732">
        <w:rPr>
          <w:rStyle w:val="FootnoteReference"/>
          <w:rFonts w:ascii="Times New Roman" w:hAnsi="Times New Roman" w:cs="Times New Roman"/>
          <w:sz w:val="24"/>
          <w:szCs w:val="24"/>
        </w:rPr>
        <w:footnoteReference w:id="35"/>
      </w:r>
      <w:r w:rsidRPr="00F55732">
        <w:rPr>
          <w:rFonts w:ascii="Times New Roman" w:hAnsi="Times New Roman" w:cs="Times New Roman"/>
          <w:sz w:val="24"/>
          <w:szCs w:val="24"/>
        </w:rPr>
        <w:t xml:space="preserve"> do allow an organisation to adopt a government related identifier of an individual as its own identifier if to do so is authorised by an Australian law or a court or tribunal order.</w:t>
      </w:r>
      <w:r w:rsidRPr="00F55732">
        <w:rPr>
          <w:rStyle w:val="FootnoteReference"/>
          <w:rFonts w:ascii="Times New Roman" w:hAnsi="Times New Roman" w:cs="Times New Roman"/>
          <w:sz w:val="24"/>
          <w:szCs w:val="24"/>
        </w:rPr>
        <w:footnoteReference w:id="36"/>
      </w:r>
      <w:r w:rsidRPr="00F55732">
        <w:rPr>
          <w:rFonts w:ascii="Times New Roman" w:hAnsi="Times New Roman" w:cs="Times New Roman"/>
          <w:sz w:val="24"/>
          <w:szCs w:val="24"/>
        </w:rPr>
        <w:t xml:space="preserve"> Information about prior corporate histories of directors would be covered by the </w:t>
      </w:r>
      <w:r w:rsidRPr="00F55732">
        <w:rPr>
          <w:rFonts w:ascii="Times New Roman" w:hAnsi="Times New Roman" w:cs="Times New Roman"/>
          <w:i/>
          <w:sz w:val="24"/>
          <w:szCs w:val="24"/>
        </w:rPr>
        <w:t>Privacy Act</w:t>
      </w:r>
      <w:r w:rsidRPr="00F55732">
        <w:rPr>
          <w:rFonts w:ascii="Times New Roman" w:hAnsi="Times New Roman" w:cs="Times New Roman"/>
          <w:sz w:val="24"/>
          <w:szCs w:val="24"/>
        </w:rPr>
        <w:t xml:space="preserve"> and must comply with both Australian Privacy Principles, as well as the credit reporting provisions</w:t>
      </w:r>
      <w:r w:rsidRPr="00F55732">
        <w:rPr>
          <w:rStyle w:val="FootnoteReference"/>
          <w:rFonts w:ascii="Times New Roman" w:hAnsi="Times New Roman" w:cs="Times New Roman"/>
          <w:sz w:val="24"/>
          <w:szCs w:val="24"/>
        </w:rPr>
        <w:footnoteReference w:id="37"/>
      </w:r>
      <w:r w:rsidRPr="00F55732">
        <w:rPr>
          <w:rFonts w:ascii="Times New Roman" w:hAnsi="Times New Roman" w:cs="Times New Roman"/>
          <w:sz w:val="24"/>
          <w:szCs w:val="24"/>
        </w:rPr>
        <w:t xml:space="preserve"> of the Act where that information is publicly disseminated by credit reporting agencies.</w:t>
      </w:r>
    </w:p>
    <w:p w:rsidR="0078349D" w:rsidRPr="00F55732" w:rsidRDefault="0078349D" w:rsidP="007E7929">
      <w:pPr>
        <w:spacing w:after="0" w:line="240" w:lineRule="auto"/>
        <w:jc w:val="both"/>
        <w:rPr>
          <w:rFonts w:ascii="Times New Roman" w:hAnsi="Times New Roman" w:cs="Times New Roman"/>
          <w:sz w:val="24"/>
          <w:szCs w:val="24"/>
        </w:rPr>
      </w:pPr>
    </w:p>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However, exemptions from provisions of the </w:t>
      </w:r>
      <w:r w:rsidRPr="00F55732">
        <w:rPr>
          <w:rFonts w:ascii="Times New Roman" w:hAnsi="Times New Roman" w:cs="Times New Roman"/>
          <w:i/>
          <w:sz w:val="24"/>
          <w:szCs w:val="24"/>
        </w:rPr>
        <w:t>Privacy Act</w:t>
      </w:r>
      <w:r w:rsidRPr="00F55732">
        <w:rPr>
          <w:rFonts w:ascii="Times New Roman" w:hAnsi="Times New Roman" w:cs="Times New Roman"/>
          <w:sz w:val="24"/>
          <w:szCs w:val="24"/>
        </w:rPr>
        <w:t xml:space="preserve"> can be obtained, and there should be further exploration of what might be possible here in relation to corporate history information.</w:t>
      </w:r>
    </w:p>
    <w:p w:rsidR="0078349D" w:rsidRPr="00F55732" w:rsidRDefault="0078349D" w:rsidP="007E792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8349D" w:rsidRPr="00F55732" w:rsidTr="00F05099">
        <w:tc>
          <w:tcPr>
            <w:tcW w:w="9242" w:type="dxa"/>
            <w:shd w:val="clear" w:color="auto" w:fill="F2F2F2" w:themeFill="background1" w:themeFillShade="F2"/>
          </w:tcPr>
          <w:p w:rsidR="0078349D" w:rsidRPr="00F55732" w:rsidRDefault="0078349D" w:rsidP="007E7929">
            <w:pPr>
              <w:spacing w:after="0" w:line="240" w:lineRule="auto"/>
              <w:jc w:val="both"/>
              <w:rPr>
                <w:rFonts w:ascii="Times New Roman" w:hAnsi="Times New Roman" w:cs="Times New Roman"/>
                <w:sz w:val="24"/>
                <w:szCs w:val="24"/>
              </w:rPr>
            </w:pPr>
            <w:r w:rsidRPr="00F55732">
              <w:rPr>
                <w:rFonts w:ascii="Times New Roman" w:hAnsi="Times New Roman" w:cs="Times New Roman"/>
                <w:b/>
                <w:sz w:val="24"/>
                <w:szCs w:val="24"/>
              </w:rPr>
              <w:t>Recommendation 8: Make information about companies public and free-of-charge</w:t>
            </w:r>
          </w:p>
          <w:p w:rsidR="0078349D" w:rsidRPr="00F55732" w:rsidRDefault="0078349D" w:rsidP="007E7929">
            <w:pPr>
              <w:pStyle w:val="ListParagraph"/>
              <w:numPr>
                <w:ilvl w:val="0"/>
                <w:numId w:val="7"/>
              </w:num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Australia should follow the lead set in the United Kingdom and some European countries by allowing free searches of lodged company and director information.</w:t>
            </w:r>
          </w:p>
          <w:p w:rsidR="0078349D" w:rsidRPr="00F55732" w:rsidRDefault="0078349D" w:rsidP="007E7929">
            <w:pPr>
              <w:pStyle w:val="ListParagraph"/>
              <w:numPr>
                <w:ilvl w:val="0"/>
                <w:numId w:val="7"/>
              </w:num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ASIC should review and clarify its ability to disclose information about companies and their directors and update its regulatory guidance accordingly.</w:t>
            </w:r>
          </w:p>
          <w:p w:rsidR="0078349D" w:rsidRPr="00F55732" w:rsidRDefault="0078349D" w:rsidP="007E7929">
            <w:pPr>
              <w:pStyle w:val="ListParagraph"/>
              <w:numPr>
                <w:ilvl w:val="0"/>
                <w:numId w:val="7"/>
              </w:num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Where necessary, exemptions should be made to the </w:t>
            </w:r>
            <w:r w:rsidRPr="00F55732">
              <w:rPr>
                <w:rFonts w:ascii="Times New Roman" w:hAnsi="Times New Roman" w:cs="Times New Roman"/>
                <w:i/>
                <w:sz w:val="24"/>
                <w:szCs w:val="24"/>
              </w:rPr>
              <w:t>Privacy Act</w:t>
            </w:r>
            <w:r w:rsidRPr="00F55732">
              <w:rPr>
                <w:rFonts w:ascii="Times New Roman" w:hAnsi="Times New Roman" w:cs="Times New Roman"/>
                <w:sz w:val="24"/>
                <w:szCs w:val="24"/>
              </w:rPr>
              <w:t xml:space="preserve"> to allow easy searching and location of directors’ corporate histories.</w:t>
            </w:r>
          </w:p>
        </w:tc>
      </w:tr>
    </w:tbl>
    <w:p w:rsidR="0078349D" w:rsidRPr="00F55732" w:rsidRDefault="0078349D" w:rsidP="007E7929">
      <w:pPr>
        <w:spacing w:after="0" w:line="240" w:lineRule="auto"/>
        <w:rPr>
          <w:rFonts w:ascii="Times New Roman" w:hAnsi="Times New Roman" w:cs="Times New Roman"/>
          <w:sz w:val="24"/>
          <w:szCs w:val="24"/>
        </w:rPr>
      </w:pPr>
    </w:p>
    <w:p w:rsidR="0078349D" w:rsidRDefault="0078349D" w:rsidP="007E7929">
      <w:pPr>
        <w:spacing w:after="0" w:line="240" w:lineRule="auto"/>
        <w:jc w:val="both"/>
        <w:rPr>
          <w:rFonts w:ascii="Times New Roman" w:hAnsi="Times New Roman" w:cs="Times New Roman"/>
          <w:sz w:val="24"/>
          <w:szCs w:val="24"/>
        </w:rPr>
      </w:pPr>
    </w:p>
    <w:p w:rsidR="0078349D" w:rsidRDefault="0078349D" w:rsidP="007E7929">
      <w:pPr>
        <w:spacing w:after="0" w:line="240" w:lineRule="auto"/>
        <w:jc w:val="both"/>
        <w:rPr>
          <w:rFonts w:ascii="Times New Roman" w:hAnsi="Times New Roman" w:cs="Times New Roman"/>
          <w:sz w:val="24"/>
          <w:szCs w:val="24"/>
        </w:rPr>
      </w:pPr>
    </w:p>
    <w:p w:rsidR="0078349D" w:rsidRDefault="0078349D" w:rsidP="007E7929">
      <w:pPr>
        <w:spacing w:after="0" w:line="240" w:lineRule="auto"/>
        <w:jc w:val="both"/>
        <w:rPr>
          <w:rFonts w:ascii="Times New Roman" w:hAnsi="Times New Roman" w:cs="Times New Roman"/>
          <w:sz w:val="24"/>
          <w:szCs w:val="24"/>
        </w:rPr>
      </w:pPr>
    </w:p>
    <w:p w:rsidR="0078349D" w:rsidRPr="000E3CB8" w:rsidRDefault="0078349D" w:rsidP="007E7929">
      <w:pPr>
        <w:spacing w:after="0" w:line="240" w:lineRule="auto"/>
        <w:jc w:val="both"/>
        <w:rPr>
          <w:rFonts w:ascii="Times New Roman" w:hAnsi="Times New Roman" w:cs="Times New Roman"/>
          <w:sz w:val="24"/>
          <w:szCs w:val="24"/>
        </w:rPr>
      </w:pPr>
    </w:p>
    <w:p w:rsidR="008A666E" w:rsidRPr="000E3CB8" w:rsidRDefault="008A666E" w:rsidP="007E7929">
      <w:pPr>
        <w:spacing w:after="0" w:line="240" w:lineRule="auto"/>
        <w:jc w:val="both"/>
        <w:rPr>
          <w:rFonts w:ascii="Times New Roman" w:hAnsi="Times New Roman" w:cs="Times New Roman"/>
          <w:sz w:val="24"/>
          <w:szCs w:val="24"/>
        </w:rPr>
      </w:pPr>
    </w:p>
    <w:p w:rsidR="000E3CB8" w:rsidRPr="000E3CB8" w:rsidRDefault="000E3CB8" w:rsidP="007E7929">
      <w:pPr>
        <w:pStyle w:val="subsection"/>
        <w:spacing w:before="0"/>
        <w:jc w:val="both"/>
        <w:rPr>
          <w:sz w:val="24"/>
          <w:szCs w:val="24"/>
        </w:rPr>
      </w:pPr>
    </w:p>
    <w:sectPr w:rsidR="000E3CB8" w:rsidRPr="000E3C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01" w:rsidRDefault="00D04401" w:rsidP="00D45501">
      <w:pPr>
        <w:spacing w:after="0" w:line="240" w:lineRule="auto"/>
      </w:pPr>
      <w:r>
        <w:separator/>
      </w:r>
    </w:p>
  </w:endnote>
  <w:endnote w:type="continuationSeparator" w:id="0">
    <w:p w:rsidR="00D04401" w:rsidRDefault="00D04401" w:rsidP="00D4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60821817"/>
      <w:docPartObj>
        <w:docPartGallery w:val="Page Numbers (Bottom of Page)"/>
        <w:docPartUnique/>
      </w:docPartObj>
    </w:sdtPr>
    <w:sdtEndPr>
      <w:rPr>
        <w:noProof/>
      </w:rPr>
    </w:sdtEndPr>
    <w:sdtContent>
      <w:p w:rsidR="006A0D16" w:rsidRPr="006A0D16" w:rsidRDefault="006A0D16">
        <w:pPr>
          <w:pStyle w:val="Footer"/>
          <w:jc w:val="right"/>
          <w:rPr>
            <w:rFonts w:ascii="Times New Roman" w:hAnsi="Times New Roman" w:cs="Times New Roman"/>
            <w:sz w:val="24"/>
            <w:szCs w:val="24"/>
          </w:rPr>
        </w:pPr>
        <w:r w:rsidRPr="006A0D16">
          <w:rPr>
            <w:rFonts w:ascii="Times New Roman" w:hAnsi="Times New Roman" w:cs="Times New Roman"/>
            <w:sz w:val="24"/>
            <w:szCs w:val="24"/>
          </w:rPr>
          <w:fldChar w:fldCharType="begin"/>
        </w:r>
        <w:r w:rsidRPr="006A0D16">
          <w:rPr>
            <w:rFonts w:ascii="Times New Roman" w:hAnsi="Times New Roman" w:cs="Times New Roman"/>
            <w:sz w:val="24"/>
            <w:szCs w:val="24"/>
          </w:rPr>
          <w:instrText xml:space="preserve"> PAGE   \* MERGEFORMAT </w:instrText>
        </w:r>
        <w:r w:rsidRPr="006A0D16">
          <w:rPr>
            <w:rFonts w:ascii="Times New Roman" w:hAnsi="Times New Roman" w:cs="Times New Roman"/>
            <w:sz w:val="24"/>
            <w:szCs w:val="24"/>
          </w:rPr>
          <w:fldChar w:fldCharType="separate"/>
        </w:r>
        <w:r w:rsidR="004F276C">
          <w:rPr>
            <w:rFonts w:ascii="Times New Roman" w:hAnsi="Times New Roman" w:cs="Times New Roman"/>
            <w:noProof/>
            <w:sz w:val="24"/>
            <w:szCs w:val="24"/>
          </w:rPr>
          <w:t>13</w:t>
        </w:r>
        <w:r w:rsidRPr="006A0D16">
          <w:rPr>
            <w:rFonts w:ascii="Times New Roman" w:hAnsi="Times New Roman" w:cs="Times New Roman"/>
            <w:noProof/>
            <w:sz w:val="24"/>
            <w:szCs w:val="24"/>
          </w:rPr>
          <w:fldChar w:fldCharType="end"/>
        </w:r>
      </w:p>
    </w:sdtContent>
  </w:sdt>
  <w:p w:rsidR="006A0D16" w:rsidRPr="006A0D16" w:rsidRDefault="006A0D1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01" w:rsidRDefault="00D04401" w:rsidP="00D45501">
      <w:pPr>
        <w:spacing w:after="0" w:line="240" w:lineRule="auto"/>
      </w:pPr>
      <w:r>
        <w:separator/>
      </w:r>
    </w:p>
  </w:footnote>
  <w:footnote w:type="continuationSeparator" w:id="0">
    <w:p w:rsidR="00D04401" w:rsidRDefault="00D04401" w:rsidP="00D45501">
      <w:pPr>
        <w:spacing w:after="0" w:line="240" w:lineRule="auto"/>
      </w:pPr>
      <w:r>
        <w:continuationSeparator/>
      </w:r>
    </w:p>
  </w:footnote>
  <w:footnote w:id="1">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For example, the SERC noted that ‘information is critical in inhibiting illegal phoenix activity and in preventing small-scale insolvencies turning into larger collapses’: </w:t>
      </w:r>
      <w:r w:rsidRPr="009F1587">
        <w:rPr>
          <w:i/>
          <w:sz w:val="20"/>
        </w:rPr>
        <w:t>SERC Construction Insolvency Report</w:t>
      </w:r>
      <w:r w:rsidRPr="009F1587">
        <w:rPr>
          <w:sz w:val="20"/>
        </w:rPr>
        <w:t xml:space="preserve">, [12.15]. </w:t>
      </w:r>
    </w:p>
  </w:footnote>
  <w:footnote w:id="2">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r>
      <w:r w:rsidRPr="009F1587">
        <w:rPr>
          <w:i/>
          <w:sz w:val="20"/>
        </w:rPr>
        <w:t>SERC Performance of ASIC Report</w:t>
      </w:r>
      <w:r w:rsidRPr="009F1587">
        <w:rPr>
          <w:sz w:val="20"/>
        </w:rPr>
        <w:t xml:space="preserve">, recommendation 39, [22.28]. </w:t>
      </w:r>
    </w:p>
  </w:footnote>
  <w:footnote w:id="3">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r>
      <w:r w:rsidRPr="009F1587">
        <w:rPr>
          <w:i/>
          <w:sz w:val="20"/>
        </w:rPr>
        <w:t xml:space="preserve">Corporations Act </w:t>
      </w:r>
      <w:r w:rsidRPr="009F1587">
        <w:rPr>
          <w:sz w:val="20"/>
        </w:rPr>
        <w:t xml:space="preserve">s 471B. </w:t>
      </w:r>
    </w:p>
  </w:footnote>
  <w:footnote w:id="4">
    <w:p w:rsidR="0078349D" w:rsidRPr="009F1587" w:rsidRDefault="0078349D" w:rsidP="0078349D">
      <w:pPr>
        <w:spacing w:after="0" w:line="240" w:lineRule="auto"/>
        <w:ind w:left="426" w:hanging="426"/>
        <w:jc w:val="both"/>
        <w:rPr>
          <w:rFonts w:ascii="Times New Roman" w:eastAsia="Times New Roman" w:hAnsi="Times New Roman" w:cs="Times New Roman"/>
          <w:sz w:val="20"/>
          <w:szCs w:val="20"/>
          <w:lang w:eastAsia="en-AU"/>
        </w:rPr>
      </w:pPr>
      <w:r w:rsidRPr="009F1587">
        <w:rPr>
          <w:rStyle w:val="FootnoteReference"/>
          <w:rFonts w:ascii="Times New Roman" w:hAnsi="Times New Roman" w:cs="Times New Roman"/>
          <w:sz w:val="20"/>
          <w:szCs w:val="20"/>
        </w:rPr>
        <w:footnoteRef/>
      </w:r>
      <w:r w:rsidRPr="009F1587">
        <w:rPr>
          <w:rFonts w:ascii="Times New Roman" w:hAnsi="Times New Roman" w:cs="Times New Roman"/>
          <w:sz w:val="20"/>
          <w:szCs w:val="20"/>
        </w:rPr>
        <w:t xml:space="preserve"> </w:t>
      </w:r>
      <w:r w:rsidRPr="009F1587">
        <w:rPr>
          <w:rFonts w:ascii="Times New Roman" w:hAnsi="Times New Roman" w:cs="Times New Roman"/>
          <w:sz w:val="20"/>
          <w:szCs w:val="20"/>
        </w:rPr>
        <w:tab/>
      </w:r>
      <w:r w:rsidRPr="009F1587">
        <w:rPr>
          <w:rFonts w:ascii="Times New Roman" w:eastAsia="Times New Roman" w:hAnsi="Times New Roman" w:cs="Times New Roman"/>
          <w:sz w:val="20"/>
          <w:szCs w:val="20"/>
          <w:lang w:eastAsia="en-AU"/>
        </w:rPr>
        <w:t>ASIC,</w:t>
      </w:r>
      <w:r w:rsidRPr="009F1587">
        <w:rPr>
          <w:rFonts w:ascii="Times New Roman" w:eastAsia="Times New Roman" w:hAnsi="Times New Roman" w:cs="Times New Roman"/>
          <w:i/>
          <w:iCs/>
          <w:sz w:val="20"/>
          <w:szCs w:val="20"/>
          <w:lang w:eastAsia="en-AU"/>
        </w:rPr>
        <w:t xml:space="preserve"> Report 507: Insolvency Statistics – External Administrators’ Reports (July 2015 to June 2016)</w:t>
      </w:r>
      <w:r w:rsidRPr="009F1587">
        <w:rPr>
          <w:rFonts w:ascii="Times New Roman" w:eastAsia="Times New Roman" w:hAnsi="Times New Roman" w:cs="Times New Roman"/>
          <w:sz w:val="20"/>
          <w:szCs w:val="20"/>
          <w:lang w:eastAsia="en-AU"/>
        </w:rPr>
        <w:t xml:space="preserve"> (December 2016) (‘</w:t>
      </w:r>
      <w:r w:rsidRPr="009F1587">
        <w:rPr>
          <w:rFonts w:ascii="Times New Roman" w:eastAsia="Times New Roman" w:hAnsi="Times New Roman" w:cs="Times New Roman"/>
          <w:i/>
          <w:sz w:val="20"/>
          <w:szCs w:val="20"/>
          <w:lang w:eastAsia="en-AU"/>
        </w:rPr>
        <w:t>ASIC Report 507</w:t>
      </w:r>
      <w:r w:rsidRPr="009F1587">
        <w:rPr>
          <w:rFonts w:ascii="Times New Roman" w:eastAsia="Times New Roman" w:hAnsi="Times New Roman" w:cs="Times New Roman"/>
          <w:sz w:val="20"/>
          <w:szCs w:val="20"/>
          <w:lang w:eastAsia="en-AU"/>
        </w:rPr>
        <w:t xml:space="preserve">’): ‘[i]n 97% of cases, the dividend estimate was less than 11 cents in the dollar’: at 7. This was also the case in 2014–15 and 2013–14. </w:t>
      </w:r>
    </w:p>
  </w:footnote>
  <w:footnote w:id="5">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ASIC does allow interested parties to register under their Company Alert system, which sends a message when a specified company lodges various documents, including those relating to changes of director and external administration: see ASIC, </w:t>
      </w:r>
      <w:r w:rsidRPr="009F1587">
        <w:rPr>
          <w:i/>
          <w:sz w:val="20"/>
        </w:rPr>
        <w:t xml:space="preserve">Alerts </w:t>
      </w:r>
      <w:r w:rsidRPr="009F1587">
        <w:rPr>
          <w:sz w:val="20"/>
        </w:rPr>
        <w:t>&lt;</w:t>
      </w:r>
      <w:hyperlink r:id="rId1" w:history="1">
        <w:r w:rsidRPr="009F1587">
          <w:rPr>
            <w:sz w:val="20"/>
          </w:rPr>
          <w:t>http://asic.gov.au/online-services/alerts/</w:t>
        </w:r>
      </w:hyperlink>
      <w:r w:rsidRPr="009F1587">
        <w:rPr>
          <w:sz w:val="20"/>
        </w:rPr>
        <w:t xml:space="preserve">&gt;. However, the person seeking the information must still pay to obtain the document. In addition, the alert expires annually unless renewed. </w:t>
      </w:r>
    </w:p>
  </w:footnote>
  <w:footnote w:id="6">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r>
      <w:r w:rsidRPr="009F1587">
        <w:rPr>
          <w:i/>
          <w:sz w:val="20"/>
        </w:rPr>
        <w:t>SERC Construction Insolvency Report</w:t>
      </w:r>
      <w:r w:rsidRPr="009F1587">
        <w:rPr>
          <w:sz w:val="20"/>
        </w:rPr>
        <w:t xml:space="preserve">, recommendation 1, [2.62]. </w:t>
      </w:r>
    </w:p>
  </w:footnote>
  <w:footnote w:id="7">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Ibid recommendation 4, [2.65]. </w:t>
      </w:r>
    </w:p>
  </w:footnote>
  <w:footnote w:id="8">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Ibid recommendation 14, [5.86]. </w:t>
      </w:r>
    </w:p>
  </w:footnote>
  <w:footnote w:id="9">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Ibid recommendation 39, [12.41] (emphasis added). </w:t>
      </w:r>
    </w:p>
  </w:footnote>
  <w:footnote w:id="10">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See Lucy Battersby, ‘Government Abandons Plans to Outsource ASIC Registry’, </w:t>
      </w:r>
      <w:r w:rsidRPr="009F1587">
        <w:rPr>
          <w:rFonts w:ascii="Times New Roman" w:hAnsi="Times New Roman"/>
          <w:i/>
        </w:rPr>
        <w:t>The Sydney Morning Herald</w:t>
      </w:r>
      <w:r w:rsidRPr="009F1587">
        <w:rPr>
          <w:rFonts w:ascii="Times New Roman" w:hAnsi="Times New Roman"/>
        </w:rPr>
        <w:t xml:space="preserve"> (Sydney), 19 December 2016. </w:t>
      </w:r>
    </w:p>
  </w:footnote>
  <w:footnote w:id="11">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ASIC, 26: ‘[i]n 2015–16, ASIC raised $876 million for the Commonwealth in fees and charges, an increase of 6.4% from 2014–15. The increase in revenue is driven by continued net company growth coupled with fee indexation.’ </w:t>
      </w:r>
    </w:p>
  </w:footnote>
  <w:footnote w:id="12">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The Liberal Party of Australia, </w:t>
      </w:r>
      <w:r w:rsidRPr="009F1587">
        <w:rPr>
          <w:rFonts w:ascii="Times New Roman" w:hAnsi="Times New Roman"/>
          <w:i/>
        </w:rPr>
        <w:t xml:space="preserve">The Coalition’s Policy for Better and More Accessible Digital Services </w:t>
      </w:r>
      <w:r w:rsidRPr="009F1587">
        <w:rPr>
          <w:rFonts w:ascii="Times New Roman" w:hAnsi="Times New Roman"/>
        </w:rPr>
        <w:t xml:space="preserve">(June 2016). </w:t>
      </w:r>
    </w:p>
  </w:footnote>
  <w:footnote w:id="13">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Department of the Prime Minister and Cabinet (Cth), </w:t>
      </w:r>
      <w:r w:rsidRPr="009F1587">
        <w:rPr>
          <w:rFonts w:ascii="Times New Roman" w:hAnsi="Times New Roman"/>
          <w:i/>
        </w:rPr>
        <w:t xml:space="preserve">Public Data Policy </w:t>
      </w:r>
      <w:r w:rsidRPr="009F1587">
        <w:rPr>
          <w:rFonts w:ascii="Times New Roman" w:hAnsi="Times New Roman"/>
        </w:rPr>
        <w:t>&lt;</w:t>
      </w:r>
      <w:hyperlink r:id="rId2" w:history="1">
        <w:r w:rsidRPr="009F1587">
          <w:rPr>
            <w:rFonts w:ascii="Times New Roman" w:hAnsi="Times New Roman"/>
          </w:rPr>
          <w:t>https://www.dpmc.gov.au/public-data/public-data-policy</w:t>
        </w:r>
      </w:hyperlink>
      <w:r w:rsidRPr="009F1587">
        <w:rPr>
          <w:rFonts w:ascii="Times New Roman" w:hAnsi="Times New Roman"/>
        </w:rPr>
        <w:t xml:space="preserve">&gt;. </w:t>
      </w:r>
    </w:p>
  </w:footnote>
  <w:footnote w:id="14">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Australian Government, </w:t>
      </w:r>
      <w:r w:rsidRPr="009F1587">
        <w:rPr>
          <w:rFonts w:ascii="Times New Roman" w:hAnsi="Times New Roman"/>
          <w:i/>
        </w:rPr>
        <w:t xml:space="preserve">Australian Government Public Data Policy Statement </w:t>
      </w:r>
      <w:r w:rsidRPr="009F1587">
        <w:rPr>
          <w:rFonts w:ascii="Times New Roman" w:hAnsi="Times New Roman"/>
        </w:rPr>
        <w:t xml:space="preserve">(7 December 2015). </w:t>
      </w:r>
    </w:p>
  </w:footnote>
  <w:footnote w:id="15">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Battersby, above n </w:t>
      </w:r>
      <w:r w:rsidRPr="009F1587">
        <w:rPr>
          <w:rFonts w:ascii="Times New Roman" w:hAnsi="Times New Roman"/>
        </w:rPr>
        <w:fldChar w:fldCharType="begin"/>
      </w:r>
      <w:r w:rsidRPr="009F1587">
        <w:rPr>
          <w:rFonts w:ascii="Times New Roman" w:hAnsi="Times New Roman"/>
        </w:rPr>
        <w:instrText xml:space="preserve"> NOTEREF _Ref472602629 \h  \* MERGEFORMAT </w:instrText>
      </w:r>
      <w:r w:rsidRPr="009F1587">
        <w:rPr>
          <w:rFonts w:ascii="Times New Roman" w:hAnsi="Times New Roman"/>
        </w:rPr>
      </w:r>
      <w:r w:rsidRPr="009F1587">
        <w:rPr>
          <w:rFonts w:ascii="Times New Roman" w:hAnsi="Times New Roman"/>
        </w:rPr>
        <w:fldChar w:fldCharType="separate"/>
      </w:r>
      <w:r w:rsidR="00940B04">
        <w:rPr>
          <w:rFonts w:ascii="Times New Roman" w:hAnsi="Times New Roman"/>
        </w:rPr>
        <w:t>10</w:t>
      </w:r>
      <w:r w:rsidRPr="009F1587">
        <w:rPr>
          <w:rFonts w:ascii="Times New Roman" w:hAnsi="Times New Roman"/>
        </w:rPr>
        <w:fldChar w:fldCharType="end"/>
      </w:r>
      <w:r w:rsidRPr="009F1587">
        <w:rPr>
          <w:rFonts w:ascii="Times New Roman" w:hAnsi="Times New Roman"/>
        </w:rPr>
        <w:t xml:space="preserve">. </w:t>
      </w:r>
    </w:p>
  </w:footnote>
  <w:footnote w:id="16">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Style w:val="FootnoteReference"/>
          <w:rFonts w:ascii="Times New Roman" w:hAnsi="Times New Roman"/>
        </w:rPr>
        <w:t xml:space="preserve"> </w:t>
      </w:r>
      <w:r w:rsidRPr="009F1587">
        <w:rPr>
          <w:rFonts w:ascii="Times New Roman" w:hAnsi="Times New Roman"/>
        </w:rPr>
        <w:tab/>
        <w:t xml:space="preserve">Ibid. </w:t>
      </w:r>
      <w:bookmarkStart w:id="35" w:name="_GoBack"/>
      <w:bookmarkEnd w:id="35"/>
    </w:p>
  </w:footnote>
  <w:footnote w:id="17">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See European Union, </w:t>
      </w:r>
      <w:r w:rsidRPr="009F1587">
        <w:rPr>
          <w:i/>
          <w:sz w:val="20"/>
        </w:rPr>
        <w:t xml:space="preserve">Insolvency Registers </w:t>
      </w:r>
      <w:r w:rsidRPr="009F1587">
        <w:rPr>
          <w:sz w:val="20"/>
        </w:rPr>
        <w:t>&lt;</w:t>
      </w:r>
      <w:hyperlink r:id="rId3" w:history="1">
        <w:r w:rsidRPr="009F1587">
          <w:rPr>
            <w:sz w:val="20"/>
          </w:rPr>
          <w:t>https://e-justice.europa.eu/content_insolvency_registers-110-en.do</w:t>
        </w:r>
      </w:hyperlink>
      <w:r w:rsidRPr="009F1587">
        <w:rPr>
          <w:sz w:val="20"/>
        </w:rPr>
        <w:t xml:space="preserve">&gt;: ‘The information and documents you can find in these registers [national insolvency registers] should be </w:t>
      </w:r>
      <w:r w:rsidRPr="009F1587">
        <w:rPr>
          <w:bCs/>
          <w:i/>
          <w:sz w:val="20"/>
        </w:rPr>
        <w:t>available for free</w:t>
      </w:r>
      <w:r w:rsidRPr="009F1587">
        <w:rPr>
          <w:i/>
          <w:sz w:val="20"/>
        </w:rPr>
        <w:t>.</w:t>
      </w:r>
      <w:r w:rsidRPr="009F1587">
        <w:rPr>
          <w:sz w:val="20"/>
        </w:rPr>
        <w:t xml:space="preserve">’ </w:t>
      </w:r>
    </w:p>
  </w:footnote>
  <w:footnote w:id="18">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See UK Companies House, ‘Launch of the New Companies House Public Beta Service’ (News Story, 22 June 2015): ‘[i]n line with the government’s commitment to free data, Companies House is pleased to announce that all public digital data held on the UK register of companies is now accessible free of charge, on its new public beta search service. This provides access to over 170 million digital records on companies and directors including financial accounts, company filings and details on directors and secretaries throughout the life of the company.’ </w:t>
      </w:r>
    </w:p>
  </w:footnote>
  <w:footnote w:id="19">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UK Department for Business, Innovation &amp; Skills, ‘Free Companies House Data to Boost UK Economy’ (Press Release, 15 July 2014). </w:t>
      </w:r>
    </w:p>
  </w:footnote>
  <w:footnote w:id="20">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For information on UK Companies House’s services and fees, see: UK Companies House, </w:t>
      </w:r>
      <w:r w:rsidRPr="009F1587">
        <w:rPr>
          <w:rFonts w:ascii="Times New Roman" w:hAnsi="Times New Roman"/>
          <w:i/>
        </w:rPr>
        <w:t xml:space="preserve">About Our Services </w:t>
      </w:r>
      <w:r w:rsidRPr="009F1587">
        <w:rPr>
          <w:rFonts w:ascii="Times New Roman" w:hAnsi="Times New Roman"/>
        </w:rPr>
        <w:t>&lt;</w:t>
      </w:r>
      <w:hyperlink r:id="rId4" w:history="1">
        <w:r w:rsidRPr="009F1587">
          <w:rPr>
            <w:rFonts w:ascii="Times New Roman" w:hAnsi="Times New Roman"/>
          </w:rPr>
          <w:t>https://www.gov.uk/government/organisations/companies-house/about/about-our-services</w:t>
        </w:r>
      </w:hyperlink>
      <w:r w:rsidRPr="009F1587">
        <w:rPr>
          <w:rFonts w:ascii="Times New Roman" w:hAnsi="Times New Roman"/>
        </w:rPr>
        <w:t xml:space="preserve">&gt;. </w:t>
      </w:r>
    </w:p>
  </w:footnote>
  <w:footnote w:id="21">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See UK Companies House, </w:t>
      </w:r>
      <w:r w:rsidRPr="009F1587">
        <w:rPr>
          <w:rFonts w:ascii="Times New Roman" w:hAnsi="Times New Roman"/>
          <w:i/>
        </w:rPr>
        <w:t>Search the Register</w:t>
      </w:r>
      <w:r w:rsidRPr="009F1587">
        <w:rPr>
          <w:rFonts w:ascii="Times New Roman" w:hAnsi="Times New Roman"/>
        </w:rPr>
        <w:t xml:space="preserve"> &lt;</w:t>
      </w:r>
      <w:hyperlink r:id="rId5" w:history="1">
        <w:r w:rsidRPr="009F1587">
          <w:rPr>
            <w:rFonts w:ascii="Times New Roman" w:hAnsi="Times New Roman"/>
          </w:rPr>
          <w:t>https://beta.companieshouse.gov.uk/</w:t>
        </w:r>
      </w:hyperlink>
      <w:r w:rsidRPr="009F1587">
        <w:rPr>
          <w:rFonts w:ascii="Times New Roman" w:hAnsi="Times New Roman"/>
        </w:rPr>
        <w:t xml:space="preserve">&gt;. </w:t>
      </w:r>
    </w:p>
  </w:footnote>
  <w:footnote w:id="22">
    <w:p w:rsidR="0078349D" w:rsidRPr="009F1587" w:rsidRDefault="0078349D" w:rsidP="0078349D">
      <w:pPr>
        <w:pStyle w:val="FootnoteText"/>
        <w:ind w:left="426" w:hanging="426"/>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See UK Insolvency Service, </w:t>
      </w:r>
      <w:r w:rsidRPr="009F1587">
        <w:rPr>
          <w:rFonts w:ascii="Times New Roman" w:hAnsi="Times New Roman"/>
          <w:i/>
        </w:rPr>
        <w:t xml:space="preserve">Director Disqualification Outcomes: Summary of Results </w:t>
      </w:r>
      <w:r w:rsidRPr="009F1587">
        <w:rPr>
          <w:rFonts w:ascii="Times New Roman" w:hAnsi="Times New Roman"/>
        </w:rPr>
        <w:t>&lt;</w:t>
      </w:r>
      <w:hyperlink r:id="rId6" w:history="1">
        <w:r w:rsidRPr="009F1587">
          <w:rPr>
            <w:rFonts w:ascii="Times New Roman" w:hAnsi="Times New Roman"/>
          </w:rPr>
          <w:t>https://www.insolvencydirect.bis.gov.uk/IESdatabase/viewdirectorsummary-new.asp</w:t>
        </w:r>
      </w:hyperlink>
      <w:r w:rsidRPr="009F1587">
        <w:rPr>
          <w:rFonts w:ascii="Times New Roman" w:hAnsi="Times New Roman"/>
        </w:rPr>
        <w:t xml:space="preserve">&gt;. </w:t>
      </w:r>
    </w:p>
  </w:footnote>
  <w:footnote w:id="23">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Decree No 2016-567 of 10 May 2016 (France) JO, 11 May 2016, 0109. </w:t>
      </w:r>
    </w:p>
  </w:footnote>
  <w:footnote w:id="24">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Press release of the Finance and Public Accounts Ministry of 11 May 2016, cited in Kramer Levin Naftalis &amp; Frankel LLP, </w:t>
      </w:r>
      <w:r w:rsidRPr="009F1587">
        <w:rPr>
          <w:i/>
          <w:sz w:val="20"/>
        </w:rPr>
        <w:t>Creation in France of a Public Register of Trusts</w:t>
      </w:r>
      <w:r w:rsidRPr="009F1587">
        <w:rPr>
          <w:sz w:val="20"/>
        </w:rPr>
        <w:t xml:space="preserve"> (20 May 2016). </w:t>
      </w:r>
    </w:p>
  </w:footnote>
  <w:footnote w:id="25">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See Lateral Economics, </w:t>
      </w:r>
      <w:r w:rsidRPr="009F1587">
        <w:rPr>
          <w:rFonts w:ascii="Times New Roman" w:hAnsi="Times New Roman"/>
          <w:i/>
        </w:rPr>
        <w:t xml:space="preserve">Open for Business: How Open Data Can Help Achieve the G20 </w:t>
      </w:r>
      <w:r w:rsidRPr="009F1587">
        <w:rPr>
          <w:rFonts w:ascii="Times New Roman" w:hAnsi="Times New Roman"/>
          <w:i/>
          <w:lang w:eastAsia="en-AU"/>
        </w:rPr>
        <w:t>Growth Target</w:t>
      </w:r>
      <w:r w:rsidRPr="009F1587">
        <w:rPr>
          <w:rFonts w:ascii="Times New Roman" w:hAnsi="Times New Roman"/>
          <w:lang w:eastAsia="en-AU"/>
        </w:rPr>
        <w:t xml:space="preserve"> (June 2014) 32</w:t>
      </w:r>
      <w:r w:rsidRPr="009F1587">
        <w:rPr>
          <w:rFonts w:ascii="Times New Roman" w:hAnsi="Times New Roman"/>
        </w:rPr>
        <w:t xml:space="preserve">. </w:t>
      </w:r>
    </w:p>
  </w:footnote>
  <w:footnote w:id="26">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See PricewaterhouseCoopers, </w:t>
      </w:r>
      <w:r w:rsidRPr="009F1587">
        <w:rPr>
          <w:rFonts w:ascii="Times New Roman" w:hAnsi="Times New Roman"/>
          <w:i/>
        </w:rPr>
        <w:t>Deciding with Data: How Data-Driven Innovation is Fuelling Australia’s Economic Growth</w:t>
      </w:r>
      <w:r w:rsidRPr="009F1587">
        <w:rPr>
          <w:rFonts w:ascii="Times New Roman" w:hAnsi="Times New Roman"/>
        </w:rPr>
        <w:t xml:space="preserve"> (September 2014) 1. </w:t>
      </w:r>
    </w:p>
  </w:footnote>
  <w:footnote w:id="27">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Ibid. </w:t>
      </w:r>
    </w:p>
  </w:footnote>
  <w:footnote w:id="28">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The World Bank, </w:t>
      </w:r>
      <w:r w:rsidRPr="009F1587">
        <w:rPr>
          <w:rFonts w:ascii="Times New Roman" w:hAnsi="Times New Roman"/>
          <w:i/>
        </w:rPr>
        <w:t xml:space="preserve">Open Data for Economic Growth </w:t>
      </w:r>
      <w:r w:rsidRPr="009F1587">
        <w:rPr>
          <w:rFonts w:ascii="Times New Roman" w:hAnsi="Times New Roman"/>
        </w:rPr>
        <w:t xml:space="preserve">(25 June 2014) [45]. </w:t>
      </w:r>
    </w:p>
  </w:footnote>
  <w:footnote w:id="29">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Bureau of Communications Research, Department of Communications and the Arts (Cth), </w:t>
      </w:r>
      <w:r w:rsidRPr="009F1587">
        <w:rPr>
          <w:rFonts w:ascii="Times New Roman" w:hAnsi="Times New Roman"/>
          <w:i/>
        </w:rPr>
        <w:t xml:space="preserve">Open Government Data and Why It Matters Now </w:t>
      </w:r>
      <w:r w:rsidRPr="009F1587">
        <w:rPr>
          <w:rFonts w:ascii="Times New Roman" w:hAnsi="Times New Roman"/>
        </w:rPr>
        <w:t xml:space="preserve">(February 2016) 33. </w:t>
      </w:r>
    </w:p>
  </w:footnote>
  <w:footnote w:id="30">
    <w:p w:rsidR="0078349D" w:rsidRPr="009F1587" w:rsidRDefault="0078349D" w:rsidP="0078349D">
      <w:pPr>
        <w:pStyle w:val="FootnoteText"/>
        <w:ind w:left="426" w:hanging="426"/>
        <w:jc w:val="both"/>
        <w:rPr>
          <w:rFonts w:ascii="Times New Roman" w:hAnsi="Times New Roman"/>
        </w:rPr>
      </w:pPr>
      <w:r w:rsidRPr="009F1587">
        <w:rPr>
          <w:rStyle w:val="FootnoteReference"/>
          <w:rFonts w:ascii="Times New Roman" w:hAnsi="Times New Roman"/>
        </w:rPr>
        <w:footnoteRef/>
      </w:r>
      <w:r w:rsidRPr="009F1587">
        <w:rPr>
          <w:rFonts w:ascii="Times New Roman" w:hAnsi="Times New Roman"/>
        </w:rPr>
        <w:t xml:space="preserve"> </w:t>
      </w:r>
      <w:r w:rsidRPr="009F1587">
        <w:rPr>
          <w:rFonts w:ascii="Times New Roman" w:hAnsi="Times New Roman"/>
        </w:rPr>
        <w:tab/>
        <w:t xml:space="preserve">Ibid. </w:t>
      </w:r>
    </w:p>
  </w:footnote>
  <w:footnote w:id="31">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ASIC, </w:t>
      </w:r>
      <w:r w:rsidRPr="009F1587">
        <w:rPr>
          <w:i/>
          <w:sz w:val="20"/>
        </w:rPr>
        <w:t xml:space="preserve">Regulatory Guide 103: Confidentiality and Release of Information </w:t>
      </w:r>
      <w:r w:rsidRPr="009F1587">
        <w:rPr>
          <w:sz w:val="20"/>
        </w:rPr>
        <w:t xml:space="preserve">(issued 27 November 1995, updated 26 February 1996) 2. </w:t>
      </w:r>
    </w:p>
  </w:footnote>
  <w:footnote w:id="32">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(1993) 178 CLR 408. This case concerned the disclosure to a Royal Commission of information obtained via a private examination by an ASC officer, which was later revealed in the Royal Commission’s publicly available transcripts. </w:t>
      </w:r>
    </w:p>
  </w:footnote>
  <w:footnote w:id="33">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r>
      <w:r w:rsidRPr="009F1587">
        <w:rPr>
          <w:i/>
          <w:sz w:val="20"/>
        </w:rPr>
        <w:t xml:space="preserve">Privacy Amendment (Enhancing Privacy Protection) Act 2012 </w:t>
      </w:r>
      <w:r w:rsidRPr="009F1587">
        <w:rPr>
          <w:sz w:val="20"/>
        </w:rPr>
        <w:t xml:space="preserve">(Cth). </w:t>
      </w:r>
    </w:p>
  </w:footnote>
  <w:footnote w:id="34">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See David Francis, ‘Summary of the Impact of the Amendments to the Privacy Act’ (2014) 21(5) C</w:t>
      </w:r>
      <w:r w:rsidRPr="009F1587">
        <w:rPr>
          <w:i/>
          <w:sz w:val="20"/>
        </w:rPr>
        <w:t>redit Management in Australia</w:t>
      </w:r>
      <w:r w:rsidRPr="009F1587">
        <w:rPr>
          <w:sz w:val="20"/>
        </w:rPr>
        <w:t xml:space="preserve"> 8, 8. </w:t>
      </w:r>
    </w:p>
  </w:footnote>
  <w:footnote w:id="35">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r>
      <w:r w:rsidRPr="009F1587">
        <w:rPr>
          <w:i/>
          <w:sz w:val="20"/>
        </w:rPr>
        <w:t>Privacy Act 1988</w:t>
      </w:r>
      <w:r w:rsidRPr="009F1587">
        <w:rPr>
          <w:sz w:val="20"/>
        </w:rPr>
        <w:t xml:space="preserve"> (Cth) sch 1. </w:t>
      </w:r>
    </w:p>
  </w:footnote>
  <w:footnote w:id="36">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Ibid s 20L(2), sch 1, Australian Privacy Principle 9. </w:t>
      </w:r>
    </w:p>
  </w:footnote>
  <w:footnote w:id="37">
    <w:p w:rsidR="0078349D" w:rsidRPr="009F1587" w:rsidRDefault="0078349D" w:rsidP="0078349D">
      <w:pPr>
        <w:pStyle w:val="Footnotetxt"/>
        <w:tabs>
          <w:tab w:val="clear" w:pos="284"/>
        </w:tabs>
        <w:ind w:left="426" w:hanging="426"/>
        <w:rPr>
          <w:sz w:val="20"/>
        </w:rPr>
      </w:pPr>
      <w:r w:rsidRPr="009F1587">
        <w:rPr>
          <w:rStyle w:val="FootnoteReference"/>
          <w:rFonts w:eastAsiaTheme="majorEastAsia"/>
          <w:sz w:val="20"/>
        </w:rPr>
        <w:footnoteRef/>
      </w:r>
      <w:r w:rsidRPr="009F1587">
        <w:rPr>
          <w:sz w:val="20"/>
        </w:rPr>
        <w:t xml:space="preserve"> </w:t>
      </w:r>
      <w:r w:rsidRPr="009F1587">
        <w:rPr>
          <w:sz w:val="20"/>
        </w:rPr>
        <w:tab/>
        <w:t xml:space="preserve">Ibid pt IIIA.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345"/>
    <w:multiLevelType w:val="multilevel"/>
    <w:tmpl w:val="37645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A61210D"/>
    <w:multiLevelType w:val="hybridMultilevel"/>
    <w:tmpl w:val="57A0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925F5"/>
    <w:multiLevelType w:val="hybridMultilevel"/>
    <w:tmpl w:val="9F9255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D070F8E"/>
    <w:multiLevelType w:val="hybridMultilevel"/>
    <w:tmpl w:val="D4DCA45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4" w15:restartNumberingAfterBreak="0">
    <w:nsid w:val="3D117FF5"/>
    <w:multiLevelType w:val="hybridMultilevel"/>
    <w:tmpl w:val="7C52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B6C20"/>
    <w:multiLevelType w:val="hybridMultilevel"/>
    <w:tmpl w:val="1F846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253FB3"/>
    <w:multiLevelType w:val="hybridMultilevel"/>
    <w:tmpl w:val="D014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D9"/>
    <w:rsid w:val="00007803"/>
    <w:rsid w:val="00012F47"/>
    <w:rsid w:val="00022B9D"/>
    <w:rsid w:val="00025955"/>
    <w:rsid w:val="00045A42"/>
    <w:rsid w:val="000461EF"/>
    <w:rsid w:val="00051AAE"/>
    <w:rsid w:val="00052E41"/>
    <w:rsid w:val="000665FF"/>
    <w:rsid w:val="000712E2"/>
    <w:rsid w:val="0008567B"/>
    <w:rsid w:val="00090DFD"/>
    <w:rsid w:val="00092B20"/>
    <w:rsid w:val="000945B0"/>
    <w:rsid w:val="00095490"/>
    <w:rsid w:val="00096BBD"/>
    <w:rsid w:val="000A1C87"/>
    <w:rsid w:val="000A3EF3"/>
    <w:rsid w:val="000B196C"/>
    <w:rsid w:val="000C052D"/>
    <w:rsid w:val="000D11B2"/>
    <w:rsid w:val="000D16F7"/>
    <w:rsid w:val="000D279A"/>
    <w:rsid w:val="000D347B"/>
    <w:rsid w:val="000D4572"/>
    <w:rsid w:val="000E3CB8"/>
    <w:rsid w:val="000E7BAB"/>
    <w:rsid w:val="000F2688"/>
    <w:rsid w:val="000F63FE"/>
    <w:rsid w:val="00104EE7"/>
    <w:rsid w:val="001052C4"/>
    <w:rsid w:val="0010730A"/>
    <w:rsid w:val="001107DD"/>
    <w:rsid w:val="00116879"/>
    <w:rsid w:val="00116890"/>
    <w:rsid w:val="00124120"/>
    <w:rsid w:val="0012720C"/>
    <w:rsid w:val="001314CE"/>
    <w:rsid w:val="00146794"/>
    <w:rsid w:val="001470B9"/>
    <w:rsid w:val="00147F36"/>
    <w:rsid w:val="0015789F"/>
    <w:rsid w:val="001578CD"/>
    <w:rsid w:val="0016294E"/>
    <w:rsid w:val="00163666"/>
    <w:rsid w:val="00167820"/>
    <w:rsid w:val="0018298C"/>
    <w:rsid w:val="00184366"/>
    <w:rsid w:val="001919F1"/>
    <w:rsid w:val="00197475"/>
    <w:rsid w:val="001A75C3"/>
    <w:rsid w:val="001A78E8"/>
    <w:rsid w:val="001B160C"/>
    <w:rsid w:val="001B7D6E"/>
    <w:rsid w:val="001C35D0"/>
    <w:rsid w:val="001C37E7"/>
    <w:rsid w:val="001C6AC8"/>
    <w:rsid w:val="001D548F"/>
    <w:rsid w:val="001D5BA4"/>
    <w:rsid w:val="001F4915"/>
    <w:rsid w:val="001F5B75"/>
    <w:rsid w:val="001F5C6C"/>
    <w:rsid w:val="00206060"/>
    <w:rsid w:val="00212D7F"/>
    <w:rsid w:val="00214074"/>
    <w:rsid w:val="002175A2"/>
    <w:rsid w:val="00220D37"/>
    <w:rsid w:val="002264A7"/>
    <w:rsid w:val="0023024E"/>
    <w:rsid w:val="002516C9"/>
    <w:rsid w:val="00252DCC"/>
    <w:rsid w:val="00263BB2"/>
    <w:rsid w:val="0026530F"/>
    <w:rsid w:val="0027275B"/>
    <w:rsid w:val="00275E01"/>
    <w:rsid w:val="00296F7B"/>
    <w:rsid w:val="002B0398"/>
    <w:rsid w:val="002B2140"/>
    <w:rsid w:val="002B78DB"/>
    <w:rsid w:val="002C39D5"/>
    <w:rsid w:val="002C563A"/>
    <w:rsid w:val="002C6F88"/>
    <w:rsid w:val="002E1540"/>
    <w:rsid w:val="002E2AA2"/>
    <w:rsid w:val="002E38C5"/>
    <w:rsid w:val="002F4B66"/>
    <w:rsid w:val="003003FB"/>
    <w:rsid w:val="00300F77"/>
    <w:rsid w:val="00301BD6"/>
    <w:rsid w:val="00303E79"/>
    <w:rsid w:val="00311048"/>
    <w:rsid w:val="00326567"/>
    <w:rsid w:val="0033246D"/>
    <w:rsid w:val="003379DE"/>
    <w:rsid w:val="0034436B"/>
    <w:rsid w:val="003517B1"/>
    <w:rsid w:val="003531AD"/>
    <w:rsid w:val="003541AE"/>
    <w:rsid w:val="0036668F"/>
    <w:rsid w:val="00367561"/>
    <w:rsid w:val="003676C9"/>
    <w:rsid w:val="00370100"/>
    <w:rsid w:val="003704A7"/>
    <w:rsid w:val="003772C0"/>
    <w:rsid w:val="003827A1"/>
    <w:rsid w:val="00386B04"/>
    <w:rsid w:val="00390D26"/>
    <w:rsid w:val="00391BEA"/>
    <w:rsid w:val="00395356"/>
    <w:rsid w:val="003A3604"/>
    <w:rsid w:val="003A5509"/>
    <w:rsid w:val="003A737D"/>
    <w:rsid w:val="003B30C6"/>
    <w:rsid w:val="003D147F"/>
    <w:rsid w:val="003D47B2"/>
    <w:rsid w:val="003D54F3"/>
    <w:rsid w:val="003D6A63"/>
    <w:rsid w:val="003D6D1B"/>
    <w:rsid w:val="003E07B0"/>
    <w:rsid w:val="003E2734"/>
    <w:rsid w:val="003E5CC3"/>
    <w:rsid w:val="003F5CDD"/>
    <w:rsid w:val="003F6622"/>
    <w:rsid w:val="00424AD7"/>
    <w:rsid w:val="00444534"/>
    <w:rsid w:val="00445D0E"/>
    <w:rsid w:val="00445FE1"/>
    <w:rsid w:val="00450AE8"/>
    <w:rsid w:val="00453CA8"/>
    <w:rsid w:val="00483968"/>
    <w:rsid w:val="00492944"/>
    <w:rsid w:val="004954DB"/>
    <w:rsid w:val="004A47D9"/>
    <w:rsid w:val="004B5AC1"/>
    <w:rsid w:val="004B7A7F"/>
    <w:rsid w:val="004C2EA1"/>
    <w:rsid w:val="004C4D78"/>
    <w:rsid w:val="004C535A"/>
    <w:rsid w:val="004C7F03"/>
    <w:rsid w:val="004D12EB"/>
    <w:rsid w:val="004D7274"/>
    <w:rsid w:val="004E0794"/>
    <w:rsid w:val="004E1A0E"/>
    <w:rsid w:val="004F0923"/>
    <w:rsid w:val="004F1C3A"/>
    <w:rsid w:val="004F276C"/>
    <w:rsid w:val="004F29D1"/>
    <w:rsid w:val="004F3CAD"/>
    <w:rsid w:val="004F6F82"/>
    <w:rsid w:val="00502AF9"/>
    <w:rsid w:val="00507FF8"/>
    <w:rsid w:val="005152F1"/>
    <w:rsid w:val="00515709"/>
    <w:rsid w:val="00516F7A"/>
    <w:rsid w:val="00520623"/>
    <w:rsid w:val="00521ED9"/>
    <w:rsid w:val="00534026"/>
    <w:rsid w:val="005343D8"/>
    <w:rsid w:val="005347BD"/>
    <w:rsid w:val="00540F04"/>
    <w:rsid w:val="00544575"/>
    <w:rsid w:val="00550965"/>
    <w:rsid w:val="00550C72"/>
    <w:rsid w:val="005542E6"/>
    <w:rsid w:val="00555DE2"/>
    <w:rsid w:val="00564BA6"/>
    <w:rsid w:val="00565AB3"/>
    <w:rsid w:val="0057164E"/>
    <w:rsid w:val="00575ECE"/>
    <w:rsid w:val="0058125B"/>
    <w:rsid w:val="00594612"/>
    <w:rsid w:val="005951B1"/>
    <w:rsid w:val="005965CB"/>
    <w:rsid w:val="005B1F14"/>
    <w:rsid w:val="005D0DE1"/>
    <w:rsid w:val="005D2B63"/>
    <w:rsid w:val="005E1B67"/>
    <w:rsid w:val="005E3057"/>
    <w:rsid w:val="005F0035"/>
    <w:rsid w:val="005F0F80"/>
    <w:rsid w:val="005F1AB9"/>
    <w:rsid w:val="006011E1"/>
    <w:rsid w:val="00612E29"/>
    <w:rsid w:val="00613762"/>
    <w:rsid w:val="006157EB"/>
    <w:rsid w:val="00617263"/>
    <w:rsid w:val="00622D51"/>
    <w:rsid w:val="00623BF2"/>
    <w:rsid w:val="00625491"/>
    <w:rsid w:val="006260F0"/>
    <w:rsid w:val="006261DB"/>
    <w:rsid w:val="006372FB"/>
    <w:rsid w:val="00644322"/>
    <w:rsid w:val="006477C0"/>
    <w:rsid w:val="006540B3"/>
    <w:rsid w:val="0065653B"/>
    <w:rsid w:val="00656C45"/>
    <w:rsid w:val="006576DF"/>
    <w:rsid w:val="006655CA"/>
    <w:rsid w:val="00671800"/>
    <w:rsid w:val="00672F60"/>
    <w:rsid w:val="006773C3"/>
    <w:rsid w:val="00683CF4"/>
    <w:rsid w:val="00685C85"/>
    <w:rsid w:val="00686947"/>
    <w:rsid w:val="00691C14"/>
    <w:rsid w:val="006955C9"/>
    <w:rsid w:val="006A0D16"/>
    <w:rsid w:val="006A5D3A"/>
    <w:rsid w:val="006A6AC5"/>
    <w:rsid w:val="006B2512"/>
    <w:rsid w:val="006C04B5"/>
    <w:rsid w:val="006E11B9"/>
    <w:rsid w:val="006E1DAB"/>
    <w:rsid w:val="006E4C22"/>
    <w:rsid w:val="006F2BC9"/>
    <w:rsid w:val="006F4CD9"/>
    <w:rsid w:val="006F5D92"/>
    <w:rsid w:val="007051CC"/>
    <w:rsid w:val="00710F25"/>
    <w:rsid w:val="0071155B"/>
    <w:rsid w:val="007116C8"/>
    <w:rsid w:val="00715155"/>
    <w:rsid w:val="00720DD3"/>
    <w:rsid w:val="00722928"/>
    <w:rsid w:val="00724F7D"/>
    <w:rsid w:val="00731233"/>
    <w:rsid w:val="00731B0F"/>
    <w:rsid w:val="007366B1"/>
    <w:rsid w:val="00741788"/>
    <w:rsid w:val="007504F9"/>
    <w:rsid w:val="00763126"/>
    <w:rsid w:val="0076323B"/>
    <w:rsid w:val="00781185"/>
    <w:rsid w:val="0078349D"/>
    <w:rsid w:val="00783D97"/>
    <w:rsid w:val="00784889"/>
    <w:rsid w:val="007870E8"/>
    <w:rsid w:val="007971AD"/>
    <w:rsid w:val="007A1355"/>
    <w:rsid w:val="007A6EF4"/>
    <w:rsid w:val="007A7FAF"/>
    <w:rsid w:val="007B75FD"/>
    <w:rsid w:val="007C4BAF"/>
    <w:rsid w:val="007D37E3"/>
    <w:rsid w:val="007D68E9"/>
    <w:rsid w:val="007E1218"/>
    <w:rsid w:val="007E7929"/>
    <w:rsid w:val="007F52CC"/>
    <w:rsid w:val="00800B01"/>
    <w:rsid w:val="00800EB7"/>
    <w:rsid w:val="00802B48"/>
    <w:rsid w:val="00805D45"/>
    <w:rsid w:val="0082143F"/>
    <w:rsid w:val="0082624C"/>
    <w:rsid w:val="00835861"/>
    <w:rsid w:val="008359BF"/>
    <w:rsid w:val="00836F78"/>
    <w:rsid w:val="00841131"/>
    <w:rsid w:val="00842D82"/>
    <w:rsid w:val="008544A2"/>
    <w:rsid w:val="008575E9"/>
    <w:rsid w:val="00860233"/>
    <w:rsid w:val="00860F75"/>
    <w:rsid w:val="008653C4"/>
    <w:rsid w:val="00870495"/>
    <w:rsid w:val="00871F8B"/>
    <w:rsid w:val="00872F3C"/>
    <w:rsid w:val="0087618C"/>
    <w:rsid w:val="00880988"/>
    <w:rsid w:val="00884823"/>
    <w:rsid w:val="00886A45"/>
    <w:rsid w:val="00892D96"/>
    <w:rsid w:val="00894708"/>
    <w:rsid w:val="00894FBE"/>
    <w:rsid w:val="008A666E"/>
    <w:rsid w:val="008B2CA7"/>
    <w:rsid w:val="008B5DA7"/>
    <w:rsid w:val="008C41C1"/>
    <w:rsid w:val="008C4C3D"/>
    <w:rsid w:val="008D0380"/>
    <w:rsid w:val="008D26F4"/>
    <w:rsid w:val="008D3B96"/>
    <w:rsid w:val="008D4BAE"/>
    <w:rsid w:val="008D56AA"/>
    <w:rsid w:val="008E3614"/>
    <w:rsid w:val="008E7A2C"/>
    <w:rsid w:val="008F0B7C"/>
    <w:rsid w:val="008F0CC4"/>
    <w:rsid w:val="0090012F"/>
    <w:rsid w:val="009023A1"/>
    <w:rsid w:val="00907C5F"/>
    <w:rsid w:val="009160E8"/>
    <w:rsid w:val="00922B8F"/>
    <w:rsid w:val="009247E4"/>
    <w:rsid w:val="00924C60"/>
    <w:rsid w:val="00933AFE"/>
    <w:rsid w:val="00934F06"/>
    <w:rsid w:val="00940B04"/>
    <w:rsid w:val="00946875"/>
    <w:rsid w:val="009474EE"/>
    <w:rsid w:val="00951B16"/>
    <w:rsid w:val="009666D8"/>
    <w:rsid w:val="00967BBF"/>
    <w:rsid w:val="009937CB"/>
    <w:rsid w:val="00997442"/>
    <w:rsid w:val="009A28B2"/>
    <w:rsid w:val="009B0AAF"/>
    <w:rsid w:val="009B1515"/>
    <w:rsid w:val="009C68C9"/>
    <w:rsid w:val="009D333D"/>
    <w:rsid w:val="009D76E3"/>
    <w:rsid w:val="009E3AD0"/>
    <w:rsid w:val="009E51C3"/>
    <w:rsid w:val="009F15F6"/>
    <w:rsid w:val="009F52D0"/>
    <w:rsid w:val="00A05F27"/>
    <w:rsid w:val="00A148F6"/>
    <w:rsid w:val="00A173D8"/>
    <w:rsid w:val="00A21117"/>
    <w:rsid w:val="00A316D5"/>
    <w:rsid w:val="00A323A3"/>
    <w:rsid w:val="00A4729D"/>
    <w:rsid w:val="00A5062B"/>
    <w:rsid w:val="00A5495B"/>
    <w:rsid w:val="00A616D7"/>
    <w:rsid w:val="00A67662"/>
    <w:rsid w:val="00A76B28"/>
    <w:rsid w:val="00A862E9"/>
    <w:rsid w:val="00A8735B"/>
    <w:rsid w:val="00A92E6B"/>
    <w:rsid w:val="00AA12E1"/>
    <w:rsid w:val="00AA3AC5"/>
    <w:rsid w:val="00AA6024"/>
    <w:rsid w:val="00AB00AB"/>
    <w:rsid w:val="00AB2027"/>
    <w:rsid w:val="00AB39B8"/>
    <w:rsid w:val="00AB601A"/>
    <w:rsid w:val="00AB629B"/>
    <w:rsid w:val="00AC02C9"/>
    <w:rsid w:val="00AC1A72"/>
    <w:rsid w:val="00AC344D"/>
    <w:rsid w:val="00AD1735"/>
    <w:rsid w:val="00AD6D46"/>
    <w:rsid w:val="00AE6FEB"/>
    <w:rsid w:val="00AF38FE"/>
    <w:rsid w:val="00B0008D"/>
    <w:rsid w:val="00B04DFA"/>
    <w:rsid w:val="00B0544D"/>
    <w:rsid w:val="00B21DF1"/>
    <w:rsid w:val="00B44391"/>
    <w:rsid w:val="00B46247"/>
    <w:rsid w:val="00B55993"/>
    <w:rsid w:val="00B730EC"/>
    <w:rsid w:val="00B7637F"/>
    <w:rsid w:val="00B766D5"/>
    <w:rsid w:val="00B86136"/>
    <w:rsid w:val="00B91C64"/>
    <w:rsid w:val="00B94C85"/>
    <w:rsid w:val="00B962C9"/>
    <w:rsid w:val="00BA0E69"/>
    <w:rsid w:val="00BB431D"/>
    <w:rsid w:val="00BC3A8D"/>
    <w:rsid w:val="00BC7757"/>
    <w:rsid w:val="00BD300E"/>
    <w:rsid w:val="00BD3BFB"/>
    <w:rsid w:val="00BE0764"/>
    <w:rsid w:val="00BE1FC8"/>
    <w:rsid w:val="00BE623A"/>
    <w:rsid w:val="00BE7D80"/>
    <w:rsid w:val="00BF1274"/>
    <w:rsid w:val="00C013DA"/>
    <w:rsid w:val="00C03F06"/>
    <w:rsid w:val="00C22CC9"/>
    <w:rsid w:val="00C30891"/>
    <w:rsid w:val="00C507CE"/>
    <w:rsid w:val="00C514F7"/>
    <w:rsid w:val="00C51F1A"/>
    <w:rsid w:val="00C52087"/>
    <w:rsid w:val="00C6125B"/>
    <w:rsid w:val="00C65FF8"/>
    <w:rsid w:val="00C67F00"/>
    <w:rsid w:val="00C706C5"/>
    <w:rsid w:val="00C72842"/>
    <w:rsid w:val="00C81AC7"/>
    <w:rsid w:val="00C8291F"/>
    <w:rsid w:val="00C913D9"/>
    <w:rsid w:val="00C92FBA"/>
    <w:rsid w:val="00C9349A"/>
    <w:rsid w:val="00CA26CF"/>
    <w:rsid w:val="00CA2B71"/>
    <w:rsid w:val="00CA3177"/>
    <w:rsid w:val="00CA35CC"/>
    <w:rsid w:val="00CB506D"/>
    <w:rsid w:val="00CC0CCF"/>
    <w:rsid w:val="00CC418B"/>
    <w:rsid w:val="00CC7E30"/>
    <w:rsid w:val="00CD0265"/>
    <w:rsid w:val="00CD0A59"/>
    <w:rsid w:val="00CD3691"/>
    <w:rsid w:val="00CE2E65"/>
    <w:rsid w:val="00CE458B"/>
    <w:rsid w:val="00CF1C28"/>
    <w:rsid w:val="00CF1F1B"/>
    <w:rsid w:val="00CF4B2D"/>
    <w:rsid w:val="00CF6884"/>
    <w:rsid w:val="00D04401"/>
    <w:rsid w:val="00D14A27"/>
    <w:rsid w:val="00D16553"/>
    <w:rsid w:val="00D17A4A"/>
    <w:rsid w:val="00D2034F"/>
    <w:rsid w:val="00D220CB"/>
    <w:rsid w:val="00D2438A"/>
    <w:rsid w:val="00D346E5"/>
    <w:rsid w:val="00D42DBB"/>
    <w:rsid w:val="00D4387E"/>
    <w:rsid w:val="00D45501"/>
    <w:rsid w:val="00D47AEE"/>
    <w:rsid w:val="00D53831"/>
    <w:rsid w:val="00D54585"/>
    <w:rsid w:val="00D5668A"/>
    <w:rsid w:val="00D66FD7"/>
    <w:rsid w:val="00D67D98"/>
    <w:rsid w:val="00D70408"/>
    <w:rsid w:val="00D70FB5"/>
    <w:rsid w:val="00D72694"/>
    <w:rsid w:val="00D77451"/>
    <w:rsid w:val="00D82D6F"/>
    <w:rsid w:val="00D9361F"/>
    <w:rsid w:val="00D96FF8"/>
    <w:rsid w:val="00DA0EC6"/>
    <w:rsid w:val="00DA42F3"/>
    <w:rsid w:val="00DA623E"/>
    <w:rsid w:val="00DB00BB"/>
    <w:rsid w:val="00DB64A0"/>
    <w:rsid w:val="00DC03F0"/>
    <w:rsid w:val="00DC6B7F"/>
    <w:rsid w:val="00DC6E90"/>
    <w:rsid w:val="00DE1D43"/>
    <w:rsid w:val="00DE3205"/>
    <w:rsid w:val="00DE5306"/>
    <w:rsid w:val="00DE5C60"/>
    <w:rsid w:val="00DF45A2"/>
    <w:rsid w:val="00DF45B2"/>
    <w:rsid w:val="00E05AFF"/>
    <w:rsid w:val="00E119F4"/>
    <w:rsid w:val="00E12B67"/>
    <w:rsid w:val="00E2729E"/>
    <w:rsid w:val="00E4171D"/>
    <w:rsid w:val="00E45C0B"/>
    <w:rsid w:val="00E50EA1"/>
    <w:rsid w:val="00E515C5"/>
    <w:rsid w:val="00E6191D"/>
    <w:rsid w:val="00E7551C"/>
    <w:rsid w:val="00E807FA"/>
    <w:rsid w:val="00E86088"/>
    <w:rsid w:val="00E875C4"/>
    <w:rsid w:val="00E97F8A"/>
    <w:rsid w:val="00EA03F4"/>
    <w:rsid w:val="00EA2BA4"/>
    <w:rsid w:val="00EB1AEE"/>
    <w:rsid w:val="00EB29B5"/>
    <w:rsid w:val="00EC12B6"/>
    <w:rsid w:val="00ED1636"/>
    <w:rsid w:val="00ED2621"/>
    <w:rsid w:val="00ED6F95"/>
    <w:rsid w:val="00EE5549"/>
    <w:rsid w:val="00EE5CCB"/>
    <w:rsid w:val="00EF1941"/>
    <w:rsid w:val="00EF7D88"/>
    <w:rsid w:val="00F024AA"/>
    <w:rsid w:val="00F05074"/>
    <w:rsid w:val="00F14318"/>
    <w:rsid w:val="00F168C0"/>
    <w:rsid w:val="00F17C51"/>
    <w:rsid w:val="00F22D46"/>
    <w:rsid w:val="00F26D75"/>
    <w:rsid w:val="00F3278A"/>
    <w:rsid w:val="00F33174"/>
    <w:rsid w:val="00F33AA1"/>
    <w:rsid w:val="00F41ACB"/>
    <w:rsid w:val="00F516A8"/>
    <w:rsid w:val="00F51D56"/>
    <w:rsid w:val="00F51D5C"/>
    <w:rsid w:val="00F53CFB"/>
    <w:rsid w:val="00F57814"/>
    <w:rsid w:val="00F704D8"/>
    <w:rsid w:val="00F7161D"/>
    <w:rsid w:val="00F74D83"/>
    <w:rsid w:val="00F7561B"/>
    <w:rsid w:val="00F76BAA"/>
    <w:rsid w:val="00F76D4A"/>
    <w:rsid w:val="00F821B6"/>
    <w:rsid w:val="00F822FA"/>
    <w:rsid w:val="00F82B0E"/>
    <w:rsid w:val="00F85B0D"/>
    <w:rsid w:val="00F94AA2"/>
    <w:rsid w:val="00F97271"/>
    <w:rsid w:val="00FA5B88"/>
    <w:rsid w:val="00FB3946"/>
    <w:rsid w:val="00FB45EC"/>
    <w:rsid w:val="00FC2FD9"/>
    <w:rsid w:val="00FC3151"/>
    <w:rsid w:val="00FC3254"/>
    <w:rsid w:val="00FC76C8"/>
    <w:rsid w:val="00FE3FDC"/>
    <w:rsid w:val="00FE43B5"/>
    <w:rsid w:val="00FF1978"/>
    <w:rsid w:val="00FF44AE"/>
    <w:rsid w:val="00FF4788"/>
    <w:rsid w:val="00FF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0253"/>
  <w15:chartTrackingRefBased/>
  <w15:docId w15:val="{DAE793B8-68CD-4380-9EB6-A4B760FF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764"/>
    <w:pPr>
      <w:spacing w:after="200" w:line="276" w:lineRule="auto"/>
    </w:pPr>
  </w:style>
  <w:style w:type="paragraph" w:styleId="Heading1">
    <w:name w:val="heading 1"/>
    <w:basedOn w:val="Normal"/>
    <w:next w:val="Normal"/>
    <w:link w:val="Heading1Char"/>
    <w:uiPriority w:val="9"/>
    <w:qFormat/>
    <w:rsid w:val="0078349D"/>
    <w:pPr>
      <w:keepNext/>
      <w:keepLines/>
      <w:numPr>
        <w:numId w:val="6"/>
      </w:numPr>
      <w:pBdr>
        <w:top w:val="single" w:sz="4" w:space="1" w:color="auto"/>
        <w:left w:val="single" w:sz="4" w:space="4" w:color="auto"/>
        <w:bottom w:val="single" w:sz="4" w:space="1" w:color="auto"/>
        <w:right w:val="single" w:sz="4" w:space="4" w:color="auto"/>
      </w:pBdr>
      <w:shd w:val="clear" w:color="auto" w:fill="1F4E79" w:themeFill="accent1" w:themeFillShade="80"/>
      <w:spacing w:before="240" w:after="0" w:line="259" w:lineRule="auto"/>
      <w:outlineLvl w:val="0"/>
    </w:pPr>
    <w:rPr>
      <w:rFonts w:ascii="Times New Roman" w:eastAsiaTheme="majorEastAsia" w:hAnsi="Times New Roman" w:cstheme="majorBidi"/>
      <w:color w:val="FFFFFF" w:themeColor="background1"/>
      <w:sz w:val="24"/>
      <w:szCs w:val="32"/>
    </w:rPr>
  </w:style>
  <w:style w:type="paragraph" w:styleId="Heading2">
    <w:name w:val="heading 2"/>
    <w:basedOn w:val="Normal"/>
    <w:next w:val="Normal"/>
    <w:link w:val="Heading2Char"/>
    <w:uiPriority w:val="9"/>
    <w:unhideWhenUsed/>
    <w:qFormat/>
    <w:rsid w:val="0078349D"/>
    <w:pPr>
      <w:keepNext/>
      <w:keepLines/>
      <w:numPr>
        <w:ilvl w:val="1"/>
        <w:numId w:val="6"/>
      </w:numPr>
      <w:pBdr>
        <w:top w:val="single" w:sz="4" w:space="1" w:color="auto"/>
        <w:left w:val="single" w:sz="4" w:space="4" w:color="auto"/>
        <w:bottom w:val="single" w:sz="4" w:space="1" w:color="auto"/>
        <w:right w:val="single" w:sz="4" w:space="4" w:color="auto"/>
      </w:pBdr>
      <w:shd w:val="clear" w:color="auto" w:fill="9CC2E5" w:themeFill="accent1" w:themeFillTint="99"/>
      <w:spacing w:before="40" w:after="0" w:line="259"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78349D"/>
    <w:pPr>
      <w:keepNext/>
      <w:keepLines/>
      <w:numPr>
        <w:ilvl w:val="2"/>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0" w:line="259" w:lineRule="auto"/>
      <w:ind w:left="72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78349D"/>
    <w:pPr>
      <w:keepNext/>
      <w:keepLines/>
      <w:numPr>
        <w:ilvl w:val="3"/>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59" w:lineRule="auto"/>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unhideWhenUsed/>
    <w:qFormat/>
    <w:rsid w:val="0078349D"/>
    <w:pPr>
      <w:keepNext/>
      <w:keepLines/>
      <w:numPr>
        <w:ilvl w:val="4"/>
        <w:numId w:val="6"/>
      </w:numPr>
      <w:pBdr>
        <w:top w:val="single" w:sz="4" w:space="1" w:color="auto"/>
        <w:left w:val="single" w:sz="4" w:space="4" w:color="auto"/>
        <w:bottom w:val="single" w:sz="4" w:space="1" w:color="auto"/>
        <w:right w:val="single" w:sz="4" w:space="4" w:color="auto"/>
      </w:pBdr>
      <w:shd w:val="clear" w:color="auto" w:fill="FFFFFF" w:themeFill="background1"/>
      <w:spacing w:before="40" w:after="0" w:line="259"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78349D"/>
    <w:pPr>
      <w:keepNext/>
      <w:keepLines/>
      <w:numPr>
        <w:ilvl w:val="5"/>
        <w:numId w:val="6"/>
      </w:numPr>
      <w:spacing w:before="40" w:after="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349D"/>
    <w:pPr>
      <w:keepNext/>
      <w:keepLines/>
      <w:numPr>
        <w:ilvl w:val="6"/>
        <w:numId w:val="6"/>
      </w:numPr>
      <w:spacing w:before="40" w:after="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349D"/>
    <w:pPr>
      <w:keepNext/>
      <w:keepLines/>
      <w:numPr>
        <w:ilvl w:val="7"/>
        <w:numId w:val="6"/>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349D"/>
    <w:pPr>
      <w:keepNext/>
      <w:keepLines/>
      <w:numPr>
        <w:ilvl w:val="8"/>
        <w:numId w:val="6"/>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0764"/>
    <w:rPr>
      <w:rFonts w:cs="Times New Roman"/>
      <w:color w:val="0000FF"/>
      <w:u w:val="single"/>
    </w:rPr>
  </w:style>
  <w:style w:type="character" w:styleId="FollowedHyperlink">
    <w:name w:val="FollowedHyperlink"/>
    <w:basedOn w:val="DefaultParagraphFont"/>
    <w:uiPriority w:val="99"/>
    <w:semiHidden/>
    <w:unhideWhenUsed/>
    <w:rsid w:val="009247E4"/>
    <w:rPr>
      <w:color w:val="954F72" w:themeColor="followedHyperlink"/>
      <w:u w:val="single"/>
    </w:rPr>
  </w:style>
  <w:style w:type="paragraph" w:styleId="ListParagraph">
    <w:name w:val="List Paragraph"/>
    <w:basedOn w:val="Normal"/>
    <w:uiPriority w:val="34"/>
    <w:qFormat/>
    <w:rsid w:val="00C706C5"/>
    <w:pPr>
      <w:ind w:left="720"/>
      <w:contextualSpacing/>
    </w:pPr>
  </w:style>
  <w:style w:type="paragraph" w:styleId="FootnoteText">
    <w:name w:val="footnote text"/>
    <w:aliases w:val="LJ Footnote Text,FN"/>
    <w:basedOn w:val="Normal"/>
    <w:link w:val="FootnoteTextChar"/>
    <w:uiPriority w:val="99"/>
    <w:unhideWhenUsed/>
    <w:qFormat/>
    <w:rsid w:val="00D45501"/>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45501"/>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45501"/>
    <w:rPr>
      <w:vertAlign w:val="superscript"/>
    </w:rPr>
  </w:style>
  <w:style w:type="paragraph" w:customStyle="1" w:styleId="Footnotetxt">
    <w:name w:val="Footnote txt"/>
    <w:basedOn w:val="FootnoteText"/>
    <w:uiPriority w:val="99"/>
    <w:qFormat/>
    <w:rsid w:val="008A666E"/>
    <w:pPr>
      <w:tabs>
        <w:tab w:val="left" w:pos="284"/>
      </w:tabs>
      <w:ind w:left="284" w:hanging="284"/>
      <w:jc w:val="both"/>
    </w:pPr>
    <w:rPr>
      <w:rFonts w:ascii="Times New Roman" w:eastAsia="Times New Roman" w:hAnsi="Times New Roman" w:cs="Times New Roman"/>
      <w:sz w:val="16"/>
      <w:lang w:eastAsia="en-AU"/>
    </w:rPr>
  </w:style>
  <w:style w:type="paragraph" w:styleId="Header">
    <w:name w:val="header"/>
    <w:basedOn w:val="Normal"/>
    <w:link w:val="HeaderChar"/>
    <w:uiPriority w:val="99"/>
    <w:unhideWhenUsed/>
    <w:rsid w:val="006A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16"/>
  </w:style>
  <w:style w:type="paragraph" w:styleId="Footer">
    <w:name w:val="footer"/>
    <w:basedOn w:val="Normal"/>
    <w:link w:val="FooterChar"/>
    <w:uiPriority w:val="99"/>
    <w:unhideWhenUsed/>
    <w:rsid w:val="006A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16"/>
  </w:style>
  <w:style w:type="paragraph" w:styleId="Revision">
    <w:name w:val="Revision"/>
    <w:hidden/>
    <w:uiPriority w:val="99"/>
    <w:semiHidden/>
    <w:rsid w:val="002F4B66"/>
    <w:pPr>
      <w:spacing w:after="0" w:line="240" w:lineRule="auto"/>
    </w:pPr>
  </w:style>
  <w:style w:type="paragraph" w:styleId="BalloonText">
    <w:name w:val="Balloon Text"/>
    <w:basedOn w:val="Normal"/>
    <w:link w:val="BalloonTextChar"/>
    <w:uiPriority w:val="99"/>
    <w:semiHidden/>
    <w:unhideWhenUsed/>
    <w:rsid w:val="002F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66"/>
    <w:rPr>
      <w:rFonts w:ascii="Segoe UI" w:hAnsi="Segoe UI" w:cs="Segoe UI"/>
      <w:sz w:val="18"/>
      <w:szCs w:val="18"/>
    </w:rPr>
  </w:style>
  <w:style w:type="paragraph" w:customStyle="1" w:styleId="ActHead5">
    <w:name w:val="ActHead 5"/>
    <w:aliases w:val="s"/>
    <w:basedOn w:val="Normal"/>
    <w:next w:val="subsection"/>
    <w:qFormat/>
    <w:rsid w:val="000E3CB8"/>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0E3CB8"/>
  </w:style>
  <w:style w:type="paragraph" w:customStyle="1" w:styleId="subsection">
    <w:name w:val="subsection"/>
    <w:aliases w:val="ss"/>
    <w:basedOn w:val="Normal"/>
    <w:link w:val="subsectionChar"/>
    <w:rsid w:val="000E3CB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0E3CB8"/>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0E3CB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0E3CB8"/>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0E3CB8"/>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78349D"/>
    <w:rPr>
      <w:color w:val="605E5C"/>
      <w:shd w:val="clear" w:color="auto" w:fill="E1DFDD"/>
    </w:rPr>
  </w:style>
  <w:style w:type="character" w:customStyle="1" w:styleId="Heading1Char">
    <w:name w:val="Heading 1 Char"/>
    <w:basedOn w:val="DefaultParagraphFont"/>
    <w:link w:val="Heading1"/>
    <w:uiPriority w:val="9"/>
    <w:rsid w:val="0078349D"/>
    <w:rPr>
      <w:rFonts w:ascii="Times New Roman" w:eastAsiaTheme="majorEastAsia" w:hAnsi="Times New Roman" w:cstheme="majorBidi"/>
      <w:color w:val="FFFFFF" w:themeColor="background1"/>
      <w:sz w:val="24"/>
      <w:szCs w:val="32"/>
      <w:shd w:val="clear" w:color="auto" w:fill="1F4E79" w:themeFill="accent1" w:themeFillShade="80"/>
    </w:rPr>
  </w:style>
  <w:style w:type="character" w:customStyle="1" w:styleId="Heading2Char">
    <w:name w:val="Heading 2 Char"/>
    <w:basedOn w:val="DefaultParagraphFont"/>
    <w:link w:val="Heading2"/>
    <w:uiPriority w:val="9"/>
    <w:rsid w:val="0078349D"/>
    <w:rPr>
      <w:rFonts w:ascii="Times New Roman" w:eastAsiaTheme="majorEastAsia" w:hAnsi="Times New Roman" w:cstheme="majorBidi"/>
      <w:sz w:val="24"/>
      <w:szCs w:val="26"/>
      <w:shd w:val="clear" w:color="auto" w:fill="9CC2E5" w:themeFill="accent1" w:themeFillTint="99"/>
    </w:rPr>
  </w:style>
  <w:style w:type="character" w:customStyle="1" w:styleId="Heading3Char">
    <w:name w:val="Heading 3 Char"/>
    <w:basedOn w:val="DefaultParagraphFont"/>
    <w:link w:val="Heading3"/>
    <w:uiPriority w:val="9"/>
    <w:rsid w:val="0078349D"/>
    <w:rPr>
      <w:rFonts w:ascii="Times New Roman" w:eastAsiaTheme="majorEastAsia" w:hAnsi="Times New Roman" w:cstheme="majorBidi"/>
      <w:color w:val="000000" w:themeColor="text1"/>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78349D"/>
    <w:rPr>
      <w:rFonts w:ascii="Times New Roman" w:eastAsiaTheme="majorEastAsia" w:hAnsi="Times New Roman" w:cstheme="majorBidi"/>
      <w:iCs/>
      <w:color w:val="000000" w:themeColor="text1"/>
      <w:sz w:val="24"/>
      <w:shd w:val="clear" w:color="auto" w:fill="F2F2F2" w:themeFill="background1" w:themeFillShade="F2"/>
    </w:rPr>
  </w:style>
  <w:style w:type="character" w:customStyle="1" w:styleId="Heading5Char">
    <w:name w:val="Heading 5 Char"/>
    <w:basedOn w:val="DefaultParagraphFont"/>
    <w:link w:val="Heading5"/>
    <w:uiPriority w:val="9"/>
    <w:rsid w:val="0078349D"/>
    <w:rPr>
      <w:rFonts w:ascii="Times New Roman" w:eastAsiaTheme="majorEastAsia" w:hAnsi="Times New Roman" w:cstheme="majorBidi"/>
      <w:shd w:val="clear" w:color="auto" w:fill="FFFFFF" w:themeFill="background1"/>
    </w:rPr>
  </w:style>
  <w:style w:type="character" w:customStyle="1" w:styleId="Heading6Char">
    <w:name w:val="Heading 6 Char"/>
    <w:basedOn w:val="DefaultParagraphFont"/>
    <w:link w:val="Heading6"/>
    <w:uiPriority w:val="9"/>
    <w:semiHidden/>
    <w:rsid w:val="007834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34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34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349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8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nimelb.edu.au/__data/assets/pdf_file/0020/2274131/Phoenix-Activity-Recommendations-on-Detection-Disruption-and-Enforcement-Melbourne-Law-School-and-Monash-Business-School-February-2017-0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justice.europa.eu/content_insolvency_registers-110-en.do" TargetMode="External"/><Relationship Id="rId2" Type="http://schemas.openxmlformats.org/officeDocument/2006/relationships/hyperlink" Target="https://www.dpmc.gov.au/public-data/public-data-policy" TargetMode="External"/><Relationship Id="rId1" Type="http://schemas.openxmlformats.org/officeDocument/2006/relationships/hyperlink" Target="http://asic.gov.au/online-services/alerts/" TargetMode="External"/><Relationship Id="rId6" Type="http://schemas.openxmlformats.org/officeDocument/2006/relationships/hyperlink" Target="https://www.insolvencydirect.bis.gov.uk/IESdatabase/viewdirectorsummary-new.asp" TargetMode="External"/><Relationship Id="rId5" Type="http://schemas.openxmlformats.org/officeDocument/2006/relationships/hyperlink" Target="https://beta.companieshouse.gov.uk/" TargetMode="External"/><Relationship Id="rId4" Type="http://schemas.openxmlformats.org/officeDocument/2006/relationships/hyperlink" Target="https://www.gov.uk/government/organisations/companies-house/about/about-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DB36-5CB4-4BFD-8ED8-B374B1EE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Hedges</dc:creator>
  <cp:keywords/>
  <dc:description/>
  <cp:lastModifiedBy>Helen Anderson</cp:lastModifiedBy>
  <cp:revision>5</cp:revision>
  <cp:lastPrinted>2019-01-31T02:51:00Z</cp:lastPrinted>
  <dcterms:created xsi:type="dcterms:W3CDTF">2019-01-31T02:15:00Z</dcterms:created>
  <dcterms:modified xsi:type="dcterms:W3CDTF">2019-01-31T02:52:00Z</dcterms:modified>
</cp:coreProperties>
</file>