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36" w:rsidRPr="007B3036" w:rsidRDefault="007B3036" w:rsidP="007B3036">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7B3036" w:rsidRPr="007B3036" w:rsidTr="007B303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7B3036" w:rsidRPr="007B3036">
              <w:trPr>
                <w:trHeight w:val="100"/>
                <w:tblCellSpacing w:w="0" w:type="dxa"/>
              </w:trPr>
              <w:tc>
                <w:tcPr>
                  <w:tcW w:w="340" w:type="dxa"/>
                  <w:vAlign w:val="center"/>
                  <w:hideMark/>
                </w:tcPr>
                <w:p w:rsidR="007B3036" w:rsidRPr="007B3036" w:rsidRDefault="007B3036" w:rsidP="007B30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415" name="Picture 9415"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5"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7B3036" w:rsidRPr="007B3036" w:rsidRDefault="007B3036" w:rsidP="007B30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9416" name="Picture 9416"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6"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7B3036" w:rsidRPr="007B3036" w:rsidRDefault="007B3036" w:rsidP="007B30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9417" name="Picture 9417"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7"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7B3036" w:rsidRPr="007B3036" w:rsidRDefault="007B3036" w:rsidP="007B30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418" name="Picture 9418"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8"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t> </w:t>
                  </w:r>
                </w:p>
              </w:tc>
              <w:tc>
                <w:tcPr>
                  <w:tcW w:w="0" w:type="auto"/>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9419" name="Picture 9419"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9"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t> </w:t>
                  </w:r>
                </w:p>
              </w:tc>
              <w:tc>
                <w:tcPr>
                  <w:tcW w:w="0" w:type="auto"/>
                  <w:vAlign w:val="bottom"/>
                  <w:hideMark/>
                </w:tcPr>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c>
      </w:tr>
      <w:tr w:rsidR="007B3036" w:rsidRPr="007B3036" w:rsidTr="007B3036">
        <w:trPr>
          <w:trHeight w:val="20"/>
          <w:tblCellSpacing w:w="0" w:type="dxa"/>
        </w:trPr>
        <w:tc>
          <w:tcPr>
            <w:tcW w:w="0" w:type="auto"/>
            <w:shd w:val="clear" w:color="auto" w:fill="BCBDBE"/>
            <w:vAlign w:val="center"/>
            <w:hideMark/>
          </w:tcPr>
          <w:p w:rsidR="007B3036" w:rsidRPr="007B3036" w:rsidRDefault="007B3036" w:rsidP="007B303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9420" name="Picture 9420"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0"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7B3036" w:rsidRPr="007B3036" w:rsidTr="007B303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7B3036" w:rsidRPr="007B3036">
              <w:trPr>
                <w:tblCellSpacing w:w="0" w:type="dxa"/>
              </w:trPr>
              <w:tc>
                <w:tcPr>
                  <w:tcW w:w="540" w:type="dxa"/>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21" name="Picture 9421"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1"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23 October 2008 </w:t>
                  </w:r>
                </w:p>
              </w:tc>
              <w:tc>
                <w:tcPr>
                  <w:tcW w:w="0" w:type="auto"/>
                  <w:vAlign w:val="center"/>
                  <w:hideMark/>
                </w:tcPr>
                <w:p w:rsidR="007B3036" w:rsidRPr="007B3036" w:rsidRDefault="007B3036" w:rsidP="007B3036">
                  <w:pPr>
                    <w:jc w:val="right"/>
                    <w:rPr>
                      <w:rFonts w:ascii="Times" w:eastAsia="Times New Roman" w:hAnsi="Times" w:cs="Times New Roman"/>
                      <w:sz w:val="20"/>
                      <w:szCs w:val="20"/>
                      <w:lang w:val="en-AU"/>
                    </w:rPr>
                  </w:pPr>
                  <w:r w:rsidRPr="007B3036">
                    <w:rPr>
                      <w:rFonts w:ascii="Times" w:eastAsia="Times New Roman" w:hAnsi="Times" w:cs="Times New Roman"/>
                      <w:sz w:val="20"/>
                      <w:szCs w:val="20"/>
                      <w:lang w:val="en-AU"/>
                    </w:rPr>
                    <w:t>&gt;  Regulatory Newsfeed</w:t>
                  </w:r>
                </w:p>
              </w:tc>
              <w:tc>
                <w:tcPr>
                  <w:tcW w:w="540" w:type="dxa"/>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22" name="Picture 9422"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2"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sz w:val="20"/>
                <w:szCs w:val="20"/>
                <w:lang w:val="en-AU"/>
              </w:rPr>
            </w:pPr>
          </w:p>
        </w:tc>
      </w:tr>
      <w:tr w:rsidR="007B3036" w:rsidRPr="007B3036" w:rsidTr="007B3036">
        <w:trPr>
          <w:trHeight w:val="700"/>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t> </w:t>
            </w:r>
          </w:p>
        </w:tc>
      </w:tr>
    </w:tbl>
    <w:p w:rsidR="007B3036" w:rsidRPr="007B3036" w:rsidRDefault="007B3036" w:rsidP="007B303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B3036" w:rsidRPr="007B3036" w:rsidTr="007B3036">
        <w:trPr>
          <w:trHeight w:val="400"/>
          <w:tblCellSpacing w:w="0" w:type="dxa"/>
        </w:trPr>
        <w:tc>
          <w:tcPr>
            <w:tcW w:w="540" w:type="dxa"/>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23" name="Picture 9423"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3"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7B3036" w:rsidRPr="007B303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7B3036" w:rsidRPr="007B3036">
                    <w:trPr>
                      <w:tblCellSpacing w:w="0" w:type="dxa"/>
                    </w:trPr>
                    <w:tc>
                      <w:tcPr>
                        <w:tcW w:w="0" w:type="auto"/>
                        <w:vAlign w:val="bottom"/>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t>Corporate Law Bulletin No. 134&gt;</w:t>
                        </w:r>
                      </w:p>
                    </w:tc>
                    <w:tc>
                      <w:tcPr>
                        <w:tcW w:w="3500" w:type="dxa"/>
                        <w:vAlign w:val="center"/>
                        <w:hideMark/>
                      </w:tcPr>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c>
        <w:tc>
          <w:tcPr>
            <w:tcW w:w="540" w:type="dxa"/>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24" name="Picture 9424" descr="http://www.law.unimelb.edu.au/bulletins/SAI-Global-old-editions/SAI%20Global%20Corporate%20Law%20Bulletin%20No%20134%20Octo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4" descr="http://www.law.unimelb.edu.au/bulletins/SAI-Global-old-editions/SAI%20Global%20Corporate%20Law%20Bulletin%20No%20134%20Octo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7B3036" w:rsidRPr="007B3036" w:rsidTr="007B3036">
        <w:trPr>
          <w:trHeight w:val="400"/>
          <w:tblCellSpacing w:w="0" w:type="dxa"/>
        </w:trPr>
        <w:tc>
          <w:tcPr>
            <w:tcW w:w="540" w:type="dxa"/>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25" name="Picture 9425"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5"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9426" name="Picture 9426"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6"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7B3036" w:rsidRPr="007B303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B3036" w:rsidRPr="007B303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b/>
                                  <w:bCs/>
                                  <w:sz w:val="20"/>
                                  <w:szCs w:val="20"/>
                                  <w:lang w:val="en-AU"/>
                                </w:rPr>
                                <w:t>Index</w:t>
                              </w:r>
                            </w:p>
                          </w:tc>
                          <w:tc>
                            <w:tcPr>
                              <w:tcW w:w="3100" w:type="dxa"/>
                              <w:vAlign w:val="center"/>
                              <w:hideMark/>
                            </w:tcPr>
                            <w:p w:rsidR="007B3036" w:rsidRPr="007B3036" w:rsidRDefault="007B3036" w:rsidP="007B3036">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9427" name="Picture 9427"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7"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7B3036">
                                <w:rPr>
                                  <w:rFonts w:ascii="Times" w:eastAsia="Times New Roman" w:hAnsi="Times" w:cs="Times New Roman"/>
                                  <w:sz w:val="20"/>
                                  <w:szCs w:val="20"/>
                                  <w:lang w:val="en-AU"/>
                                </w:rPr>
                                <w:t> </w:t>
                              </w:r>
                              <w:r w:rsidRPr="007B3036">
                                <w:rPr>
                                  <w:rFonts w:ascii="Times" w:eastAsia="Times New Roman" w:hAnsi="Times" w:cs="Times New Roman"/>
                                  <w:sz w:val="20"/>
                                  <w:szCs w:val="20"/>
                                  <w:lang w:val="en-AU"/>
                                </w:rPr>
                                <w:fldChar w:fldCharType="begin"/>
                              </w:r>
                              <w:r w:rsidRPr="007B3036">
                                <w:rPr>
                                  <w:rFonts w:ascii="Times" w:eastAsia="Times New Roman" w:hAnsi="Times" w:cs="Times New Roman"/>
                                  <w:sz w:val="20"/>
                                  <w:szCs w:val="20"/>
                                  <w:lang w:val="en-AU"/>
                                </w:rPr>
                                <w:instrText xml:space="preserve"> HYPERLINK "mailto:helpdesk.asiapac@saiglobal.com" \t "_new" </w:instrText>
                              </w:r>
                              <w:r w:rsidRPr="007B3036">
                                <w:rPr>
                                  <w:rFonts w:ascii="Times" w:eastAsia="Times New Roman" w:hAnsi="Times" w:cs="Times New Roman"/>
                                  <w:sz w:val="20"/>
                                  <w:szCs w:val="20"/>
                                  <w:lang w:val="en-AU"/>
                                </w:rPr>
                              </w:r>
                              <w:r w:rsidRPr="007B3036">
                                <w:rPr>
                                  <w:rFonts w:ascii="Times" w:eastAsia="Times New Roman" w:hAnsi="Times" w:cs="Times New Roman"/>
                                  <w:sz w:val="20"/>
                                  <w:szCs w:val="20"/>
                                  <w:lang w:val="en-AU"/>
                                </w:rPr>
                                <w:fldChar w:fldCharType="separate"/>
                              </w:r>
                              <w:r w:rsidRPr="007B3036">
                                <w:rPr>
                                  <w:rFonts w:ascii="Times" w:eastAsia="Times New Roman" w:hAnsi="Times" w:cs="Times New Roman"/>
                                  <w:color w:val="FFFFFF"/>
                                  <w:sz w:val="20"/>
                                  <w:szCs w:val="20"/>
                                  <w:u w:val="single"/>
                                  <w:lang w:val="en-AU"/>
                                </w:rPr>
                                <w:t>helpdesk.asiapac@saiglobal.com</w:t>
                              </w:r>
                              <w:r w:rsidRPr="007B3036">
                                <w:rPr>
                                  <w:rFonts w:ascii="Times" w:eastAsia="Times New Roman" w:hAnsi="Times" w:cs="Times New Roman"/>
                                  <w:sz w:val="20"/>
                                  <w:szCs w:val="20"/>
                                  <w:lang w:val="en-AU"/>
                                </w:rPr>
                                <w:fldChar w:fldCharType="end"/>
                              </w:r>
                            </w:p>
                          </w:tc>
                        </w:tr>
                      </w:tbl>
                      <w:p w:rsidR="007B3036" w:rsidRPr="007B3036" w:rsidRDefault="007B3036" w:rsidP="007B3036">
                        <w:pPr>
                          <w:rPr>
                            <w:rFonts w:ascii="Times" w:eastAsia="Times New Roman" w:hAnsi="Times" w:cs="Times New Roman"/>
                            <w:sz w:val="20"/>
                            <w:szCs w:val="20"/>
                            <w:lang w:val="en-AU"/>
                          </w:rPr>
                        </w:pPr>
                      </w:p>
                    </w:tc>
                  </w:tr>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428" name="Picture 9428"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8"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c>
        <w:tc>
          <w:tcPr>
            <w:tcW w:w="540" w:type="dxa"/>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29" name="Picture 9429"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9"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72"/>
        <w:gridCol w:w="7928"/>
      </w:tblGrid>
      <w:tr w:rsidR="007B3036" w:rsidRPr="007B3036" w:rsidTr="007B3036">
        <w:trPr>
          <w:tblCellSpacing w:w="0" w:type="dxa"/>
        </w:trPr>
        <w:tc>
          <w:tcPr>
            <w:tcW w:w="540" w:type="dxa"/>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430" name="Picture 9430"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28"/>
            </w:tblGrid>
            <w:tr w:rsidR="007B3036" w:rsidRPr="007B30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5008"/>
                    <w:gridCol w:w="2920"/>
                  </w:tblGrid>
                  <w:tr w:rsidR="007B3036" w:rsidRPr="007B3036">
                    <w:trPr>
                      <w:tblCellSpacing w:w="0" w:type="dxa"/>
                    </w:trPr>
                    <w:tc>
                      <w:tcPr>
                        <w:tcW w:w="0" w:type="auto"/>
                        <w:hideMark/>
                      </w:tcPr>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b/>
                            <w:bCs/>
                            <w:sz w:val="20"/>
                            <w:szCs w:val="20"/>
                            <w:lang w:val="en-AU"/>
                          </w:rPr>
                          <w:t>Bulletin No. 134</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 xml:space="preserve">Editor: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"mailto:i.ramsay@unimelb.edu.au"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Professor Ian Ramsay</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Director, Centre for Corporate Law and Securities Regulation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 xml:space="preserve">Published by SAI Global on behalf of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"http://cclsr.law.unimelb.edu.au/"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Centre for Corporate Law and Securities Regulation</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Faculty of Law, the University of Melbourne with the support of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"http://www.asic.gov.au/"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Australian Securities and Investments Commission</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"http://www.asx.com.au/"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Australian Securities Exchange</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and the leading law firms: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"http://www.blakedawson.com/"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Blake Dawson</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"http://www.claytonutz.com/"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 xml:space="preserve">Clayton </w:t>
                        </w:r>
                        <w:proofErr w:type="spellStart"/>
                        <w:r w:rsidRPr="007B3036">
                          <w:rPr>
                            <w:rFonts w:ascii="Times" w:hAnsi="Times" w:cs="Times New Roman"/>
                            <w:color w:val="0000FF"/>
                            <w:sz w:val="20"/>
                            <w:szCs w:val="20"/>
                            <w:u w:val="single"/>
                            <w:lang w:val="en-AU"/>
                          </w:rPr>
                          <w:t>Utz</w:t>
                        </w:r>
                        <w:proofErr w:type="spellEnd"/>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"http://www.corrs.com.au/"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proofErr w:type="spellStart"/>
                        <w:r w:rsidRPr="007B3036">
                          <w:rPr>
                            <w:rFonts w:ascii="Times" w:hAnsi="Times" w:cs="Times New Roman"/>
                            <w:color w:val="0000FF"/>
                            <w:sz w:val="20"/>
                            <w:szCs w:val="20"/>
                            <w:u w:val="single"/>
                            <w:lang w:val="en-AU"/>
                          </w:rPr>
                          <w:t>Corrs</w:t>
                        </w:r>
                        <w:proofErr w:type="spellEnd"/>
                        <w:r w:rsidRPr="007B3036">
                          <w:rPr>
                            <w:rFonts w:ascii="Times" w:hAnsi="Times" w:cs="Times New Roman"/>
                            <w:color w:val="0000FF"/>
                            <w:sz w:val="20"/>
                            <w:szCs w:val="20"/>
                            <w:u w:val="single"/>
                            <w:lang w:val="en-AU"/>
                          </w:rPr>
                          <w:t xml:space="preserve"> Chambers Westgarth</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"http://www.dlaphillipsfox.com/"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DLA Phillips Fox</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"http://www.freehills.com/"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proofErr w:type="spellStart"/>
                        <w:r w:rsidRPr="007B3036">
                          <w:rPr>
                            <w:rFonts w:ascii="Times" w:hAnsi="Times" w:cs="Times New Roman"/>
                            <w:color w:val="0000FF"/>
                            <w:sz w:val="20"/>
                            <w:szCs w:val="20"/>
                            <w:u w:val="single"/>
                            <w:lang w:val="en-AU"/>
                          </w:rPr>
                          <w:t>Freehills</w:t>
                        </w:r>
                        <w:proofErr w:type="spellEnd"/>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"http://www.mallesons.com/"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proofErr w:type="spellStart"/>
                        <w:r w:rsidRPr="007B3036">
                          <w:rPr>
                            <w:rFonts w:ascii="Times" w:hAnsi="Times" w:cs="Times New Roman"/>
                            <w:color w:val="0000FF"/>
                            <w:sz w:val="20"/>
                            <w:szCs w:val="20"/>
                            <w:u w:val="single"/>
                            <w:lang w:val="en-AU"/>
                          </w:rPr>
                          <w:t>Mallesons</w:t>
                        </w:r>
                        <w:proofErr w:type="spellEnd"/>
                        <w:r w:rsidRPr="007B3036">
                          <w:rPr>
                            <w:rFonts w:ascii="Times" w:hAnsi="Times" w:cs="Times New Roman"/>
                            <w:color w:val="0000FF"/>
                            <w:sz w:val="20"/>
                            <w:szCs w:val="20"/>
                            <w:u w:val="single"/>
                            <w:lang w:val="en-AU"/>
                          </w:rPr>
                          <w:t xml:space="preserve"> Stephen </w:t>
                        </w:r>
                        <w:proofErr w:type="spellStart"/>
                        <w:r w:rsidRPr="007B3036">
                          <w:rPr>
                            <w:rFonts w:ascii="Times" w:hAnsi="Times" w:cs="Times New Roman"/>
                            <w:color w:val="0000FF"/>
                            <w:sz w:val="20"/>
                            <w:szCs w:val="20"/>
                            <w:u w:val="single"/>
                            <w:lang w:val="en-AU"/>
                          </w:rPr>
                          <w:t>Jaques</w:t>
                        </w:r>
                        <w:proofErr w:type="spellEnd"/>
                        <w:r w:rsidRPr="007B3036">
                          <w:rPr>
                            <w:rFonts w:ascii="Times" w:hAnsi="Times" w:cs="Times New Roman"/>
                            <w:sz w:val="20"/>
                            <w:szCs w:val="20"/>
                            <w:lang w:val="en-AU"/>
                          </w:rPr>
                          <w:fldChar w:fldCharType="end"/>
                        </w:r>
                        <w:r w:rsidRPr="007B3036">
                          <w:rPr>
                            <w:rFonts w:ascii="Times" w:hAnsi="Times" w:cs="Times New Roman"/>
                            <w:sz w:val="20"/>
                            <w:szCs w:val="20"/>
                            <w:lang w:val="en-AU"/>
                          </w:rPr>
                          <w:t>.</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hyperlink r:id="rId10" w:anchor="h1" w:history="1">
                          <w:r w:rsidRPr="007B3036">
                            <w:rPr>
                              <w:rFonts w:ascii="Times" w:eastAsia="Times New Roman" w:hAnsi="Times" w:cs="Times New Roman"/>
                              <w:color w:val="0000FF"/>
                              <w:sz w:val="20"/>
                              <w:szCs w:val="20"/>
                              <w:u w:val="single"/>
                              <w:lang w:val="en-AU"/>
                            </w:rPr>
                            <w:t>Recent Corporate Law and Corporate Governance Developments</w:t>
                          </w:r>
                        </w:hyperlink>
                        <w:r w:rsidRPr="007B3036">
                          <w:rPr>
                            <w:rFonts w:ascii="Times" w:eastAsia="Times New Roman" w:hAnsi="Times" w:cs="Times New Roman"/>
                            <w:sz w:val="20"/>
                            <w:szCs w:val="20"/>
                            <w:lang w:val="en-AU"/>
                          </w:rPr>
                          <w:t xml:space="preserve"> </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hyperlink r:id="rId11" w:anchor="h2" w:history="1">
                          <w:r w:rsidRPr="007B3036">
                            <w:rPr>
                              <w:rFonts w:ascii="Times" w:eastAsia="Times New Roman" w:hAnsi="Times" w:cs="Times New Roman"/>
                              <w:color w:val="0000FF"/>
                              <w:sz w:val="20"/>
                              <w:szCs w:val="20"/>
                              <w:u w:val="single"/>
                              <w:lang w:val="en-AU"/>
                            </w:rPr>
                            <w:t>Recent ASIC Developments</w:t>
                          </w:r>
                        </w:hyperlink>
                        <w:r w:rsidRPr="007B3036">
                          <w:rPr>
                            <w:rFonts w:ascii="Times" w:eastAsia="Times New Roman" w:hAnsi="Times" w:cs="Times New Roman"/>
                            <w:sz w:val="20"/>
                            <w:szCs w:val="20"/>
                            <w:lang w:val="en-AU"/>
                          </w:rPr>
                          <w:t xml:space="preserve"> </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hyperlink r:id="rId12" w:anchor="h3" w:history="1">
                          <w:r w:rsidRPr="007B3036">
                            <w:rPr>
                              <w:rFonts w:ascii="Times" w:eastAsia="Times New Roman" w:hAnsi="Times" w:cs="Times New Roman"/>
                              <w:color w:val="0000FF"/>
                              <w:sz w:val="20"/>
                              <w:szCs w:val="20"/>
                              <w:u w:val="single"/>
                              <w:lang w:val="en-AU"/>
                            </w:rPr>
                            <w:t>Recent ASX Developments</w:t>
                          </w:r>
                        </w:hyperlink>
                        <w:r w:rsidRPr="007B3036">
                          <w:rPr>
                            <w:rFonts w:ascii="Times" w:eastAsia="Times New Roman" w:hAnsi="Times" w:cs="Times New Roman"/>
                            <w:sz w:val="20"/>
                            <w:szCs w:val="20"/>
                            <w:lang w:val="en-AU"/>
                          </w:rPr>
                          <w:t xml:space="preserve"> </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hyperlink r:id="rId13" w:anchor="h4" w:history="1">
                          <w:r w:rsidRPr="007B3036">
                            <w:rPr>
                              <w:rFonts w:ascii="Times" w:eastAsia="Times New Roman" w:hAnsi="Times" w:cs="Times New Roman"/>
                              <w:color w:val="0000FF"/>
                              <w:sz w:val="20"/>
                              <w:szCs w:val="20"/>
                              <w:u w:val="single"/>
                              <w:lang w:val="en-AU"/>
                            </w:rPr>
                            <w:t>Recent Takeovers Panel Developments</w:t>
                          </w:r>
                        </w:hyperlink>
                        <w:r w:rsidRPr="007B3036">
                          <w:rPr>
                            <w:rFonts w:ascii="Times" w:eastAsia="Times New Roman" w:hAnsi="Times" w:cs="Times New Roman"/>
                            <w:sz w:val="20"/>
                            <w:szCs w:val="20"/>
                            <w:lang w:val="en-AU"/>
                          </w:rPr>
                          <w:t xml:space="preserve"> </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hyperlink r:id="rId14" w:anchor="h5" w:history="1">
                          <w:r w:rsidRPr="007B3036">
                            <w:rPr>
                              <w:rFonts w:ascii="Times" w:eastAsia="Times New Roman" w:hAnsi="Times" w:cs="Times New Roman"/>
                              <w:color w:val="0000FF"/>
                              <w:sz w:val="20"/>
                              <w:szCs w:val="20"/>
                              <w:u w:val="single"/>
                              <w:lang w:val="en-AU"/>
                            </w:rPr>
                            <w:t>Recent Corporate Law Decisions</w:t>
                          </w:r>
                        </w:hyperlink>
                        <w:r w:rsidRPr="007B3036">
                          <w:rPr>
                            <w:rFonts w:ascii="Times" w:eastAsia="Times New Roman" w:hAnsi="Times" w:cs="Times New Roman"/>
                            <w:sz w:val="20"/>
                            <w:szCs w:val="20"/>
                            <w:lang w:val="en-AU"/>
                          </w:rPr>
                          <w:t xml:space="preserve"> </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hyperlink r:id="rId15" w:anchor="6" w:history="1">
                          <w:r w:rsidRPr="007B3036">
                            <w:rPr>
                              <w:rFonts w:ascii="Times" w:eastAsia="Times New Roman" w:hAnsi="Times" w:cs="Times New Roman"/>
                              <w:color w:val="0000FF"/>
                              <w:sz w:val="20"/>
                              <w:szCs w:val="20"/>
                              <w:u w:val="single"/>
                              <w:lang w:val="en-AU"/>
                            </w:rPr>
                            <w:t>Contributions</w:t>
                          </w:r>
                        </w:hyperlink>
                        <w:r w:rsidRPr="007B3036">
                          <w:rPr>
                            <w:rFonts w:ascii="Times" w:eastAsia="Times New Roman" w:hAnsi="Times" w:cs="Times New Roman"/>
                            <w:sz w:val="20"/>
                            <w:szCs w:val="20"/>
                            <w:lang w:val="en-AU"/>
                          </w:rPr>
                          <w:t xml:space="preserve"> </w:t>
                        </w:r>
                      </w:p>
                      <w:p w:rsidR="007B3036" w:rsidRPr="007B3036" w:rsidRDefault="007B3036" w:rsidP="007B3036">
                        <w:pPr>
                          <w:numPr>
                            <w:ilvl w:val="0"/>
                            <w:numId w:val="28"/>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fldChar w:fldCharType="begin"/>
                        </w:r>
                        <w:r w:rsidRPr="007B3036">
                          <w:rPr>
                            <w:rFonts w:ascii="Times" w:eastAsia="Times New Roman" w:hAnsi="Times" w:cs="Times New Roman"/>
                            <w:sz w:val="20"/>
                            <w:szCs w:val="20"/>
                            <w:lang w:val="en-AU"/>
                          </w:rPr>
                          <w:instrText xml:space="preserve"> HYPERLINK "http://my.lawlex.com.au/default.asp?goto=previous_news&amp;indexid=7" \t "_new" </w:instrText>
                        </w:r>
                        <w:r w:rsidRPr="007B3036">
                          <w:rPr>
                            <w:rFonts w:ascii="Times" w:eastAsia="Times New Roman" w:hAnsi="Times" w:cs="Times New Roman"/>
                            <w:sz w:val="20"/>
                            <w:szCs w:val="20"/>
                            <w:lang w:val="en-AU"/>
                          </w:rPr>
                        </w:r>
                        <w:r w:rsidRPr="007B3036">
                          <w:rPr>
                            <w:rFonts w:ascii="Times" w:eastAsia="Times New Roman" w:hAnsi="Times" w:cs="Times New Roman"/>
                            <w:sz w:val="20"/>
                            <w:szCs w:val="20"/>
                            <w:lang w:val="en-AU"/>
                          </w:rPr>
                          <w:fldChar w:fldCharType="separate"/>
                        </w:r>
                        <w:r w:rsidRPr="007B3036">
                          <w:rPr>
                            <w:rFonts w:ascii="Times" w:eastAsia="Times New Roman" w:hAnsi="Times" w:cs="Times New Roman"/>
                            <w:color w:val="0000FF"/>
                            <w:sz w:val="20"/>
                            <w:szCs w:val="20"/>
                            <w:u w:val="single"/>
                            <w:lang w:val="en-AU"/>
                          </w:rPr>
                          <w:t>Previous editions of the Corporate Law Bulletin</w:t>
                        </w:r>
                        <w:r w:rsidRPr="007B3036">
                          <w:rPr>
                            <w:rFonts w:ascii="Times" w:eastAsia="Times New Roman" w:hAnsi="Times" w:cs="Times New Roman"/>
                            <w:sz w:val="20"/>
                            <w:szCs w:val="20"/>
                            <w:lang w:val="en-AU"/>
                          </w:rPr>
                          <w:fldChar w:fldCharType="end"/>
                        </w:r>
                        <w:r w:rsidRPr="007B3036">
                          <w:rPr>
                            <w:rFonts w:ascii="Times" w:eastAsia="Times New Roman" w:hAnsi="Times" w:cs="Times New Roman"/>
                            <w:sz w:val="20"/>
                            <w:szCs w:val="20"/>
                            <w:lang w:val="en-AU"/>
                          </w:rPr>
                          <w:t xml:space="preserve"> </w:t>
                        </w:r>
                      </w:p>
                    </w:tc>
                    <w:tc>
                      <w:tcPr>
                        <w:tcW w:w="2600" w:type="dxa"/>
                        <w:vMerge w:val="restart"/>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9431" name="Picture 9431"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1"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B30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432" name="Picture 9432"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B30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433" name="Picture 9433"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3"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B30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434" name="Picture 9434"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4"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B30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435" name="Picture 9435"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5"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7B30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436" name="Picture 9436"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6"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9437" name="Picture 9437" descr="bout SAI Globa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7" descr="bout SAI Globa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7B3036" w:rsidRPr="007B303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688"/>
                        </w:tblGrid>
                        <w:tr w:rsidR="007B3036" w:rsidRPr="007B3036">
                          <w:trPr>
                            <w:tblCellSpacing w:w="0" w:type="dxa"/>
                          </w:trPr>
                          <w:tc>
                            <w:tcPr>
                              <w:tcW w:w="0" w:type="auto"/>
                              <w:shd w:val="clear" w:color="auto" w:fill="E4E5E5"/>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t>COPYRIGHT WARNING</w:t>
                              </w:r>
                              <w:r w:rsidRPr="007B3036">
                                <w:rPr>
                                  <w:rFonts w:ascii="Times" w:eastAsia="Times New Roman" w:hAnsi="Times" w:cs="Times New Roman"/>
                                  <w:sz w:val="20"/>
                                  <w:szCs w:val="20"/>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7B3036" w:rsidRPr="007B3036" w:rsidRDefault="007B3036" w:rsidP="007B3036">
                        <w:pPr>
                          <w:rPr>
                            <w:rFonts w:ascii="Times" w:eastAsia="Times New Roman" w:hAnsi="Times" w:cs="Times New Roman"/>
                            <w:sz w:val="20"/>
                            <w:szCs w:val="20"/>
                            <w:lang w:val="en-AU"/>
                          </w:rPr>
                        </w:pPr>
                      </w:p>
                    </w:tc>
                    <w:tc>
                      <w:tcPr>
                        <w:tcW w:w="0" w:type="auto"/>
                        <w:vMerge/>
                        <w:vAlign w:val="center"/>
                        <w:hideMark/>
                      </w:tcPr>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928"/>
            </w:tblGrid>
            <w:tr w:rsidR="007B3036" w:rsidRPr="007B303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28"/>
                  </w:tblGrid>
                  <w:tr w:rsidR="007B3036" w:rsidRPr="007B303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393"/>
                          <w:gridCol w:w="535"/>
                        </w:tblGrid>
                        <w:tr w:rsidR="007B3036" w:rsidRPr="007B3036">
                          <w:trPr>
                            <w:tblCellSpacing w:w="0" w:type="dxa"/>
                          </w:trPr>
                          <w:tc>
                            <w:tcPr>
                              <w:tcW w:w="4900" w:type="pct"/>
                              <w:vAlign w:val="center"/>
                              <w:hideMark/>
                            </w:tcPr>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b/>
                                  <w:bCs/>
                                  <w:sz w:val="20"/>
                                  <w:szCs w:val="20"/>
                                  <w:lang w:val="en-AU"/>
                                </w:rPr>
                                <w:t xml:space="preserve">Detailed Contents </w:t>
                              </w:r>
                            </w:p>
                          </w:tc>
                          <w:tc>
                            <w:tcPr>
                              <w:tcW w:w="100" w:type="pct"/>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438" name="Picture 9438"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8"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sz w:val="20"/>
                            <w:szCs w:val="20"/>
                            <w:lang w:val="en-AU"/>
                          </w:rPr>
                        </w:pPr>
                      </w:p>
                    </w:tc>
                  </w:tr>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439" name="Picture 9439"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9"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sz w:val="20"/>
                      <w:szCs w:val="20"/>
                      <w:lang w:val="en-AU"/>
                    </w:rPr>
                  </w:pPr>
                </w:p>
              </w:tc>
            </w:tr>
            <w:tr w:rsidR="007B3036" w:rsidRPr="007B3036">
              <w:trPr>
                <w:tblCellSpacing w:w="0" w:type="dxa"/>
              </w:trPr>
              <w:tc>
                <w:tcPr>
                  <w:tcW w:w="0" w:type="auto"/>
                  <w:vAlign w:val="center"/>
                  <w:hideMark/>
                </w:tcPr>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br/>
                  </w:r>
                  <w:hyperlink r:id="rId32" w:anchor="1" w:history="1">
                    <w:r w:rsidRPr="007B3036">
                      <w:rPr>
                        <w:rFonts w:ascii="Times" w:hAnsi="Times" w:cs="Times New Roman"/>
                        <w:color w:val="0000FF"/>
                        <w:sz w:val="20"/>
                        <w:szCs w:val="20"/>
                        <w:u w:val="single"/>
                        <w:lang w:val="en-AU"/>
                      </w:rPr>
                      <w:t>1. Recent Corporate Law and Corporate Governance Developments</w:t>
                    </w:r>
                  </w:hyperlink>
                  <w:bookmarkStart w:id="1" w:name="h1"/>
                  <w:bookmarkEnd w:id="1"/>
                </w:p>
                <w:p w:rsidR="007B3036" w:rsidRPr="007B3036" w:rsidRDefault="007B3036" w:rsidP="007B3036">
                  <w:pPr>
                    <w:spacing w:beforeAutospacing="1" w:afterAutospacing="1"/>
                    <w:rPr>
                      <w:rFonts w:ascii="Times" w:hAnsi="Times" w:cs="Times New Roman"/>
                      <w:sz w:val="20"/>
                      <w:szCs w:val="20"/>
                      <w:lang w:val="en-AU"/>
                    </w:rPr>
                  </w:pPr>
                  <w:hyperlink r:id="rId33" w:anchor="011" w:history="1">
                    <w:r w:rsidRPr="007B3036">
                      <w:rPr>
                        <w:rFonts w:ascii="Times" w:hAnsi="Times" w:cs="Times New Roman"/>
                        <w:color w:val="0000FF"/>
                        <w:sz w:val="20"/>
                        <w:szCs w:val="20"/>
                        <w:u w:val="single"/>
                        <w:lang w:val="en-AU"/>
                      </w:rPr>
                      <w:t>1.1 Guidance on audit committees</w:t>
                    </w:r>
                  </w:hyperlink>
                  <w:r w:rsidRPr="007B3036">
                    <w:rPr>
                      <w:rFonts w:ascii="Times" w:hAnsi="Times" w:cs="Times New Roman"/>
                      <w:sz w:val="20"/>
                      <w:szCs w:val="20"/>
                      <w:lang w:val="en-AU"/>
                    </w:rPr>
                    <w:br/>
                  </w:r>
                  <w:hyperlink r:id="rId34" w:anchor="012" w:history="1">
                    <w:r w:rsidRPr="007B3036">
                      <w:rPr>
                        <w:rFonts w:ascii="Times" w:hAnsi="Times" w:cs="Times New Roman"/>
                        <w:color w:val="0000FF"/>
                        <w:sz w:val="20"/>
                        <w:szCs w:val="20"/>
                        <w:u w:val="single"/>
                        <w:lang w:val="en-AU"/>
                      </w:rPr>
                      <w:t>1.2 CESR and CEBS publish their advice on the European Commission's review of commodities business</w:t>
                    </w:r>
                  </w:hyperlink>
                  <w:r w:rsidRPr="007B3036">
                    <w:rPr>
                      <w:rFonts w:ascii="Times" w:hAnsi="Times" w:cs="Times New Roman"/>
                      <w:sz w:val="20"/>
                      <w:szCs w:val="20"/>
                      <w:lang w:val="en-AU"/>
                    </w:rPr>
                    <w:br/>
                  </w:r>
                  <w:hyperlink r:id="rId35" w:anchor="013" w:history="1">
                    <w:r w:rsidRPr="007B3036">
                      <w:rPr>
                        <w:rFonts w:ascii="Times" w:hAnsi="Times" w:cs="Times New Roman"/>
                        <w:color w:val="0000FF"/>
                        <w:sz w:val="20"/>
                        <w:szCs w:val="20"/>
                        <w:u w:val="single"/>
                        <w:lang w:val="en-AU"/>
                      </w:rPr>
                      <w:t>1.3 Australian government guarantee of deposits and wholesale funding</w:t>
                    </w:r>
                  </w:hyperlink>
                  <w:r w:rsidRPr="007B3036">
                    <w:rPr>
                      <w:rFonts w:ascii="Times" w:hAnsi="Times" w:cs="Times New Roman"/>
                      <w:sz w:val="20"/>
                      <w:szCs w:val="20"/>
                      <w:lang w:val="en-AU"/>
                    </w:rPr>
                    <w:br/>
                  </w:r>
                  <w:hyperlink r:id="rId36" w:anchor="014" w:history="1">
                    <w:r w:rsidRPr="007B3036">
                      <w:rPr>
                        <w:rFonts w:ascii="Times" w:hAnsi="Times" w:cs="Times New Roman"/>
                        <w:color w:val="0000FF"/>
                        <w:sz w:val="20"/>
                        <w:szCs w:val="20"/>
                        <w:u w:val="single"/>
                        <w:lang w:val="en-AU"/>
                      </w:rPr>
                      <w:t>1.4 Principles and practices for sovereign wealth funds</w:t>
                    </w:r>
                  </w:hyperlink>
                  <w:r w:rsidRPr="007B3036">
                    <w:rPr>
                      <w:rFonts w:ascii="Times" w:hAnsi="Times" w:cs="Times New Roman"/>
                      <w:sz w:val="20"/>
                      <w:szCs w:val="20"/>
                      <w:lang w:val="en-AU"/>
                    </w:rPr>
                    <w:br/>
                  </w:r>
                  <w:hyperlink r:id="rId37" w:anchor="015" w:history="1">
                    <w:r w:rsidRPr="007B3036">
                      <w:rPr>
                        <w:rFonts w:ascii="Times" w:hAnsi="Times" w:cs="Times New Roman"/>
                        <w:color w:val="0000FF"/>
                        <w:sz w:val="20"/>
                        <w:szCs w:val="20"/>
                        <w:u w:val="single"/>
                        <w:lang w:val="en-AU"/>
                      </w:rPr>
                      <w:t>1.5 Economic survey of Australia 2008</w:t>
                    </w:r>
                  </w:hyperlink>
                  <w:r w:rsidRPr="007B3036">
                    <w:rPr>
                      <w:rFonts w:ascii="Times" w:hAnsi="Times" w:cs="Times New Roman"/>
                      <w:sz w:val="20"/>
                      <w:szCs w:val="20"/>
                      <w:lang w:val="en-AU"/>
                    </w:rPr>
                    <w:br/>
                  </w:r>
                  <w:hyperlink r:id="rId38" w:anchor="016" w:history="1">
                    <w:r w:rsidRPr="007B3036">
                      <w:rPr>
                        <w:rFonts w:ascii="Times" w:hAnsi="Times" w:cs="Times New Roman"/>
                        <w:color w:val="0000FF"/>
                        <w:sz w:val="20"/>
                        <w:szCs w:val="20"/>
                        <w:u w:val="single"/>
                        <w:lang w:val="en-AU"/>
                      </w:rPr>
                      <w:t>1.6 Report of the Financial Stability Forum on enhancing market and institutional resilience</w:t>
                    </w:r>
                  </w:hyperlink>
                  <w:r w:rsidRPr="007B3036">
                    <w:rPr>
                      <w:rFonts w:ascii="Times" w:hAnsi="Times" w:cs="Times New Roman"/>
                      <w:sz w:val="20"/>
                      <w:szCs w:val="20"/>
                      <w:lang w:val="en-AU"/>
                    </w:rPr>
                    <w:br/>
                  </w:r>
                  <w:hyperlink r:id="rId39" w:anchor="017" w:history="1">
                    <w:r w:rsidRPr="007B3036">
                      <w:rPr>
                        <w:rFonts w:ascii="Times" w:hAnsi="Times" w:cs="Times New Roman"/>
                        <w:color w:val="0000FF"/>
                        <w:sz w:val="20"/>
                        <w:szCs w:val="20"/>
                        <w:u w:val="single"/>
                        <w:lang w:val="en-AU"/>
                      </w:rPr>
                      <w:t xml:space="preserve">1.7 Report on banks' transparency </w:t>
                    </w:r>
                  </w:hyperlink>
                  <w:r w:rsidRPr="007B3036">
                    <w:rPr>
                      <w:rFonts w:ascii="Times" w:hAnsi="Times" w:cs="Times New Roman"/>
                      <w:sz w:val="20"/>
                      <w:szCs w:val="20"/>
                      <w:lang w:val="en-AU"/>
                    </w:rPr>
                    <w:br/>
                  </w:r>
                  <w:hyperlink r:id="rId40" w:anchor="018" w:history="1">
                    <w:r w:rsidRPr="007B3036">
                      <w:rPr>
                        <w:rFonts w:ascii="Times" w:hAnsi="Times" w:cs="Times New Roman"/>
                        <w:color w:val="0000FF"/>
                        <w:sz w:val="20"/>
                        <w:szCs w:val="20"/>
                        <w:u w:val="single"/>
                        <w:lang w:val="en-AU"/>
                      </w:rPr>
                      <w:t>1.8 Global competitiveness rankings</w:t>
                    </w:r>
                  </w:hyperlink>
                  <w:r w:rsidRPr="007B3036">
                    <w:rPr>
                      <w:rFonts w:ascii="Times" w:hAnsi="Times" w:cs="Times New Roman"/>
                      <w:sz w:val="20"/>
                      <w:szCs w:val="20"/>
                      <w:lang w:val="en-AU"/>
                    </w:rPr>
                    <w:br/>
                  </w:r>
                  <w:hyperlink r:id="rId41" w:anchor="019" w:history="1">
                    <w:r w:rsidRPr="007B3036">
                      <w:rPr>
                        <w:rFonts w:ascii="Times" w:hAnsi="Times" w:cs="Times New Roman"/>
                        <w:color w:val="0000FF"/>
                        <w:sz w:val="20"/>
                        <w:szCs w:val="20"/>
                        <w:u w:val="single"/>
                        <w:lang w:val="en-AU"/>
                      </w:rPr>
                      <w:t>1.9 IMF predicts major global slowdown amid financial crisis</w:t>
                    </w:r>
                  </w:hyperlink>
                  <w:r w:rsidRPr="007B3036">
                    <w:rPr>
                      <w:rFonts w:ascii="Times" w:hAnsi="Times" w:cs="Times New Roman"/>
                      <w:sz w:val="20"/>
                      <w:szCs w:val="20"/>
                      <w:lang w:val="en-AU"/>
                    </w:rPr>
                    <w:br/>
                  </w:r>
                  <w:hyperlink r:id="rId42" w:anchor="0110" w:history="1">
                    <w:r w:rsidRPr="007B3036">
                      <w:rPr>
                        <w:rFonts w:ascii="Times" w:hAnsi="Times" w:cs="Times New Roman"/>
                        <w:color w:val="0000FF"/>
                        <w:sz w:val="20"/>
                        <w:szCs w:val="20"/>
                        <w:u w:val="single"/>
                        <w:lang w:val="en-AU"/>
                      </w:rPr>
                      <w:t xml:space="preserve">1.10 Financial support to the banking industry </w:t>
                    </w:r>
                  </w:hyperlink>
                  <w:r w:rsidRPr="007B3036">
                    <w:rPr>
                      <w:rFonts w:ascii="Times" w:hAnsi="Times" w:cs="Times New Roman"/>
                      <w:sz w:val="20"/>
                      <w:szCs w:val="20"/>
                      <w:lang w:val="en-AU"/>
                    </w:rPr>
                    <w:br/>
                  </w:r>
                  <w:hyperlink r:id="rId43" w:anchor="0111" w:history="1">
                    <w:r w:rsidRPr="007B3036">
                      <w:rPr>
                        <w:rFonts w:ascii="Times" w:hAnsi="Times" w:cs="Times New Roman"/>
                        <w:color w:val="0000FF"/>
                        <w:sz w:val="20"/>
                        <w:szCs w:val="20"/>
                        <w:u w:val="single"/>
                        <w:lang w:val="en-AU"/>
                      </w:rPr>
                      <w:t>1.11 SEC commences work on congressionally mandated study on accounting standards</w:t>
                    </w:r>
                  </w:hyperlink>
                  <w:r w:rsidRPr="007B3036">
                    <w:rPr>
                      <w:rFonts w:ascii="Times" w:hAnsi="Times" w:cs="Times New Roman"/>
                      <w:sz w:val="20"/>
                      <w:szCs w:val="20"/>
                      <w:lang w:val="en-AU"/>
                    </w:rPr>
                    <w:br/>
                  </w:r>
                  <w:hyperlink r:id="rId44" w:anchor="0112" w:history="1">
                    <w:r w:rsidRPr="007B3036">
                      <w:rPr>
                        <w:rFonts w:ascii="Times" w:hAnsi="Times" w:cs="Times New Roman"/>
                        <w:color w:val="0000FF"/>
                        <w:sz w:val="20"/>
                        <w:szCs w:val="20"/>
                        <w:u w:val="single"/>
                        <w:lang w:val="en-AU"/>
                      </w:rPr>
                      <w:t xml:space="preserve">1.12 IOSCO consults on regulatory standards for funds of hedge funds </w:t>
                    </w:r>
                  </w:hyperlink>
                  <w:r w:rsidRPr="007B3036">
                    <w:rPr>
                      <w:rFonts w:ascii="Times" w:hAnsi="Times" w:cs="Times New Roman"/>
                      <w:sz w:val="20"/>
                      <w:szCs w:val="20"/>
                      <w:lang w:val="en-AU"/>
                    </w:rPr>
                    <w:br/>
                  </w:r>
                  <w:hyperlink r:id="rId45" w:anchor="0113" w:history="1">
                    <w:r w:rsidRPr="007B3036">
                      <w:rPr>
                        <w:rFonts w:ascii="Times" w:hAnsi="Times" w:cs="Times New Roman"/>
                        <w:color w:val="0000FF"/>
                        <w:sz w:val="20"/>
                        <w:szCs w:val="20"/>
                        <w:u w:val="single"/>
                        <w:lang w:val="en-AU"/>
                      </w:rPr>
                      <w:t>1.13 Report on causes of the financial crisis</w:t>
                    </w:r>
                  </w:hyperlink>
                  <w:r w:rsidRPr="007B3036">
                    <w:rPr>
                      <w:rFonts w:ascii="Times" w:hAnsi="Times" w:cs="Times New Roman"/>
                      <w:sz w:val="20"/>
                      <w:szCs w:val="20"/>
                      <w:lang w:val="en-AU"/>
                    </w:rPr>
                    <w:br/>
                  </w:r>
                  <w:hyperlink r:id="rId46" w:anchor="0114" w:history="1">
                    <w:r w:rsidRPr="007B3036">
                      <w:rPr>
                        <w:rFonts w:ascii="Times" w:hAnsi="Times" w:cs="Times New Roman"/>
                        <w:color w:val="0000FF"/>
                        <w:sz w:val="20"/>
                        <w:szCs w:val="20"/>
                        <w:u w:val="single"/>
                        <w:lang w:val="en-AU"/>
                      </w:rPr>
                      <w:t>1.14 New measures for Australian financial services</w:t>
                    </w:r>
                  </w:hyperlink>
                  <w:r w:rsidRPr="007B3036">
                    <w:rPr>
                      <w:rFonts w:ascii="Times" w:hAnsi="Times" w:cs="Times New Roman"/>
                      <w:sz w:val="20"/>
                      <w:szCs w:val="20"/>
                      <w:lang w:val="en-AU"/>
                    </w:rPr>
                    <w:br/>
                  </w:r>
                  <w:hyperlink r:id="rId47" w:anchor="0115" w:history="1">
                    <w:r w:rsidRPr="007B3036">
                      <w:rPr>
                        <w:rFonts w:ascii="Times" w:hAnsi="Times" w:cs="Times New Roman"/>
                        <w:color w:val="0000FF"/>
                        <w:sz w:val="20"/>
                        <w:szCs w:val="20"/>
                        <w:u w:val="single"/>
                        <w:lang w:val="en-AU"/>
                      </w:rPr>
                      <w:t>1.15 Two reports on Australian financial services</w:t>
                    </w:r>
                  </w:hyperlink>
                  <w:r w:rsidRPr="007B3036">
                    <w:rPr>
                      <w:rFonts w:ascii="Times" w:hAnsi="Times" w:cs="Times New Roman"/>
                      <w:sz w:val="20"/>
                      <w:szCs w:val="20"/>
                      <w:lang w:val="en-AU"/>
                    </w:rPr>
                    <w:br/>
                  </w:r>
                  <w:hyperlink r:id="rId48" w:anchor="0116" w:history="1">
                    <w:r w:rsidRPr="007B3036">
                      <w:rPr>
                        <w:rFonts w:ascii="Times" w:hAnsi="Times" w:cs="Times New Roman"/>
                        <w:color w:val="0000FF"/>
                        <w:sz w:val="20"/>
                        <w:szCs w:val="20"/>
                        <w:u w:val="single"/>
                        <w:lang w:val="en-AU"/>
                      </w:rPr>
                      <w:t>1.16 European Commission proposes improved depositor protection and revision of bank capital requirements rules to reinforce financial stability</w:t>
                    </w:r>
                  </w:hyperlink>
                  <w:r w:rsidRPr="007B3036">
                    <w:rPr>
                      <w:rFonts w:ascii="Times" w:hAnsi="Times" w:cs="Times New Roman"/>
                      <w:sz w:val="20"/>
                      <w:szCs w:val="20"/>
                      <w:lang w:val="en-AU"/>
                    </w:rPr>
                    <w:br/>
                  </w:r>
                  <w:hyperlink r:id="rId49" w:anchor="0117" w:history="1">
                    <w:r w:rsidRPr="007B3036">
                      <w:rPr>
                        <w:rFonts w:ascii="Times" w:hAnsi="Times" w:cs="Times New Roman"/>
                        <w:color w:val="0000FF"/>
                        <w:sz w:val="20"/>
                        <w:szCs w:val="20"/>
                        <w:u w:val="single"/>
                        <w:lang w:val="en-AU"/>
                      </w:rPr>
                      <w:t>1.17 Pensions: conflicts of interest guidance published for trustees and employers</w:t>
                    </w:r>
                  </w:hyperlink>
                  <w:r w:rsidRPr="007B3036">
                    <w:rPr>
                      <w:rFonts w:ascii="Times" w:hAnsi="Times" w:cs="Times New Roman"/>
                      <w:sz w:val="20"/>
                      <w:szCs w:val="20"/>
                      <w:lang w:val="en-AU"/>
                    </w:rPr>
                    <w:br/>
                  </w:r>
                  <w:hyperlink r:id="rId50" w:anchor="0118" w:history="1">
                    <w:r w:rsidRPr="007B3036">
                      <w:rPr>
                        <w:rFonts w:ascii="Times" w:hAnsi="Times" w:cs="Times New Roman"/>
                        <w:color w:val="0000FF"/>
                        <w:sz w:val="20"/>
                        <w:szCs w:val="20"/>
                        <w:u w:val="single"/>
                        <w:lang w:val="en-AU"/>
                      </w:rPr>
                      <w:t>1.18 Report on consumer outcomes in the retail investment products market</w:t>
                    </w:r>
                  </w:hyperlink>
                  <w:r w:rsidRPr="007B3036">
                    <w:rPr>
                      <w:rFonts w:ascii="Times" w:hAnsi="Times" w:cs="Times New Roman"/>
                      <w:sz w:val="20"/>
                      <w:szCs w:val="20"/>
                      <w:lang w:val="en-AU"/>
                    </w:rPr>
                    <w:br/>
                  </w:r>
                  <w:hyperlink r:id="rId51" w:anchor="0119" w:history="1">
                    <w:r w:rsidRPr="007B3036">
                      <w:rPr>
                        <w:rFonts w:ascii="Times" w:hAnsi="Times" w:cs="Times New Roman"/>
                        <w:color w:val="0000FF"/>
                        <w:sz w:val="20"/>
                        <w:szCs w:val="20"/>
                        <w:u w:val="single"/>
                        <w:lang w:val="en-AU"/>
                      </w:rPr>
                      <w:t>1.19 Report on the auditing profession</w:t>
                    </w:r>
                  </w:hyperlink>
                  <w:r w:rsidRPr="007B3036">
                    <w:rPr>
                      <w:rFonts w:ascii="Times" w:hAnsi="Times" w:cs="Times New Roman"/>
                      <w:sz w:val="20"/>
                      <w:szCs w:val="20"/>
                      <w:lang w:val="en-AU"/>
                    </w:rPr>
                    <w:br/>
                  </w:r>
                  <w:hyperlink r:id="rId52" w:anchor="0120" w:history="1">
                    <w:r w:rsidRPr="007B3036">
                      <w:rPr>
                        <w:rFonts w:ascii="Times" w:hAnsi="Times" w:cs="Times New Roman"/>
                        <w:color w:val="0000FF"/>
                        <w:sz w:val="20"/>
                        <w:szCs w:val="20"/>
                        <w:u w:val="single"/>
                        <w:lang w:val="en-AU"/>
                      </w:rPr>
                      <w:t>1.20 Global bank supervisors endorse strengthened sound practice standards for liquidity risk management and supervision</w:t>
                    </w:r>
                  </w:hyperlink>
                  <w:r w:rsidRPr="007B3036">
                    <w:rPr>
                      <w:rFonts w:ascii="Times" w:hAnsi="Times" w:cs="Times New Roman"/>
                      <w:sz w:val="20"/>
                      <w:szCs w:val="20"/>
                      <w:lang w:val="en-AU"/>
                    </w:rPr>
                    <w:br/>
                  </w:r>
                  <w:hyperlink r:id="rId53" w:anchor="0121" w:history="1">
                    <w:r w:rsidRPr="007B3036">
                      <w:rPr>
                        <w:rFonts w:ascii="Times" w:hAnsi="Times" w:cs="Times New Roman"/>
                        <w:color w:val="0000FF"/>
                        <w:sz w:val="20"/>
                        <w:szCs w:val="20"/>
                        <w:u w:val="single"/>
                        <w:lang w:val="en-AU"/>
                      </w:rPr>
                      <w:t>1.21 Proposed further simplification of EU rules on mergers and divisions</w:t>
                    </w:r>
                  </w:hyperlink>
                  <w:r w:rsidRPr="007B3036">
                    <w:rPr>
                      <w:rFonts w:ascii="Times" w:hAnsi="Times" w:cs="Times New Roman"/>
                      <w:sz w:val="20"/>
                      <w:szCs w:val="20"/>
                      <w:lang w:val="en-AU"/>
                    </w:rPr>
                    <w:br/>
                  </w:r>
                  <w:hyperlink r:id="rId54" w:anchor="0122" w:history="1">
                    <w:r w:rsidRPr="007B3036">
                      <w:rPr>
                        <w:rFonts w:ascii="Times" w:hAnsi="Times" w:cs="Times New Roman"/>
                        <w:color w:val="0000FF"/>
                        <w:sz w:val="20"/>
                        <w:szCs w:val="20"/>
                        <w:u w:val="single"/>
                        <w:lang w:val="en-AU"/>
                      </w:rPr>
                      <w:t xml:space="preserve">1.22 Superannuation assets grow in June 2008 quarter </w:t>
                    </w:r>
                  </w:hyperlink>
                  <w:r w:rsidRPr="007B3036">
                    <w:rPr>
                      <w:rFonts w:ascii="Times" w:hAnsi="Times" w:cs="Times New Roman"/>
                      <w:sz w:val="20"/>
                      <w:szCs w:val="20"/>
                      <w:lang w:val="en-AU"/>
                    </w:rPr>
                    <w:br/>
                  </w:r>
                  <w:hyperlink r:id="rId55" w:anchor="0123" w:history="1">
                    <w:r w:rsidRPr="007B3036">
                      <w:rPr>
                        <w:rFonts w:ascii="Times" w:hAnsi="Times" w:cs="Times New Roman"/>
                        <w:color w:val="0000FF"/>
                        <w:sz w:val="20"/>
                        <w:szCs w:val="20"/>
                        <w:u w:val="single"/>
                        <w:lang w:val="en-AU"/>
                      </w:rPr>
                      <w:t xml:space="preserve">1.23 European Parliament adopts resolutions on hedge funds and related transparency issues </w:t>
                    </w:r>
                  </w:hyperlink>
                  <w:r w:rsidRPr="007B3036">
                    <w:rPr>
                      <w:rFonts w:ascii="Times" w:hAnsi="Times" w:cs="Times New Roman"/>
                      <w:sz w:val="20"/>
                      <w:szCs w:val="20"/>
                      <w:lang w:val="en-AU"/>
                    </w:rPr>
                    <w:br/>
                  </w:r>
                  <w:hyperlink r:id="rId56" w:anchor="0124" w:history="1">
                    <w:r w:rsidRPr="007B3036">
                      <w:rPr>
                        <w:rFonts w:ascii="Times" w:hAnsi="Times" w:cs="Times New Roman"/>
                        <w:color w:val="0000FF"/>
                        <w:sz w:val="20"/>
                        <w:szCs w:val="20"/>
                        <w:u w:val="single"/>
                        <w:lang w:val="en-AU"/>
                      </w:rPr>
                      <w:t xml:space="preserve">1.24 Report on private equity and leveraged buyouts </w:t>
                    </w:r>
                  </w:hyperlink>
                  <w:r w:rsidRPr="007B3036">
                    <w:rPr>
                      <w:rFonts w:ascii="Times" w:hAnsi="Times" w:cs="Times New Roman"/>
                      <w:sz w:val="20"/>
                      <w:szCs w:val="20"/>
                      <w:lang w:val="en-AU"/>
                    </w:rPr>
                    <w:br/>
                  </w:r>
                  <w:hyperlink r:id="rId57" w:anchor="0125" w:history="1">
                    <w:r w:rsidRPr="007B3036">
                      <w:rPr>
                        <w:rFonts w:ascii="Times" w:hAnsi="Times" w:cs="Times New Roman"/>
                        <w:color w:val="0000FF"/>
                        <w:sz w:val="20"/>
                        <w:szCs w:val="20"/>
                        <w:u w:val="single"/>
                        <w:lang w:val="en-AU"/>
                      </w:rPr>
                      <w:t>1.25 Report on sovereign wealth funds</w:t>
                    </w:r>
                  </w:hyperlink>
                  <w:r w:rsidRPr="007B3036">
                    <w:rPr>
                      <w:rFonts w:ascii="Times" w:hAnsi="Times" w:cs="Times New Roman"/>
                      <w:sz w:val="20"/>
                      <w:szCs w:val="20"/>
                      <w:lang w:val="en-AU"/>
                    </w:rPr>
                    <w:br/>
                  </w:r>
                  <w:hyperlink r:id="rId58" w:anchor="0126" w:history="1">
                    <w:r w:rsidRPr="007B3036">
                      <w:rPr>
                        <w:rFonts w:ascii="Times" w:hAnsi="Times" w:cs="Times New Roman"/>
                        <w:color w:val="0000FF"/>
                        <w:sz w:val="20"/>
                        <w:szCs w:val="20"/>
                        <w:u w:val="single"/>
                        <w:lang w:val="en-AU"/>
                      </w:rPr>
                      <w:t>1.26 Report on the regulation of Islamic securities products</w:t>
                    </w:r>
                  </w:hyperlink>
                  <w:r w:rsidRPr="007B3036">
                    <w:rPr>
                      <w:rFonts w:ascii="Times" w:hAnsi="Times" w:cs="Times New Roman"/>
                      <w:sz w:val="20"/>
                      <w:szCs w:val="20"/>
                      <w:lang w:val="en-AU"/>
                    </w:rPr>
                    <w:br/>
                  </w:r>
                  <w:hyperlink r:id="rId59" w:anchor="0127" w:history="1">
                    <w:r w:rsidRPr="007B3036">
                      <w:rPr>
                        <w:rFonts w:ascii="Times" w:hAnsi="Times" w:cs="Times New Roman"/>
                        <w:color w:val="0000FF"/>
                        <w:sz w:val="20"/>
                        <w:szCs w:val="20"/>
                        <w:u w:val="single"/>
                        <w:lang w:val="en-AU"/>
                      </w:rPr>
                      <w:t>1.27 IMF study of banking crises</w:t>
                    </w:r>
                  </w:hyperlink>
                  <w:r w:rsidRPr="007B3036">
                    <w:rPr>
                      <w:rFonts w:ascii="Times" w:hAnsi="Times" w:cs="Times New Roman"/>
                      <w:sz w:val="20"/>
                      <w:szCs w:val="20"/>
                      <w:lang w:val="en-AU"/>
                    </w:rPr>
                    <w:br/>
                  </w:r>
                  <w:hyperlink r:id="rId60" w:anchor="0128" w:history="1">
                    <w:r w:rsidRPr="007B3036">
                      <w:rPr>
                        <w:rFonts w:ascii="Times" w:hAnsi="Times" w:cs="Times New Roman"/>
                        <w:color w:val="0000FF"/>
                        <w:sz w:val="20"/>
                        <w:szCs w:val="20"/>
                        <w:u w:val="single"/>
                        <w:lang w:val="en-AU"/>
                      </w:rPr>
                      <w:t>1.28 Cross-border corporate insolvency: Update</w:t>
                    </w:r>
                  </w:hyperlink>
                </w:p>
                <w:p w:rsidR="007B3036" w:rsidRPr="007B3036" w:rsidRDefault="007B3036" w:rsidP="007B3036">
                  <w:pPr>
                    <w:spacing w:before="100" w:beforeAutospacing="1" w:after="100" w:afterAutospacing="1"/>
                    <w:rPr>
                      <w:rFonts w:ascii="Times" w:hAnsi="Times" w:cs="Times New Roman"/>
                      <w:sz w:val="20"/>
                      <w:szCs w:val="20"/>
                      <w:lang w:val="en-AU"/>
                    </w:rPr>
                  </w:pPr>
                  <w:hyperlink r:id="rId61" w:anchor="2" w:history="1">
                    <w:r w:rsidRPr="007B3036">
                      <w:rPr>
                        <w:rFonts w:ascii="Times" w:hAnsi="Times" w:cs="Times New Roman"/>
                        <w:color w:val="0000FF"/>
                        <w:sz w:val="20"/>
                        <w:szCs w:val="20"/>
                        <w:u w:val="single"/>
                        <w:lang w:val="en-AU"/>
                      </w:rPr>
                      <w:t>2. Recent ASIC Developments</w:t>
                    </w:r>
                  </w:hyperlink>
                  <w:bookmarkStart w:id="2" w:name="h2"/>
                  <w:bookmarkEnd w:id="2"/>
                </w:p>
                <w:p w:rsidR="007B3036" w:rsidRPr="007B3036" w:rsidRDefault="007B3036" w:rsidP="007B3036">
                  <w:pPr>
                    <w:spacing w:beforeAutospacing="1" w:afterAutospacing="1"/>
                    <w:rPr>
                      <w:rFonts w:ascii="Times" w:hAnsi="Times" w:cs="Times New Roman"/>
                      <w:sz w:val="20"/>
                      <w:szCs w:val="20"/>
                      <w:lang w:val="en-AU"/>
                    </w:rPr>
                  </w:pPr>
                  <w:hyperlink r:id="rId62" w:anchor="021" w:history="1">
                    <w:r w:rsidRPr="007B3036">
                      <w:rPr>
                        <w:rFonts w:ascii="Times" w:hAnsi="Times" w:cs="Times New Roman"/>
                        <w:color w:val="0000FF"/>
                        <w:sz w:val="20"/>
                        <w:szCs w:val="20"/>
                        <w:u w:val="single"/>
                        <w:lang w:val="en-AU"/>
                      </w:rPr>
                      <w:t>2.1 ASIC extends ban on covered short selling</w:t>
                    </w:r>
                  </w:hyperlink>
                  <w:r w:rsidRPr="007B3036">
                    <w:rPr>
                      <w:rFonts w:ascii="Times" w:hAnsi="Times" w:cs="Times New Roman"/>
                      <w:sz w:val="20"/>
                      <w:szCs w:val="20"/>
                      <w:lang w:val="en-AU"/>
                    </w:rPr>
                    <w:br/>
                  </w:r>
                  <w:hyperlink r:id="rId63" w:anchor="022" w:history="1">
                    <w:r w:rsidRPr="007B3036">
                      <w:rPr>
                        <w:rFonts w:ascii="Times" w:hAnsi="Times" w:cs="Times New Roman"/>
                        <w:color w:val="0000FF"/>
                        <w:sz w:val="20"/>
                        <w:szCs w:val="20"/>
                        <w:u w:val="single"/>
                        <w:lang w:val="en-AU"/>
                      </w:rPr>
                      <w:t>2.2 Updated guidance on financial reports and audit relief</w:t>
                    </w:r>
                  </w:hyperlink>
                  <w:r w:rsidRPr="007B3036">
                    <w:rPr>
                      <w:rFonts w:ascii="Times" w:hAnsi="Times" w:cs="Times New Roman"/>
                      <w:sz w:val="20"/>
                      <w:szCs w:val="20"/>
                      <w:lang w:val="en-AU"/>
                    </w:rPr>
                    <w:br/>
                  </w:r>
                  <w:hyperlink r:id="rId64" w:anchor="023" w:history="1">
                    <w:r w:rsidRPr="007B3036">
                      <w:rPr>
                        <w:rFonts w:ascii="Times" w:hAnsi="Times" w:cs="Times New Roman"/>
                        <w:color w:val="0000FF"/>
                        <w:sz w:val="20"/>
                        <w:szCs w:val="20"/>
                        <w:u w:val="single"/>
                        <w:lang w:val="en-AU"/>
                      </w:rPr>
                      <w:t>2.3 Proposed changes to EFT Code of Conduct</w:t>
                    </w:r>
                  </w:hyperlink>
                  <w:r w:rsidRPr="007B3036">
                    <w:rPr>
                      <w:rFonts w:ascii="Times" w:hAnsi="Times" w:cs="Times New Roman"/>
                      <w:sz w:val="20"/>
                      <w:szCs w:val="20"/>
                      <w:lang w:val="en-AU"/>
                    </w:rPr>
                    <w:br/>
                  </w:r>
                  <w:hyperlink r:id="rId65" w:anchor="024" w:history="1">
                    <w:r w:rsidRPr="007B3036">
                      <w:rPr>
                        <w:rFonts w:ascii="Times" w:hAnsi="Times" w:cs="Times New Roman"/>
                        <w:color w:val="0000FF"/>
                        <w:sz w:val="20"/>
                        <w:szCs w:val="20"/>
                        <w:u w:val="single"/>
                        <w:lang w:val="en-AU"/>
                      </w:rPr>
                      <w:t>2.4 Relief for group insurance</w:t>
                    </w:r>
                  </w:hyperlink>
                </w:p>
                <w:p w:rsidR="007B3036" w:rsidRPr="007B3036" w:rsidRDefault="007B3036" w:rsidP="007B3036">
                  <w:pPr>
                    <w:spacing w:before="100" w:beforeAutospacing="1" w:after="100" w:afterAutospacing="1"/>
                    <w:rPr>
                      <w:rFonts w:ascii="Times" w:hAnsi="Times" w:cs="Times New Roman"/>
                      <w:sz w:val="20"/>
                      <w:szCs w:val="20"/>
                      <w:lang w:val="en-AU"/>
                    </w:rPr>
                  </w:pPr>
                  <w:hyperlink r:id="rId66" w:anchor="3" w:history="1">
                    <w:r w:rsidRPr="007B3036">
                      <w:rPr>
                        <w:rFonts w:ascii="Times" w:hAnsi="Times" w:cs="Times New Roman"/>
                        <w:color w:val="0000FF"/>
                        <w:sz w:val="20"/>
                        <w:szCs w:val="20"/>
                        <w:u w:val="single"/>
                        <w:lang w:val="en-AU"/>
                      </w:rPr>
                      <w:t>3. Recent ASX Developments</w:t>
                    </w:r>
                  </w:hyperlink>
                  <w:bookmarkStart w:id="3" w:name="h3"/>
                  <w:bookmarkEnd w:id="3"/>
                </w:p>
                <w:p w:rsidR="007B3036" w:rsidRPr="007B3036" w:rsidRDefault="007B3036" w:rsidP="007B3036">
                  <w:pPr>
                    <w:spacing w:beforeAutospacing="1" w:afterAutospacing="1"/>
                    <w:rPr>
                      <w:rFonts w:ascii="Times" w:hAnsi="Times" w:cs="Times New Roman"/>
                      <w:sz w:val="20"/>
                      <w:szCs w:val="20"/>
                      <w:lang w:val="en-AU"/>
                    </w:rPr>
                  </w:pPr>
                  <w:hyperlink r:id="rId67" w:anchor="031" w:history="1">
                    <w:r w:rsidRPr="007B3036">
                      <w:rPr>
                        <w:rFonts w:ascii="Times" w:hAnsi="Times" w:cs="Times New Roman"/>
                        <w:color w:val="0000FF"/>
                        <w:sz w:val="20"/>
                        <w:szCs w:val="20"/>
                        <w:u w:val="single"/>
                        <w:lang w:val="en-AU"/>
                      </w:rPr>
                      <w:t>3.1 New ASX market service for exchange traded funds, managed funds and structured products</w:t>
                    </w:r>
                  </w:hyperlink>
                </w:p>
                <w:p w:rsidR="007B3036" w:rsidRPr="007B3036" w:rsidRDefault="007B3036" w:rsidP="007B3036">
                  <w:pPr>
                    <w:spacing w:before="100" w:beforeAutospacing="1" w:after="100" w:afterAutospacing="1"/>
                    <w:rPr>
                      <w:rFonts w:ascii="Times" w:hAnsi="Times" w:cs="Times New Roman"/>
                      <w:sz w:val="20"/>
                      <w:szCs w:val="20"/>
                      <w:lang w:val="en-AU"/>
                    </w:rPr>
                  </w:pPr>
                  <w:hyperlink r:id="rId68" w:anchor="4" w:history="1">
                    <w:r w:rsidRPr="007B3036">
                      <w:rPr>
                        <w:rFonts w:ascii="Times" w:hAnsi="Times" w:cs="Times New Roman"/>
                        <w:color w:val="0000FF"/>
                        <w:sz w:val="20"/>
                        <w:szCs w:val="20"/>
                        <w:u w:val="single"/>
                        <w:lang w:val="en-AU"/>
                      </w:rPr>
                      <w:t>4. Recent Takeovers Panel Developments</w:t>
                    </w:r>
                  </w:hyperlink>
                  <w:bookmarkStart w:id="4" w:name="h4"/>
                  <w:bookmarkEnd w:id="4"/>
                </w:p>
                <w:p w:rsidR="007B3036" w:rsidRPr="007B3036" w:rsidRDefault="007B3036" w:rsidP="007B3036">
                  <w:pPr>
                    <w:spacing w:beforeAutospacing="1" w:afterAutospacing="1"/>
                    <w:rPr>
                      <w:rFonts w:ascii="Times" w:hAnsi="Times" w:cs="Times New Roman"/>
                      <w:sz w:val="20"/>
                      <w:szCs w:val="20"/>
                      <w:lang w:val="en-AU"/>
                    </w:rPr>
                  </w:pPr>
                  <w:hyperlink r:id="rId69" w:anchor="041" w:history="1">
                    <w:r w:rsidRPr="007B3036">
                      <w:rPr>
                        <w:rFonts w:ascii="Times" w:hAnsi="Times" w:cs="Times New Roman"/>
                        <w:color w:val="0000FF"/>
                        <w:sz w:val="20"/>
                        <w:szCs w:val="20"/>
                        <w:u w:val="single"/>
                        <w:lang w:val="en-AU"/>
                      </w:rPr>
                      <w:t>4.1 Takeovers Panel publishes revised Guidance Notes 2, 4 and 5</w:t>
                    </w:r>
                  </w:hyperlink>
                </w:p>
                <w:p w:rsidR="007B3036" w:rsidRPr="007B3036" w:rsidRDefault="007B3036" w:rsidP="007B3036">
                  <w:pPr>
                    <w:spacing w:before="100" w:beforeAutospacing="1" w:after="100" w:afterAutospacing="1"/>
                    <w:rPr>
                      <w:rFonts w:ascii="Times" w:hAnsi="Times" w:cs="Times New Roman"/>
                      <w:sz w:val="20"/>
                      <w:szCs w:val="20"/>
                      <w:lang w:val="en-AU"/>
                    </w:rPr>
                  </w:pPr>
                  <w:hyperlink r:id="rId70" w:anchor="5" w:history="1">
                    <w:r w:rsidRPr="007B3036">
                      <w:rPr>
                        <w:rFonts w:ascii="Times" w:hAnsi="Times" w:cs="Times New Roman"/>
                        <w:color w:val="0000FF"/>
                        <w:sz w:val="20"/>
                        <w:szCs w:val="20"/>
                        <w:u w:val="single"/>
                        <w:lang w:val="en-AU"/>
                      </w:rPr>
                      <w:t>5. Recent Corporate Law Decisions</w:t>
                    </w:r>
                  </w:hyperlink>
                  <w:r w:rsidRPr="007B3036">
                    <w:rPr>
                      <w:rFonts w:ascii="Times" w:hAnsi="Times" w:cs="Times New Roman"/>
                      <w:sz w:val="20"/>
                      <w:szCs w:val="20"/>
                      <w:lang w:val="en-AU"/>
                    </w:rPr>
                    <w:t xml:space="preserve"> </w:t>
                  </w:r>
                  <w:bookmarkStart w:id="5" w:name="h5"/>
                  <w:bookmarkEnd w:id="5"/>
                </w:p>
                <w:p w:rsidR="007B3036" w:rsidRPr="007B3036" w:rsidRDefault="007B3036" w:rsidP="007B3036">
                  <w:pPr>
                    <w:spacing w:beforeAutospacing="1" w:afterAutospacing="1"/>
                    <w:rPr>
                      <w:rFonts w:ascii="Times" w:hAnsi="Times" w:cs="Times New Roman"/>
                      <w:sz w:val="20"/>
                      <w:szCs w:val="20"/>
                      <w:lang w:val="en-AU"/>
                    </w:rPr>
                  </w:pPr>
                  <w:hyperlink r:id="rId71" w:anchor="051" w:history="1">
                    <w:r w:rsidRPr="007B3036">
                      <w:rPr>
                        <w:rFonts w:ascii="Times" w:hAnsi="Times" w:cs="Times New Roman"/>
                        <w:color w:val="0000FF"/>
                        <w:sz w:val="20"/>
                        <w:szCs w:val="20"/>
                        <w:u w:val="single"/>
                        <w:lang w:val="en-AU"/>
                      </w:rPr>
                      <w:t xml:space="preserve">5.1 Administrators 'just' estimate and terminating deeds of company arrangement </w:t>
                    </w:r>
                  </w:hyperlink>
                  <w:r w:rsidRPr="007B3036">
                    <w:rPr>
                      <w:rFonts w:ascii="Times" w:hAnsi="Times" w:cs="Times New Roman"/>
                      <w:sz w:val="20"/>
                      <w:szCs w:val="20"/>
                      <w:lang w:val="en-AU"/>
                    </w:rPr>
                    <w:br/>
                  </w:r>
                  <w:hyperlink r:id="rId72" w:anchor="052" w:history="1">
                    <w:r w:rsidRPr="007B3036">
                      <w:rPr>
                        <w:rFonts w:ascii="Times" w:hAnsi="Times" w:cs="Times New Roman"/>
                        <w:color w:val="0000FF"/>
                        <w:sz w:val="20"/>
                        <w:szCs w:val="20"/>
                        <w:u w:val="single"/>
                        <w:lang w:val="en-AU"/>
                      </w:rPr>
                      <w:t xml:space="preserve">5.2 A reinsurer's liability under a contract of reinsurance: debt or </w:t>
                    </w:r>
                    <w:proofErr w:type="spellStart"/>
                    <w:r w:rsidRPr="007B3036">
                      <w:rPr>
                        <w:rFonts w:ascii="Times" w:hAnsi="Times" w:cs="Times New Roman"/>
                        <w:color w:val="0000FF"/>
                        <w:sz w:val="20"/>
                        <w:szCs w:val="20"/>
                        <w:u w:val="single"/>
                        <w:lang w:val="en-AU"/>
                      </w:rPr>
                      <w:t>unliquidated</w:t>
                    </w:r>
                    <w:proofErr w:type="spellEnd"/>
                    <w:r w:rsidRPr="007B3036">
                      <w:rPr>
                        <w:rFonts w:ascii="Times" w:hAnsi="Times" w:cs="Times New Roman"/>
                        <w:color w:val="0000FF"/>
                        <w:sz w:val="20"/>
                        <w:szCs w:val="20"/>
                        <w:u w:val="single"/>
                        <w:lang w:val="en-AU"/>
                      </w:rPr>
                      <w:t xml:space="preserve"> damages?</w:t>
                    </w:r>
                  </w:hyperlink>
                  <w:r w:rsidRPr="007B3036">
                    <w:rPr>
                      <w:rFonts w:ascii="Times" w:hAnsi="Times" w:cs="Times New Roman"/>
                      <w:sz w:val="20"/>
                      <w:szCs w:val="20"/>
                      <w:lang w:val="en-AU"/>
                    </w:rPr>
                    <w:br/>
                  </w:r>
                  <w:hyperlink r:id="rId73" w:anchor="053" w:history="1">
                    <w:r w:rsidRPr="007B3036">
                      <w:rPr>
                        <w:rFonts w:ascii="Times" w:hAnsi="Times" w:cs="Times New Roman"/>
                        <w:color w:val="0000FF"/>
                        <w:sz w:val="20"/>
                        <w:szCs w:val="20"/>
                        <w:u w:val="single"/>
                        <w:lang w:val="en-AU"/>
                      </w:rPr>
                      <w:t xml:space="preserve">5.3 Share placement not for the illegitimate purpose of keeping directors in office </w:t>
                    </w:r>
                  </w:hyperlink>
                  <w:r w:rsidRPr="007B3036">
                    <w:rPr>
                      <w:rFonts w:ascii="Times" w:hAnsi="Times" w:cs="Times New Roman"/>
                      <w:sz w:val="20"/>
                      <w:szCs w:val="20"/>
                      <w:lang w:val="en-AU"/>
                    </w:rPr>
                    <w:br/>
                  </w:r>
                  <w:hyperlink r:id="rId74" w:anchor="054" w:history="1">
                    <w:r w:rsidRPr="007B3036">
                      <w:rPr>
                        <w:rFonts w:ascii="Times" w:hAnsi="Times" w:cs="Times New Roman"/>
                        <w:color w:val="0000FF"/>
                        <w:sz w:val="20"/>
                        <w:szCs w:val="20"/>
                        <w:u w:val="single"/>
                        <w:lang w:val="en-AU"/>
                      </w:rPr>
                      <w:t xml:space="preserve">5.4 Statutory demand signed by only one joint creditor </w:t>
                    </w:r>
                  </w:hyperlink>
                  <w:r w:rsidRPr="007B3036">
                    <w:rPr>
                      <w:rFonts w:ascii="Times" w:hAnsi="Times" w:cs="Times New Roman"/>
                      <w:sz w:val="20"/>
                      <w:szCs w:val="20"/>
                      <w:lang w:val="en-AU"/>
                    </w:rPr>
                    <w:br/>
                  </w:r>
                  <w:hyperlink r:id="rId75" w:anchor="055" w:history="1">
                    <w:r w:rsidRPr="007B3036">
                      <w:rPr>
                        <w:rFonts w:ascii="Times" w:hAnsi="Times" w:cs="Times New Roman"/>
                        <w:color w:val="0000FF"/>
                        <w:sz w:val="20"/>
                        <w:szCs w:val="20"/>
                        <w:u w:val="single"/>
                        <w:lang w:val="en-AU"/>
                      </w:rPr>
                      <w:t>5.5 Successful application by a shareholder for leave under section 236 of the Corporations Act to bring derivative proceedings against a director of the company</w:t>
                    </w:r>
                  </w:hyperlink>
                  <w:r w:rsidRPr="007B3036">
                    <w:rPr>
                      <w:rFonts w:ascii="Times" w:hAnsi="Times" w:cs="Times New Roman"/>
                      <w:sz w:val="20"/>
                      <w:szCs w:val="20"/>
                      <w:lang w:val="en-AU"/>
                    </w:rPr>
                    <w:br/>
                  </w:r>
                  <w:hyperlink r:id="rId76" w:anchor="056" w:history="1">
                    <w:r w:rsidRPr="007B3036">
                      <w:rPr>
                        <w:rFonts w:ascii="Times" w:hAnsi="Times" w:cs="Times New Roman"/>
                        <w:color w:val="0000FF"/>
                        <w:sz w:val="20"/>
                        <w:szCs w:val="20"/>
                        <w:u w:val="single"/>
                        <w:lang w:val="en-AU"/>
                      </w:rPr>
                      <w:t>5.6 Determination of "fair value" of shares</w:t>
                    </w:r>
                  </w:hyperlink>
                  <w:r w:rsidRPr="007B3036">
                    <w:rPr>
                      <w:rFonts w:ascii="Times" w:hAnsi="Times" w:cs="Times New Roman"/>
                      <w:sz w:val="20"/>
                      <w:szCs w:val="20"/>
                      <w:lang w:val="en-AU"/>
                    </w:rPr>
                    <w:br/>
                  </w:r>
                  <w:hyperlink r:id="rId77" w:anchor="057" w:history="1">
                    <w:r w:rsidRPr="007B3036">
                      <w:rPr>
                        <w:rFonts w:ascii="Times" w:hAnsi="Times" w:cs="Times New Roman"/>
                        <w:color w:val="0000FF"/>
                        <w:sz w:val="20"/>
                        <w:szCs w:val="20"/>
                        <w:u w:val="single"/>
                        <w:lang w:val="en-AU"/>
                      </w:rPr>
                      <w:t>5.7 Stock lending agreements not closed out by voluntary administration or receivership</w:t>
                    </w:r>
                  </w:hyperlink>
                  <w:r w:rsidRPr="007B3036">
                    <w:rPr>
                      <w:rFonts w:ascii="Times" w:hAnsi="Times" w:cs="Times New Roman"/>
                      <w:sz w:val="20"/>
                      <w:szCs w:val="20"/>
                      <w:lang w:val="en-AU"/>
                    </w:rPr>
                    <w:br/>
                  </w:r>
                  <w:hyperlink r:id="rId78" w:anchor="058" w:history="1">
                    <w:r w:rsidRPr="007B3036">
                      <w:rPr>
                        <w:rFonts w:ascii="Times" w:hAnsi="Times" w:cs="Times New Roman"/>
                        <w:color w:val="0000FF"/>
                        <w:sz w:val="20"/>
                        <w:szCs w:val="20"/>
                        <w:u w:val="single"/>
                        <w:lang w:val="en-AU"/>
                      </w:rPr>
                      <w:t>5.8 Effect of errors in material relied upon to found ASIC's jurisdiction under section 206F(1)</w:t>
                    </w:r>
                  </w:hyperlink>
                  <w:r w:rsidRPr="007B3036">
                    <w:rPr>
                      <w:rFonts w:ascii="Times" w:hAnsi="Times" w:cs="Times New Roman"/>
                      <w:sz w:val="20"/>
                      <w:szCs w:val="20"/>
                      <w:lang w:val="en-AU"/>
                    </w:rPr>
                    <w:br/>
                  </w:r>
                  <w:hyperlink r:id="rId79" w:anchor="059" w:history="1">
                    <w:r w:rsidRPr="007B3036">
                      <w:rPr>
                        <w:rFonts w:ascii="Times" w:hAnsi="Times" w:cs="Times New Roman"/>
                        <w:color w:val="0000FF"/>
                        <w:sz w:val="20"/>
                        <w:szCs w:val="20"/>
                        <w:u w:val="single"/>
                        <w:lang w:val="en-AU"/>
                      </w:rPr>
                      <w:t>5.9 Breach and repudiation of a partly written and partly oral contract</w:t>
                    </w:r>
                  </w:hyperlink>
                  <w:r w:rsidRPr="007B3036">
                    <w:rPr>
                      <w:rFonts w:ascii="Times" w:hAnsi="Times" w:cs="Times New Roman"/>
                      <w:sz w:val="20"/>
                      <w:szCs w:val="20"/>
                      <w:lang w:val="en-AU"/>
                    </w:rPr>
                    <w:br/>
                  </w:r>
                  <w:hyperlink r:id="rId80" w:anchor="0510" w:history="1">
                    <w:r w:rsidRPr="007B3036">
                      <w:rPr>
                        <w:rFonts w:ascii="Times" w:hAnsi="Times" w:cs="Times New Roman"/>
                        <w:color w:val="0000FF"/>
                        <w:sz w:val="20"/>
                        <w:szCs w:val="20"/>
                        <w:u w:val="single"/>
                        <w:lang w:val="en-AU"/>
                      </w:rPr>
                      <w:t>5.10 Adjournment of winding-up application</w:t>
                    </w:r>
                  </w:hyperlink>
                  <w:r w:rsidRPr="007B3036">
                    <w:rPr>
                      <w:rFonts w:ascii="Times" w:hAnsi="Times" w:cs="Times New Roman"/>
                      <w:sz w:val="20"/>
                      <w:szCs w:val="20"/>
                      <w:lang w:val="en-AU"/>
                    </w:rPr>
                    <w:br/>
                  </w:r>
                  <w:hyperlink r:id="rId81" w:anchor="0511" w:history="1">
                    <w:r w:rsidRPr="007B3036">
                      <w:rPr>
                        <w:rFonts w:ascii="Times" w:hAnsi="Times" w:cs="Times New Roman"/>
                        <w:color w:val="0000FF"/>
                        <w:sz w:val="20"/>
                        <w:szCs w:val="20"/>
                        <w:u w:val="single"/>
                        <w:lang w:val="en-AU"/>
                      </w:rPr>
                      <w:t>5.11 Corporate criminal liability</w:t>
                    </w:r>
                  </w:hyperlink>
                  <w:r w:rsidRPr="007B3036">
                    <w:rPr>
                      <w:rFonts w:ascii="Times" w:hAnsi="Times" w:cs="Times New Roman"/>
                      <w:sz w:val="20"/>
                      <w:szCs w:val="20"/>
                      <w:lang w:val="en-AU"/>
                    </w:rPr>
                    <w:br/>
                  </w:r>
                  <w:hyperlink r:id="rId82" w:anchor="0512" w:history="1">
                    <w:r w:rsidRPr="007B3036">
                      <w:rPr>
                        <w:rFonts w:ascii="Times" w:hAnsi="Times" w:cs="Times New Roman"/>
                        <w:color w:val="0000FF"/>
                        <w:sz w:val="20"/>
                        <w:szCs w:val="20"/>
                        <w:u w:val="single"/>
                        <w:lang w:val="en-AU"/>
                      </w:rPr>
                      <w:t>5.12 Return of proxies: a conservative and practical approach sprinkled with a good deal of common sense</w:t>
                    </w:r>
                  </w:hyperlink>
                </w:p>
              </w:tc>
            </w:tr>
          </w:tbl>
          <w:p w:rsidR="007B3036" w:rsidRPr="007B3036" w:rsidRDefault="007B3036" w:rsidP="007B30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928"/>
            </w:tblGrid>
            <w:tr w:rsidR="007B3036" w:rsidRPr="007B303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93"/>
                    <w:gridCol w:w="600"/>
                    <w:gridCol w:w="535"/>
                  </w:tblGrid>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bookmarkStart w:id="6" w:name="1"/>
                        <w:bookmarkEnd w:id="6"/>
                        <w:r w:rsidRPr="007B303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7B3036" w:rsidRPr="007B3036" w:rsidRDefault="007B3036" w:rsidP="007B3036">
                        <w:pPr>
                          <w:rPr>
                            <w:rFonts w:ascii="Times" w:eastAsia="Times New Roman" w:hAnsi="Times" w:cs="Times New Roman"/>
                            <w:sz w:val="20"/>
                            <w:szCs w:val="20"/>
                            <w:lang w:val="en-AU"/>
                          </w:rPr>
                        </w:pPr>
                      </w:p>
                    </w:tc>
                    <w:tc>
                      <w:tcPr>
                        <w:tcW w:w="240" w:type="dxa"/>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440" name="Picture 9440"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0" descr="ext Section">
                                        <a:hlinkClick r:id="rId8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B3036" w:rsidRPr="007B3036" w:rsidRDefault="007B3036" w:rsidP="007B3036">
                  <w:pPr>
                    <w:rPr>
                      <w:rFonts w:ascii="Times" w:eastAsia="Times New Roman" w:hAnsi="Times" w:cs="Times New Roman"/>
                      <w:sz w:val="20"/>
                      <w:szCs w:val="20"/>
                      <w:lang w:val="en-AU"/>
                    </w:rPr>
                  </w:pPr>
                </w:p>
              </w:tc>
            </w:tr>
            <w:tr w:rsidR="007B3036" w:rsidRPr="007B3036">
              <w:trPr>
                <w:tblCellSpacing w:w="0" w:type="dxa"/>
              </w:trPr>
              <w:tc>
                <w:tcPr>
                  <w:tcW w:w="0" w:type="auto"/>
                  <w:vAlign w:val="center"/>
                  <w:hideMark/>
                </w:tcPr>
                <w:p w:rsidR="007B3036" w:rsidRPr="007B3036" w:rsidRDefault="007B3036" w:rsidP="007B30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441" name="Picture 9441" descr="http://www.law.unimelb.edu.au/bulletins/SAI-Global-old-editions/SAI%20Global%20Corporate%20Law%20Bulletin%20No%20134%20Octo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1" descr="http://www.law.unimelb.edu.au/bulletins/SAI-Global-old-editions/SAI%20Global%20Corporate%20Law%20Bulletin%20No%20134%20Octo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7B3036" w:rsidRPr="007B30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928"/>
                  </w:tblGrid>
                  <w:tr w:rsidR="007B3036" w:rsidRPr="007B3036">
                    <w:trPr>
                      <w:tblCellSpacing w:w="0" w:type="dxa"/>
                    </w:trPr>
                    <w:tc>
                      <w:tcPr>
                        <w:tcW w:w="0" w:type="auto"/>
                        <w:hideMark/>
                      </w:tcPr>
                      <w:p w:rsidR="007B3036" w:rsidRPr="007B3036" w:rsidRDefault="007B3036" w:rsidP="007B3036">
                        <w:pPr>
                          <w:spacing w:before="100" w:beforeAutospacing="1" w:after="100" w:afterAutospacing="1"/>
                          <w:rPr>
                            <w:rFonts w:ascii="Times" w:hAnsi="Times" w:cs="Times New Roman"/>
                            <w:sz w:val="20"/>
                            <w:szCs w:val="20"/>
                            <w:lang w:val="en-AU"/>
                          </w:rPr>
                        </w:pPr>
                        <w:bookmarkStart w:id="7" w:name="011"/>
                        <w:bookmarkEnd w:id="7"/>
                        <w:r w:rsidRPr="007B3036">
                          <w:rPr>
                            <w:rFonts w:ascii="Times" w:hAnsi="Times" w:cs="Times New Roman"/>
                            <w:b/>
                            <w:bCs/>
                            <w:sz w:val="20"/>
                            <w:szCs w:val="20"/>
                            <w:lang w:val="en-AU"/>
                          </w:rPr>
                          <w:t>1.1 Guidance on audit committees</w:t>
                        </w:r>
                        <w:r w:rsidRPr="007B3036">
                          <w:rPr>
                            <w:rFonts w:ascii="Times" w:hAnsi="Times" w:cs="Times New Roman"/>
                            <w:sz w:val="20"/>
                            <w:szCs w:val="20"/>
                            <w:lang w:val="en-AU"/>
                          </w:rPr>
                          <w:br/>
                        </w:r>
                        <w:r w:rsidRPr="007B3036">
                          <w:rPr>
                            <w:rFonts w:ascii="Times" w:hAnsi="Times" w:cs="Times New Roman"/>
                            <w:sz w:val="20"/>
                            <w:szCs w:val="20"/>
                            <w:lang w:val="en-AU"/>
                          </w:rPr>
                          <w:br/>
                          <w:t xml:space="preserve">On 15 October 2008, the UK Financial Reporting Council published updated Guidance on Audit Committees. The revised guidance encourages audit committees to consider the risks associated with their external auditor leaving the market and to disclose more information about the process by which the auditor was selected in the company's annual report, and provides guidance on the factors to be considered if a group is considering engaging firms from more than one network to work on the audit. </w:t>
                        </w:r>
                        <w:r w:rsidRPr="007B3036">
                          <w:rPr>
                            <w:rFonts w:ascii="Times" w:hAnsi="Times" w:cs="Times New Roman"/>
                            <w:sz w:val="20"/>
                            <w:szCs w:val="20"/>
                            <w:lang w:val="en-AU"/>
                          </w:rPr>
                          <w:br/>
                        </w:r>
                        <w:r w:rsidRPr="007B3036">
                          <w:rPr>
                            <w:rFonts w:ascii="Times" w:hAnsi="Times" w:cs="Times New Roman"/>
                            <w:sz w:val="20"/>
                            <w:szCs w:val="20"/>
                            <w:lang w:val="en-AU"/>
                          </w:rPr>
                          <w:br/>
                          <w:t xml:space="preserve">These changes have been made in response to the recommendations of the Market Participants Group's report on promoting choice in the audit market, published in October 2007. </w:t>
                        </w:r>
                        <w:r w:rsidRPr="007B3036">
                          <w:rPr>
                            <w:rFonts w:ascii="Times" w:hAnsi="Times" w:cs="Times New Roman"/>
                            <w:sz w:val="20"/>
                            <w:szCs w:val="20"/>
                            <w:lang w:val="en-AU"/>
                          </w:rPr>
                          <w:br/>
                        </w:r>
                        <w:r w:rsidRPr="007B3036">
                          <w:rPr>
                            <w:rFonts w:ascii="Times" w:hAnsi="Times" w:cs="Times New Roman"/>
                            <w:sz w:val="20"/>
                            <w:szCs w:val="20"/>
                            <w:lang w:val="en-AU"/>
                          </w:rPr>
                          <w:br/>
                          <w:t xml:space="preserve">The Guidance on Audit Committees (formerly known as the Smith Guidance) was first published in 2003 and provides guidance to listed companies on the composition, role and responsibilities of the audit committee. Boards are not required to follow the guidance, but it is intended to assist them when implementing the relevant provisions of the Combined Code on Corporate Governance. </w:t>
                        </w:r>
                        <w:r w:rsidRPr="007B3036">
                          <w:rPr>
                            <w:rFonts w:ascii="Times" w:hAnsi="Times" w:cs="Times New Roman"/>
                            <w:sz w:val="20"/>
                            <w:szCs w:val="20"/>
                            <w:lang w:val="en-AU"/>
                          </w:rPr>
                          <w:br/>
                        </w:r>
                        <w:r w:rsidRPr="007B3036">
                          <w:rPr>
                            <w:rFonts w:ascii="Times" w:hAnsi="Times" w:cs="Times New Roman"/>
                            <w:sz w:val="20"/>
                            <w:szCs w:val="20"/>
                            <w:lang w:val="en-AU"/>
                          </w:rPr>
                          <w:br/>
                          <w:t xml:space="preserve">The audit committee guidance is available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"http://www.frc.org.uk/images/uploaded/documents/Guidance%20on%20Audit%20Committees%20October%202008.pdf"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FRC</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42" name="Picture 944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2"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67"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bookmarkStart w:id="8" w:name="012"/>
                        <w:bookmarkEnd w:id="8"/>
                        <w:r w:rsidRPr="007B3036">
                          <w:rPr>
                            <w:rFonts w:ascii="Times" w:hAnsi="Times" w:cs="Times New Roman"/>
                            <w:b/>
                            <w:bCs/>
                            <w:sz w:val="20"/>
                            <w:szCs w:val="20"/>
                            <w:lang w:val="en-AU"/>
                          </w:rPr>
                          <w:t>1.2 CESR and CEBS publish their advice on the European Commission's review of commodities business</w:t>
                        </w:r>
                        <w:r w:rsidRPr="007B3036">
                          <w:rPr>
                            <w:rFonts w:ascii="Times" w:hAnsi="Times" w:cs="Times New Roman"/>
                            <w:sz w:val="20"/>
                            <w:szCs w:val="20"/>
                            <w:lang w:val="en-AU"/>
                          </w:rPr>
                          <w:br/>
                          <w:t> </w:t>
                        </w:r>
                        <w:r w:rsidRPr="007B3036">
                          <w:rPr>
                            <w:rFonts w:ascii="Times" w:hAnsi="Times" w:cs="Times New Roman"/>
                            <w:sz w:val="20"/>
                            <w:szCs w:val="20"/>
                            <w:lang w:val="en-AU"/>
                          </w:rPr>
                          <w:br/>
                          <w:t>On 15 October 2008, the Committee of European Securities Regulators (CESR) and the Committee of European Banking Supervisors (CEBS) published their advice in response to the Joint Call for Technical Advice issued by the European Commission in December 2007 concerning the regulatory treatment of firms that provide investment services in relation to commodity and exotic derivatives.</w:t>
                        </w:r>
                        <w:r w:rsidRPr="007B3036">
                          <w:rPr>
                            <w:rFonts w:ascii="Times" w:hAnsi="Times" w:cs="Times New Roman"/>
                            <w:sz w:val="20"/>
                            <w:szCs w:val="20"/>
                            <w:lang w:val="en-AU"/>
                          </w:rPr>
                          <w:br/>
                          <w:t> </w:t>
                        </w:r>
                        <w:r w:rsidRPr="007B3036">
                          <w:rPr>
                            <w:rFonts w:ascii="Times" w:hAnsi="Times" w:cs="Times New Roman"/>
                            <w:sz w:val="20"/>
                            <w:szCs w:val="20"/>
                            <w:lang w:val="en-AU"/>
                          </w:rPr>
                          <w:br/>
                          <w:t>Following up on previous work, as well as industry input provided during a public consultation and two public hearings which took place during May to September 2008, CESR and CEBS have analysed whether the Markets in Financial Instruments Directive (</w:t>
                        </w:r>
                        <w:proofErr w:type="spellStart"/>
                        <w:r w:rsidRPr="007B3036">
                          <w:rPr>
                            <w:rFonts w:ascii="Times" w:hAnsi="Times" w:cs="Times New Roman"/>
                            <w:sz w:val="20"/>
                            <w:szCs w:val="20"/>
                            <w:lang w:val="en-AU"/>
                          </w:rPr>
                          <w:t>MiFID</w:t>
                        </w:r>
                        <w:proofErr w:type="spellEnd"/>
                        <w:r w:rsidRPr="007B3036">
                          <w:rPr>
                            <w:rFonts w:ascii="Times" w:hAnsi="Times" w:cs="Times New Roman"/>
                            <w:sz w:val="20"/>
                            <w:szCs w:val="20"/>
                            <w:lang w:val="en-AU"/>
                          </w:rPr>
                          <w:t>) and the Capital Adequacy Directive (CRD) treatments of specialist commodity derivatives firms continue to support the intended aims of market and prudential regulation.</w:t>
                        </w:r>
                        <w:r w:rsidRPr="007B3036">
                          <w:rPr>
                            <w:rFonts w:ascii="Times" w:hAnsi="Times" w:cs="Times New Roman"/>
                            <w:sz w:val="20"/>
                            <w:szCs w:val="20"/>
                            <w:lang w:val="en-AU"/>
                          </w:rPr>
                          <w:br/>
                          <w:t> </w:t>
                        </w:r>
                        <w:r w:rsidRPr="007B3036">
                          <w:rPr>
                            <w:rFonts w:ascii="Times" w:hAnsi="Times" w:cs="Times New Roman"/>
                            <w:sz w:val="20"/>
                            <w:szCs w:val="20"/>
                            <w:lang w:val="en-AU"/>
                          </w:rPr>
                          <w:br/>
                          <w:t>CESR and CEBS have identified potential for market and regulatory failures with regard to commodity derivatives markets. Market failures may in particular result from asymmetric information and negative externalities. Potential regulatory failures may arise where regulation is not sufficiently adapted to the specificities of the commodity derivatives market or due to different regulatory treatments across the EU.</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The advice concludes with recommendations with regard to the future scope of the </w:t>
                        </w:r>
                        <w:proofErr w:type="gramStart"/>
                        <w:r w:rsidRPr="007B3036">
                          <w:rPr>
                            <w:rFonts w:ascii="Times" w:hAnsi="Times" w:cs="Times New Roman"/>
                            <w:sz w:val="20"/>
                            <w:szCs w:val="20"/>
                            <w:lang w:val="en-AU"/>
                          </w:rPr>
                          <w:t>exemptions which</w:t>
                        </w:r>
                        <w:proofErr w:type="gramEnd"/>
                        <w:r w:rsidRPr="007B3036">
                          <w:rPr>
                            <w:rFonts w:ascii="Times" w:hAnsi="Times" w:cs="Times New Roman"/>
                            <w:sz w:val="20"/>
                            <w:szCs w:val="20"/>
                            <w:lang w:val="en-AU"/>
                          </w:rPr>
                          <w:t xml:space="preserve"> exist in </w:t>
                        </w:r>
                        <w:proofErr w:type="spellStart"/>
                        <w:r w:rsidRPr="007B3036">
                          <w:rPr>
                            <w:rFonts w:ascii="Times" w:hAnsi="Times" w:cs="Times New Roman"/>
                            <w:sz w:val="20"/>
                            <w:szCs w:val="20"/>
                            <w:lang w:val="en-AU"/>
                          </w:rPr>
                          <w:t>MiFID</w:t>
                        </w:r>
                        <w:proofErr w:type="spellEnd"/>
                        <w:r w:rsidRPr="007B3036">
                          <w:rPr>
                            <w:rFonts w:ascii="Times" w:hAnsi="Times" w:cs="Times New Roman"/>
                            <w:sz w:val="20"/>
                            <w:szCs w:val="20"/>
                            <w:lang w:val="en-AU"/>
                          </w:rPr>
                          <w:t xml:space="preserve"> and the prudential treatment of specialist commodity derivatives firms. In relation to </w:t>
                        </w:r>
                        <w:proofErr w:type="spellStart"/>
                        <w:r w:rsidRPr="007B3036">
                          <w:rPr>
                            <w:rFonts w:ascii="Times" w:hAnsi="Times" w:cs="Times New Roman"/>
                            <w:sz w:val="20"/>
                            <w:szCs w:val="20"/>
                            <w:lang w:val="en-AU"/>
                          </w:rPr>
                          <w:t>MiFID</w:t>
                        </w:r>
                        <w:proofErr w:type="spellEnd"/>
                        <w:r w:rsidRPr="007B3036">
                          <w:rPr>
                            <w:rFonts w:ascii="Times" w:hAnsi="Times" w:cs="Times New Roman"/>
                            <w:sz w:val="20"/>
                            <w:szCs w:val="20"/>
                            <w:lang w:val="en-AU"/>
                          </w:rPr>
                          <w:t>, CESR and CEBS see a case for revising the exemptions in Article 2(1)(</w:t>
                        </w:r>
                        <w:proofErr w:type="spellStart"/>
                        <w:r w:rsidRPr="007B3036">
                          <w:rPr>
                            <w:rFonts w:ascii="Times" w:hAnsi="Times" w:cs="Times New Roman"/>
                            <w:sz w:val="20"/>
                            <w:szCs w:val="20"/>
                            <w:lang w:val="en-AU"/>
                          </w:rPr>
                          <w:t>i</w:t>
                        </w:r>
                        <w:proofErr w:type="spellEnd"/>
                        <w:r w:rsidRPr="007B3036">
                          <w:rPr>
                            <w:rFonts w:ascii="Times" w:hAnsi="Times" w:cs="Times New Roman"/>
                            <w:sz w:val="20"/>
                            <w:szCs w:val="20"/>
                            <w:lang w:val="en-AU"/>
                          </w:rPr>
                          <w:t xml:space="preserve">) and (k) of </w:t>
                        </w:r>
                        <w:proofErr w:type="spellStart"/>
                        <w:r w:rsidRPr="007B3036">
                          <w:rPr>
                            <w:rFonts w:ascii="Times" w:hAnsi="Times" w:cs="Times New Roman"/>
                            <w:sz w:val="20"/>
                            <w:szCs w:val="20"/>
                            <w:lang w:val="en-AU"/>
                          </w:rPr>
                          <w:t>MiFID</w:t>
                        </w:r>
                        <w:proofErr w:type="spellEnd"/>
                        <w:r w:rsidRPr="007B3036">
                          <w:rPr>
                            <w:rFonts w:ascii="Times" w:hAnsi="Times" w:cs="Times New Roman"/>
                            <w:sz w:val="20"/>
                            <w:szCs w:val="20"/>
                            <w:lang w:val="en-AU"/>
                          </w:rPr>
                          <w:t xml:space="preserve"> and to provide a very narrow exemption for the incidental provision of investment services related to commodity derivatives and an exemption for primarily non-financial firms which trade on their own account with sophisticated clients and to ensure a level playing field. Furthermore, CESR and CEBS recommend that the Commission consider whether an additional Article should be included into </w:t>
                        </w:r>
                        <w:proofErr w:type="spellStart"/>
                        <w:proofErr w:type="gramStart"/>
                        <w:r w:rsidRPr="007B3036">
                          <w:rPr>
                            <w:rFonts w:ascii="Times" w:hAnsi="Times" w:cs="Times New Roman"/>
                            <w:sz w:val="20"/>
                            <w:szCs w:val="20"/>
                            <w:lang w:val="en-AU"/>
                          </w:rPr>
                          <w:t>MiFID</w:t>
                        </w:r>
                        <w:proofErr w:type="spellEnd"/>
                        <w:r w:rsidRPr="007B3036">
                          <w:rPr>
                            <w:rFonts w:ascii="Times" w:hAnsi="Times" w:cs="Times New Roman"/>
                            <w:sz w:val="20"/>
                            <w:szCs w:val="20"/>
                            <w:lang w:val="en-AU"/>
                          </w:rPr>
                          <w:t xml:space="preserve"> which</w:t>
                        </w:r>
                        <w:proofErr w:type="gramEnd"/>
                        <w:r w:rsidRPr="007B3036">
                          <w:rPr>
                            <w:rFonts w:ascii="Times" w:hAnsi="Times" w:cs="Times New Roman"/>
                            <w:sz w:val="20"/>
                            <w:szCs w:val="20"/>
                            <w:lang w:val="en-AU"/>
                          </w:rPr>
                          <w:t xml:space="preserve"> would clarify that firms covered by the exemptions relating to commodity derivatives in Article 2 should not be prevented from being authorised as investment firms.</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Regarding the prudential treatment of specialist commodity derivatives firms, CESR and CEBS offer two options in their advice. One option would be to require specialist commodity derivatives firms to meet a high-level requirement to have adequate financial resources and qualitative risk management requirements. The second option proposes the full application of CRD to specialist commodity derivatives firms with an exemption from any prudential requirements for firms where this would not impede the overall aims of prudential regulation. </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The advice is available at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"http://www.cesr.eu/popup2.php?id=5306"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CESR</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44" name="Picture 944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4"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69"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bookmarkStart w:id="9" w:name="013"/>
                        <w:bookmarkEnd w:id="9"/>
                        <w:r w:rsidRPr="007B3036">
                          <w:rPr>
                            <w:rFonts w:ascii="Times" w:hAnsi="Times" w:cs="Times New Roman"/>
                            <w:b/>
                            <w:bCs/>
                            <w:sz w:val="20"/>
                            <w:szCs w:val="20"/>
                            <w:lang w:val="en-AU"/>
                          </w:rPr>
                          <w:t>1.3 Australian government guarantee of deposits and wholesale funding</w:t>
                        </w:r>
                        <w:r w:rsidRPr="007B3036">
                          <w:rPr>
                            <w:rFonts w:ascii="Times" w:hAnsi="Times" w:cs="Times New Roman"/>
                            <w:sz w:val="20"/>
                            <w:szCs w:val="20"/>
                            <w:lang w:val="en-AU"/>
                          </w:rPr>
                          <w:br/>
                          <w:t> </w:t>
                        </w:r>
                        <w:r w:rsidRPr="007B3036">
                          <w:rPr>
                            <w:rFonts w:ascii="Times" w:hAnsi="Times" w:cs="Times New Roman"/>
                            <w:sz w:val="20"/>
                            <w:szCs w:val="20"/>
                            <w:lang w:val="en-AU"/>
                          </w:rPr>
                          <w:br/>
                          <w:t>On 15 October 2008, the Australian Government introduced into Parliament several Bills that have the effect of guaranteeing deposits in authorised financial institutions. The government has also announced that it will guarantee wholesale funding by authorised financial institutions.</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"http://my.lawlex.com.au/index.asp?pact=coredoc&amp;nav=col&amp;cid=104128" \t "_default"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Financial System Legislation Amendment (Financial Claims Scheme and Other Measures) Bill 2008 (Cth)</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introduces measures to implement a Financial Claims Scheme (FCS), including a three-year 100 per cent guarantee of deposits in authorised deposit-taking institutions (ADIs), and other arrangements to deal with distressed or failing financial institutions.</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Schedule 1 of the Bill amends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"http://my.lawlex.com.au/index.asp?pact=coredoc&amp;nav=col&amp;cid=6665" \t "_default"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Banking Act 1959 No. 6 (Cth)</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"http://my.lawlex.com.au/index.asp?pact=coredoc&amp;nav=col&amp;cid=6398" \t "_default"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Insurance Act 1973 No. 76 (Cth)</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and other Acts to establish an FCS, administered by the Australian Prudential Regulation Authority (APRA), to provide depositors in authorised deposit taking institutions a full guarantee of their depositors for a period of three years. After three years the general provisions of the FCS will come into operation, limiting its operation to Australian denominated currency deposits. The Bill includes a mechanism to impose a cap on deposit coverage at that time. The Government has indicated that it will consider this issue at that stage.</w:t>
                        </w:r>
                        <w:r w:rsidRPr="007B3036">
                          <w:rPr>
                            <w:rFonts w:ascii="Times" w:hAnsi="Times" w:cs="Times New Roman"/>
                            <w:sz w:val="20"/>
                            <w:szCs w:val="20"/>
                            <w:lang w:val="en-AU"/>
                          </w:rPr>
                          <w:br/>
                          <w:t> </w:t>
                        </w:r>
                        <w:r w:rsidRPr="007B3036">
                          <w:rPr>
                            <w:rFonts w:ascii="Times" w:hAnsi="Times" w:cs="Times New Roman"/>
                            <w:sz w:val="20"/>
                            <w:szCs w:val="20"/>
                            <w:lang w:val="en-AU"/>
                          </w:rPr>
                          <w:br/>
                          <w:t>In addition, the FCS provides compensation to eligible policyholders with claims against a failed general insurer in the event of a general insurer failure.</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Schedule 1 of the Bill also includes:</w:t>
                        </w:r>
                      </w:p>
                      <w:p w:rsidR="007B3036" w:rsidRPr="007B3036" w:rsidRDefault="007B3036" w:rsidP="007B3036">
                        <w:pPr>
                          <w:numPr>
                            <w:ilvl w:val="0"/>
                            <w:numId w:val="29"/>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appropriation</w:t>
                        </w:r>
                        <w:proofErr w:type="gramEnd"/>
                        <w:r w:rsidRPr="007B3036">
                          <w:rPr>
                            <w:rFonts w:ascii="Times" w:eastAsia="Times New Roman" w:hAnsi="Times" w:cs="Times New Roman"/>
                            <w:sz w:val="20"/>
                            <w:szCs w:val="20"/>
                            <w:lang w:val="en-AU"/>
                          </w:rPr>
                          <w:t xml:space="preserve"> arrangements for the FCS's administration and the advancing of funds to depositors and policyholders under the deposit guarantee and FCS; and </w:t>
                        </w:r>
                      </w:p>
                      <w:p w:rsidR="007B3036" w:rsidRPr="007B3036" w:rsidRDefault="007B3036" w:rsidP="007B3036">
                        <w:pPr>
                          <w:numPr>
                            <w:ilvl w:val="0"/>
                            <w:numId w:val="29"/>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arrangements</w:t>
                        </w:r>
                        <w:proofErr w:type="gramEnd"/>
                        <w:r w:rsidRPr="007B3036">
                          <w:rPr>
                            <w:rFonts w:ascii="Times" w:eastAsia="Times New Roman" w:hAnsi="Times" w:cs="Times New Roman"/>
                            <w:sz w:val="20"/>
                            <w:szCs w:val="20"/>
                            <w:lang w:val="en-AU"/>
                          </w:rPr>
                          <w:t xml:space="preserve"> for the recovery of funds advanced by the FCS and of administration costs through the sale of the closed institution's assets (see also recovery of funds via industry levies under the </w:t>
                        </w:r>
                        <w:r w:rsidRPr="007B3036">
                          <w:rPr>
                            <w:rFonts w:ascii="Times" w:eastAsia="Times New Roman" w:hAnsi="Times" w:cs="Times New Roman"/>
                            <w:sz w:val="20"/>
                            <w:szCs w:val="20"/>
                            <w:lang w:val="en-AU"/>
                          </w:rPr>
                          <w:fldChar w:fldCharType="begin"/>
                        </w:r>
                        <w:r w:rsidRPr="007B3036">
                          <w:rPr>
                            <w:rFonts w:ascii="Times" w:eastAsia="Times New Roman" w:hAnsi="Times" w:cs="Times New Roman"/>
                            <w:sz w:val="20"/>
                            <w:szCs w:val="20"/>
                            <w:lang w:val="en-AU"/>
                          </w:rPr>
                          <w:instrText xml:space="preserve"> HYPERLINK "http://my.lawlex.com.au/index.asp?pact=coredoc&amp;nav=col&amp;cid=104190" \t "Default" </w:instrText>
                        </w:r>
                        <w:r w:rsidRPr="007B3036">
                          <w:rPr>
                            <w:rFonts w:ascii="Times" w:eastAsia="Times New Roman" w:hAnsi="Times" w:cs="Times New Roman"/>
                            <w:sz w:val="20"/>
                            <w:szCs w:val="20"/>
                            <w:lang w:val="en-AU"/>
                          </w:rPr>
                        </w:r>
                        <w:r w:rsidRPr="007B3036">
                          <w:rPr>
                            <w:rFonts w:ascii="Times" w:eastAsia="Times New Roman" w:hAnsi="Times" w:cs="Times New Roman"/>
                            <w:sz w:val="20"/>
                            <w:szCs w:val="20"/>
                            <w:lang w:val="en-AU"/>
                          </w:rPr>
                          <w:fldChar w:fldCharType="separate"/>
                        </w:r>
                        <w:r w:rsidRPr="007B3036">
                          <w:rPr>
                            <w:rFonts w:ascii="Times" w:eastAsia="Times New Roman" w:hAnsi="Times" w:cs="Times New Roman"/>
                            <w:color w:val="0000FF"/>
                            <w:sz w:val="20"/>
                            <w:szCs w:val="20"/>
                            <w:u w:val="single"/>
                            <w:lang w:val="en-AU"/>
                          </w:rPr>
                          <w:t>Financial Claims Scheme (ADIs) Levy Act 2008</w:t>
                        </w:r>
                        <w:r w:rsidRPr="007B3036">
                          <w:rPr>
                            <w:rFonts w:ascii="Times" w:eastAsia="Times New Roman" w:hAnsi="Times" w:cs="Times New Roman"/>
                            <w:sz w:val="20"/>
                            <w:szCs w:val="20"/>
                            <w:lang w:val="en-AU"/>
                          </w:rPr>
                          <w:fldChar w:fldCharType="end"/>
                        </w:r>
                        <w:r w:rsidRPr="007B3036">
                          <w:rPr>
                            <w:rFonts w:ascii="Times" w:eastAsia="Times New Roman" w:hAnsi="Times" w:cs="Times New Roman"/>
                            <w:sz w:val="20"/>
                            <w:szCs w:val="20"/>
                            <w:lang w:val="en-AU"/>
                          </w:rPr>
                          <w:t xml:space="preserve"> and </w:t>
                        </w:r>
                        <w:r w:rsidRPr="007B3036">
                          <w:rPr>
                            <w:rFonts w:ascii="Times" w:eastAsia="Times New Roman" w:hAnsi="Times" w:cs="Times New Roman"/>
                            <w:sz w:val="20"/>
                            <w:szCs w:val="20"/>
                            <w:lang w:val="en-AU"/>
                          </w:rPr>
                          <w:fldChar w:fldCharType="begin"/>
                        </w:r>
                        <w:r w:rsidRPr="007B3036">
                          <w:rPr>
                            <w:rFonts w:ascii="Times" w:eastAsia="Times New Roman" w:hAnsi="Times" w:cs="Times New Roman"/>
                            <w:sz w:val="20"/>
                            <w:szCs w:val="20"/>
                            <w:lang w:val="en-AU"/>
                          </w:rPr>
                          <w:instrText xml:space="preserve"> HYPERLINK "http://my.lawlex.com.au/index.asp?pact=coredoc&amp;nav=col&amp;cid=104191" \t "Default" </w:instrText>
                        </w:r>
                        <w:r w:rsidRPr="007B3036">
                          <w:rPr>
                            <w:rFonts w:ascii="Times" w:eastAsia="Times New Roman" w:hAnsi="Times" w:cs="Times New Roman"/>
                            <w:sz w:val="20"/>
                            <w:szCs w:val="20"/>
                            <w:lang w:val="en-AU"/>
                          </w:rPr>
                        </w:r>
                        <w:r w:rsidRPr="007B3036">
                          <w:rPr>
                            <w:rFonts w:ascii="Times" w:eastAsia="Times New Roman" w:hAnsi="Times" w:cs="Times New Roman"/>
                            <w:sz w:val="20"/>
                            <w:szCs w:val="20"/>
                            <w:lang w:val="en-AU"/>
                          </w:rPr>
                          <w:fldChar w:fldCharType="separate"/>
                        </w:r>
                        <w:r w:rsidRPr="007B3036">
                          <w:rPr>
                            <w:rFonts w:ascii="Times" w:eastAsia="Times New Roman" w:hAnsi="Times" w:cs="Times New Roman"/>
                            <w:color w:val="0000FF"/>
                            <w:sz w:val="20"/>
                            <w:szCs w:val="20"/>
                            <w:u w:val="single"/>
                            <w:lang w:val="en-AU"/>
                          </w:rPr>
                          <w:t>Financial Claim Scheme (General Insurers) Levy Act 2008</w:t>
                        </w:r>
                        <w:r w:rsidRPr="007B3036">
                          <w:rPr>
                            <w:rFonts w:ascii="Times" w:eastAsia="Times New Roman" w:hAnsi="Times" w:cs="Times New Roman"/>
                            <w:sz w:val="20"/>
                            <w:szCs w:val="20"/>
                            <w:lang w:val="en-AU"/>
                          </w:rPr>
                          <w:fldChar w:fldCharType="end"/>
                        </w:r>
                        <w:r w:rsidRPr="007B3036">
                          <w:rPr>
                            <w:rFonts w:ascii="Times" w:eastAsia="Times New Roman" w:hAnsi="Times" w:cs="Times New Roman"/>
                            <w:sz w:val="20"/>
                            <w:szCs w:val="20"/>
                            <w:lang w:val="en-AU"/>
                          </w:rPr>
                          <w:t xml:space="preserve">.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 xml:space="preserve">Schedule 2 of the Bill amends the Banking Act 1959 to establish arrangements to improve statutory management of ADIs and the recapitalisation of an ADI. Schedule 3 of the Bill amends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"http://my.lawlex.com.au/index.asp?pact=coredoc&amp;nav=col&amp;cid=6398" \t "Default"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Insurance Act 1973</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to establish arrangements to provide for the judicial management of general insurers and facilitate the recapitalisation of a general insurer. Schedule 4 of the Bill amends the Life Insurance Act 1995 to establish arrangements to improve judicial management of life insurers and facilitate the recapitalisation of a life insurer. Schedule 5 of the Bill amends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"http://my.lawlex.com.au/index.asp?pact=coredoc&amp;nav=col&amp;cid=14018" \t "Default"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Financial Sector (Business Transfer and Group Restructure) Act 1999</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to establish enhanced arrangements to facilitate the transfer of assets and liabilities between institutions.</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The Bills are available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"http://www.aph.gov.au/bills/index.htm"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Parliament of Australia</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 </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46" name="Picture 944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6"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71"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b/>
                            <w:bCs/>
                            <w:sz w:val="20"/>
                            <w:szCs w:val="20"/>
                            <w:lang w:val="en-AU"/>
                          </w:rPr>
                          <w:t>1.4 Principles and practices for sovereign wealth funds</w:t>
                        </w:r>
                        <w:r w:rsidRPr="007B3036">
                          <w:rPr>
                            <w:rFonts w:ascii="Times" w:hAnsi="Times" w:cs="Times New Roman"/>
                            <w:sz w:val="20"/>
                            <w:szCs w:val="20"/>
                            <w:lang w:val="en-AU"/>
                          </w:rPr>
                          <w:br/>
                          <w:t> </w:t>
                        </w:r>
                        <w:r w:rsidRPr="007B3036">
                          <w:rPr>
                            <w:rFonts w:ascii="Times" w:hAnsi="Times" w:cs="Times New Roman"/>
                            <w:sz w:val="20"/>
                            <w:szCs w:val="20"/>
                            <w:lang w:val="en-AU"/>
                          </w:rPr>
                          <w:br/>
                          <w:t>On 11 October 2008, the International Working Group of Sovereign Wealth Funds (IWG) published its 'Generally Accepted Principles and Practices for Sovereign Wealth Funds'.</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According to the IWG, the principles respond to key macroeconomic, financial market, and investment issues raised by the rapid growth in the size and number of sovereign wealth funds globally. Implementation of the Principles by sovereign wealth funds will promote a better understanding of their institutional and operational practices. There are 24 </w:t>
                        </w:r>
                        <w:proofErr w:type="gramStart"/>
                        <w:r w:rsidRPr="007B3036">
                          <w:rPr>
                            <w:rFonts w:ascii="Times" w:hAnsi="Times" w:cs="Times New Roman"/>
                            <w:sz w:val="20"/>
                            <w:szCs w:val="20"/>
                            <w:lang w:val="en-AU"/>
                          </w:rPr>
                          <w:t>principles which</w:t>
                        </w:r>
                        <w:proofErr w:type="gramEnd"/>
                        <w:r w:rsidRPr="007B3036">
                          <w:rPr>
                            <w:rFonts w:ascii="Times" w:hAnsi="Times" w:cs="Times New Roman"/>
                            <w:sz w:val="20"/>
                            <w:szCs w:val="20"/>
                            <w:lang w:val="en-AU"/>
                          </w:rPr>
                          <w:t xml:space="preserve"> deal with matters such as the legal framework for these funds and their disclosure practices.</w:t>
                        </w:r>
                        <w:r w:rsidRPr="007B3036">
                          <w:rPr>
                            <w:rFonts w:ascii="Times" w:hAnsi="Times" w:cs="Times New Roman"/>
                            <w:sz w:val="20"/>
                            <w:szCs w:val="20"/>
                            <w:lang w:val="en-AU"/>
                          </w:rPr>
                          <w:br/>
                        </w:r>
                        <w:r w:rsidRPr="007B3036">
                          <w:rPr>
                            <w:rFonts w:ascii="Times" w:hAnsi="Times" w:cs="Times New Roman"/>
                            <w:sz w:val="20"/>
                            <w:szCs w:val="20"/>
                            <w:lang w:val="en-AU"/>
                          </w:rPr>
                          <w:br/>
                          <w:t xml:space="preserve">The principles are available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"http://www.iwg-swf.org/"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IWG</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48" name="Picture 944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8"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73"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bookmarkStart w:id="10" w:name="015"/>
                        <w:bookmarkEnd w:id="10"/>
                        <w:r w:rsidRPr="007B3036">
                          <w:rPr>
                            <w:rFonts w:ascii="Times" w:hAnsi="Times" w:cs="Times New Roman"/>
                            <w:b/>
                            <w:bCs/>
                            <w:sz w:val="20"/>
                            <w:szCs w:val="20"/>
                            <w:lang w:val="en-AU"/>
                          </w:rPr>
                          <w:t>1.5 Economic survey of Australia 2008</w:t>
                        </w:r>
                        <w:r w:rsidRPr="007B3036">
                          <w:rPr>
                            <w:rFonts w:ascii="Times" w:hAnsi="Times" w:cs="Times New Roman"/>
                            <w:sz w:val="20"/>
                            <w:szCs w:val="20"/>
                            <w:lang w:val="en-AU"/>
                          </w:rPr>
                          <w:br/>
                          <w:t> </w:t>
                        </w:r>
                        <w:r w:rsidRPr="007B3036">
                          <w:rPr>
                            <w:rFonts w:ascii="Times" w:hAnsi="Times" w:cs="Times New Roman"/>
                            <w:sz w:val="20"/>
                            <w:szCs w:val="20"/>
                            <w:lang w:val="en-AU"/>
                          </w:rPr>
                          <w:br/>
                          <w:t>On 10 October 2008, the Organisation for Economic Co-Operation and Development (OECD) published the 2008 Economic Survey of Australia.</w:t>
                        </w:r>
                        <w:r w:rsidRPr="007B3036">
                          <w:rPr>
                            <w:rFonts w:ascii="Times" w:hAnsi="Times" w:cs="Times New Roman"/>
                            <w:sz w:val="20"/>
                            <w:szCs w:val="20"/>
                            <w:lang w:val="en-AU"/>
                          </w:rPr>
                          <w:br/>
                        </w:r>
                        <w:r w:rsidRPr="007B3036">
                          <w:rPr>
                            <w:rFonts w:ascii="Times" w:hAnsi="Times" w:cs="Times New Roman"/>
                            <w:sz w:val="20"/>
                            <w:szCs w:val="20"/>
                            <w:lang w:val="en-AU"/>
                          </w:rPr>
                          <w:br/>
                          <w:t>Major topics dealt with in the report are:</w:t>
                        </w:r>
                      </w:p>
                      <w:p w:rsidR="007B3036" w:rsidRPr="007B3036" w:rsidRDefault="007B3036" w:rsidP="007B3036">
                        <w:pPr>
                          <w:numPr>
                            <w:ilvl w:val="0"/>
                            <w:numId w:val="30"/>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key</w:t>
                        </w:r>
                        <w:proofErr w:type="gramEnd"/>
                        <w:r w:rsidRPr="007B3036">
                          <w:rPr>
                            <w:rFonts w:ascii="Times" w:eastAsia="Times New Roman" w:hAnsi="Times" w:cs="Times New Roman"/>
                            <w:sz w:val="20"/>
                            <w:szCs w:val="20"/>
                            <w:lang w:val="en-AU"/>
                          </w:rPr>
                          <w:t xml:space="preserve"> challenges; </w:t>
                        </w:r>
                      </w:p>
                      <w:p w:rsidR="007B3036" w:rsidRPr="007B3036" w:rsidRDefault="007B3036" w:rsidP="007B3036">
                        <w:pPr>
                          <w:numPr>
                            <w:ilvl w:val="0"/>
                            <w:numId w:val="30"/>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raising</w:t>
                        </w:r>
                        <w:proofErr w:type="gramEnd"/>
                        <w:r w:rsidRPr="007B3036">
                          <w:rPr>
                            <w:rFonts w:ascii="Times" w:eastAsia="Times New Roman" w:hAnsi="Times" w:cs="Times New Roman"/>
                            <w:sz w:val="20"/>
                            <w:szCs w:val="20"/>
                            <w:lang w:val="en-AU"/>
                          </w:rPr>
                          <w:t xml:space="preserve"> labour supply; </w:t>
                        </w:r>
                      </w:p>
                      <w:p w:rsidR="007B3036" w:rsidRPr="007B3036" w:rsidRDefault="007B3036" w:rsidP="007B3036">
                        <w:pPr>
                          <w:numPr>
                            <w:ilvl w:val="0"/>
                            <w:numId w:val="30"/>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enhancing</w:t>
                        </w:r>
                        <w:proofErr w:type="gramEnd"/>
                        <w:r w:rsidRPr="007B3036">
                          <w:rPr>
                            <w:rFonts w:ascii="Times" w:eastAsia="Times New Roman" w:hAnsi="Times" w:cs="Times New Roman"/>
                            <w:sz w:val="20"/>
                            <w:szCs w:val="20"/>
                            <w:lang w:val="en-AU"/>
                          </w:rPr>
                          <w:t xml:space="preserve"> educational performance; </w:t>
                        </w:r>
                      </w:p>
                      <w:p w:rsidR="007B3036" w:rsidRPr="007B3036" w:rsidRDefault="007B3036" w:rsidP="007B3036">
                        <w:pPr>
                          <w:numPr>
                            <w:ilvl w:val="0"/>
                            <w:numId w:val="30"/>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enhancing</w:t>
                        </w:r>
                        <w:proofErr w:type="gramEnd"/>
                        <w:r w:rsidRPr="007B3036">
                          <w:rPr>
                            <w:rFonts w:ascii="Times" w:eastAsia="Times New Roman" w:hAnsi="Times" w:cs="Times New Roman"/>
                            <w:sz w:val="20"/>
                            <w:szCs w:val="20"/>
                            <w:lang w:val="en-AU"/>
                          </w:rPr>
                          <w:t xml:space="preserve"> the functioning of product and labour markets; and </w:t>
                        </w:r>
                      </w:p>
                      <w:p w:rsidR="007B3036" w:rsidRPr="007B3036" w:rsidRDefault="007B3036" w:rsidP="007B3036">
                        <w:pPr>
                          <w:numPr>
                            <w:ilvl w:val="0"/>
                            <w:numId w:val="30"/>
                          </w:numPr>
                          <w:spacing w:before="100" w:beforeAutospacing="1" w:after="100" w:afterAutospacing="1"/>
                          <w:rPr>
                            <w:rFonts w:ascii="Times" w:eastAsia="Times New Roman" w:hAnsi="Times" w:cs="Times New Roman"/>
                            <w:sz w:val="20"/>
                            <w:szCs w:val="20"/>
                            <w:lang w:val="en-AU"/>
                          </w:rPr>
                        </w:pPr>
                        <w:proofErr w:type="gramStart"/>
                        <w:r w:rsidRPr="007B3036">
                          <w:rPr>
                            <w:rFonts w:ascii="Times" w:eastAsia="Times New Roman" w:hAnsi="Times" w:cs="Times New Roman"/>
                            <w:sz w:val="20"/>
                            <w:szCs w:val="20"/>
                            <w:lang w:val="en-AU"/>
                          </w:rPr>
                          <w:t>improving</w:t>
                        </w:r>
                        <w:proofErr w:type="gramEnd"/>
                        <w:r w:rsidRPr="007B3036">
                          <w:rPr>
                            <w:rFonts w:ascii="Times" w:eastAsia="Times New Roman" w:hAnsi="Times" w:cs="Times New Roman"/>
                            <w:sz w:val="20"/>
                            <w:szCs w:val="20"/>
                            <w:lang w:val="en-AU"/>
                          </w:rPr>
                          <w:t xml:space="preserve"> water management.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The next Economic survey of Australia will be prepared for 2010.</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The 2008 survey is available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"http://www.oecd.org/dataoecd/40/39/41411272.pdf"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OECD</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50" name="Picture 945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0"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75"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bookmarkStart w:id="11" w:name="016"/>
                        <w:bookmarkEnd w:id="11"/>
                        <w:r w:rsidRPr="007B3036">
                          <w:rPr>
                            <w:rFonts w:ascii="Times" w:hAnsi="Times" w:cs="Times New Roman"/>
                            <w:b/>
                            <w:bCs/>
                            <w:sz w:val="20"/>
                            <w:szCs w:val="20"/>
                            <w:lang w:val="en-AU"/>
                          </w:rPr>
                          <w:t>1.6 Report of the Financial Stability Forum on enhancing market and institutional resilience</w:t>
                        </w:r>
                        <w:r w:rsidRPr="007B3036">
                          <w:rPr>
                            <w:rFonts w:ascii="Times" w:hAnsi="Times" w:cs="Times New Roman"/>
                            <w:sz w:val="20"/>
                            <w:szCs w:val="20"/>
                            <w:lang w:val="en-AU"/>
                          </w:rPr>
                          <w:br/>
                          <w:t> </w:t>
                        </w:r>
                        <w:r w:rsidRPr="007B3036">
                          <w:rPr>
                            <w:rFonts w:ascii="Times" w:hAnsi="Times" w:cs="Times New Roman"/>
                            <w:sz w:val="20"/>
                            <w:szCs w:val="20"/>
                            <w:lang w:val="en-AU"/>
                          </w:rPr>
                          <w:br/>
                          <w:t xml:space="preserve">On 10 October 2008, the Financial Stability Forum (FSF) published its 'Report on Enhancing Market and Institutional Resilience'. The report builds on the recommendations submitted by the FSF in April 2008 to G7 Finance Ministers and Central Bank Governors for addressing the weaknesses that have produced the present crisis and for strengthening the financial system going forward. </w:t>
                        </w:r>
                        <w:r w:rsidRPr="007B3036">
                          <w:rPr>
                            <w:rFonts w:ascii="Times" w:hAnsi="Times" w:cs="Times New Roman"/>
                            <w:sz w:val="20"/>
                            <w:szCs w:val="20"/>
                            <w:lang w:val="en-AU"/>
                          </w:rPr>
                          <w:br/>
                          <w:t> </w:t>
                        </w:r>
                        <w:r w:rsidRPr="007B3036">
                          <w:rPr>
                            <w:rFonts w:ascii="Times" w:hAnsi="Times" w:cs="Times New Roman"/>
                            <w:sz w:val="20"/>
                            <w:szCs w:val="20"/>
                            <w:lang w:val="en-AU"/>
                          </w:rPr>
                          <w:br/>
                          <w:t>The actions endorsed by the G7 for implementation by end-2008 include, as detailed in the report, further measures to strengthen standards and oversight of bank capital and liquidity, risk management standards in financial institutions, valuation practices and accounting standards.</w:t>
                        </w:r>
                        <w:r w:rsidRPr="007B3036">
                          <w:rPr>
                            <w:rFonts w:ascii="Times" w:hAnsi="Times" w:cs="Times New Roman"/>
                            <w:sz w:val="20"/>
                            <w:szCs w:val="20"/>
                            <w:lang w:val="en-AU"/>
                          </w:rPr>
                          <w:br/>
                          <w:t> </w:t>
                        </w:r>
                        <w:r w:rsidRPr="007B3036">
                          <w:rPr>
                            <w:rFonts w:ascii="Times" w:hAnsi="Times" w:cs="Times New Roman"/>
                            <w:sz w:val="20"/>
                            <w:szCs w:val="20"/>
                            <w:lang w:val="en-AU"/>
                          </w:rPr>
                          <w:br/>
                          <w:t>Alongside this, the FSF will address additional issues, building on the work of its member authorities and international bodies. It will:</w:t>
                        </w:r>
                      </w:p>
                      <w:p w:rsidR="007B3036" w:rsidRPr="007B3036" w:rsidRDefault="007B3036" w:rsidP="007B3036">
                        <w:pPr>
                          <w:numPr>
                            <w:ilvl w:val="0"/>
                            <w:numId w:val="31"/>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Monitor and address the international interaction and consistency of emergency arrangements and responses being put in place to address the current financial crisis. </w:t>
                        </w:r>
                      </w:p>
                      <w:p w:rsidR="007B3036" w:rsidRPr="007B3036" w:rsidRDefault="007B3036" w:rsidP="007B3036">
                        <w:pPr>
                          <w:numPr>
                            <w:ilvl w:val="0"/>
                            <w:numId w:val="31"/>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Work to mitigate sources of pro-cyclicality in the financial system. Work has been set in train on the scope for improvements to the capital regime, loan-loss provisioning practices, compensation arrangements, and the management of interactions between valuation and leverage. </w:t>
                        </w:r>
                      </w:p>
                      <w:p w:rsidR="007B3036" w:rsidRPr="007B3036" w:rsidRDefault="007B3036" w:rsidP="007B3036">
                        <w:pPr>
                          <w:numPr>
                            <w:ilvl w:val="0"/>
                            <w:numId w:val="31"/>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Reassess the scope of financial regulation, with a special emphasis on institutions, instruments and markets that are currently unregulated. </w:t>
                        </w:r>
                      </w:p>
                      <w:p w:rsidR="007B3036" w:rsidRPr="007B3036" w:rsidRDefault="007B3036" w:rsidP="007B3036">
                        <w:pPr>
                          <w:numPr>
                            <w:ilvl w:val="0"/>
                            <w:numId w:val="31"/>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Work to better integrate macroeconomic oversight and prudential supervision, to help translate more effectively systemic concerns into concrete supervisory and regulatory responses.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The FSF states that in view of market developments, implementation of certain of the recommendations needs to accelerate:</w:t>
                        </w:r>
                      </w:p>
                      <w:p w:rsidR="007B3036" w:rsidRPr="007B3036" w:rsidRDefault="007B3036" w:rsidP="007B3036">
                        <w:pPr>
                          <w:numPr>
                            <w:ilvl w:val="0"/>
                            <w:numId w:val="32"/>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Market participants need to move ahead urgently to put in place central counterparty clearing for over-the-counter (OTC) credit derivatives and achieve more robust operational processes in OTC derivatives markets. </w:t>
                        </w:r>
                      </w:p>
                      <w:p w:rsidR="007B3036" w:rsidRPr="007B3036" w:rsidRDefault="007B3036" w:rsidP="007B3036">
                        <w:pPr>
                          <w:numPr>
                            <w:ilvl w:val="0"/>
                            <w:numId w:val="32"/>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Accounting standards setters must conclude their work promptly to enhance and converge guidance on valuation of instruments in inactive markets, and accounting and disclosure standards for off-balance sheet activities and related risks.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In addition, the FSF calls on:</w:t>
                        </w:r>
                      </w:p>
                      <w:p w:rsidR="007B3036" w:rsidRPr="007B3036" w:rsidRDefault="007B3036" w:rsidP="007B3036">
                        <w:pPr>
                          <w:numPr>
                            <w:ilvl w:val="0"/>
                            <w:numId w:val="33"/>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Credit rating agencies (CRAs) to enhance their efforts to comply with the FSF recommendations, including by making industry-wide proposals for providing differentiated information or ratings for structured products. </w:t>
                        </w:r>
                      </w:p>
                      <w:p w:rsidR="007B3036" w:rsidRPr="007B3036" w:rsidRDefault="007B3036" w:rsidP="007B3036">
                        <w:pPr>
                          <w:numPr>
                            <w:ilvl w:val="0"/>
                            <w:numId w:val="33"/>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Private sector organisations that have recommended improvements to industry practices to establish frameworks for rigorously monitoring and reporting on their timely implementation.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 xml:space="preserve">The report is available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"http://www.fsforum.org/press/pr_081009f.pdf"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FSF</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52" name="Picture 945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2"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77"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bookmarkStart w:id="12" w:name="017"/>
                        <w:bookmarkEnd w:id="12"/>
                        <w:r w:rsidRPr="007B3036">
                          <w:rPr>
                            <w:rFonts w:ascii="Times" w:hAnsi="Times" w:cs="Times New Roman"/>
                            <w:b/>
                            <w:bCs/>
                            <w:sz w:val="20"/>
                            <w:szCs w:val="20"/>
                            <w:lang w:val="en-AU"/>
                          </w:rPr>
                          <w:t xml:space="preserve">1.7 Report on banks' transparency </w:t>
                        </w:r>
                        <w:r w:rsidRPr="007B3036">
                          <w:rPr>
                            <w:rFonts w:ascii="Times" w:hAnsi="Times" w:cs="Times New Roman"/>
                            <w:sz w:val="20"/>
                            <w:szCs w:val="20"/>
                            <w:lang w:val="en-AU"/>
                          </w:rPr>
                          <w:br/>
                          <w:t> </w:t>
                        </w:r>
                        <w:r w:rsidRPr="007B3036">
                          <w:rPr>
                            <w:rFonts w:ascii="Times" w:hAnsi="Times" w:cs="Times New Roman"/>
                            <w:sz w:val="20"/>
                            <w:szCs w:val="20"/>
                            <w:lang w:val="en-AU"/>
                          </w:rPr>
                          <w:br/>
                          <w:t>On 9 October 2008, the Committee of European Banking Supervisors (CEBS) published the findings of an analysis following up on the application of its recommendations in the 'Report on banks' transparency on activities and products affected by the recent market turmoil' published on 18 June 2008.</w:t>
                        </w:r>
                        <w:r w:rsidRPr="007B3036">
                          <w:rPr>
                            <w:rFonts w:ascii="Times" w:hAnsi="Times" w:cs="Times New Roman"/>
                            <w:sz w:val="20"/>
                            <w:szCs w:val="20"/>
                            <w:lang w:val="en-AU"/>
                          </w:rPr>
                          <w:br/>
                        </w:r>
                        <w:r w:rsidRPr="007B3036">
                          <w:rPr>
                            <w:rFonts w:ascii="Times" w:hAnsi="Times" w:cs="Times New Roman"/>
                            <w:sz w:val="20"/>
                            <w:szCs w:val="20"/>
                            <w:lang w:val="en-AU"/>
                          </w:rPr>
                          <w:br/>
                          <w:t>In the follow-up report, CEBS compares the disclosures by the 22 banks covered in the analysis (19 of which are from the EU) in their 2008 second quarter results with the good practices CEBS identified in the June report, which were endorsed at the July ECOFIN meeting. These good practices cover disclosures on the impact of the market turmoil on results and on exposure levels - which are in line with the recommendations of the Financial Stability Forum (FSF) - as well as information on business models, risk management practices, and accounting and valuation practices.</w:t>
                        </w:r>
                        <w:r w:rsidRPr="007B3036">
                          <w:rPr>
                            <w:rFonts w:ascii="Times" w:hAnsi="Times" w:cs="Times New Roman"/>
                            <w:sz w:val="20"/>
                            <w:szCs w:val="20"/>
                            <w:lang w:val="en-AU"/>
                          </w:rPr>
                          <w:br/>
                        </w:r>
                        <w:r w:rsidRPr="007B3036">
                          <w:rPr>
                            <w:rFonts w:ascii="Times" w:hAnsi="Times" w:cs="Times New Roman"/>
                            <w:sz w:val="20"/>
                            <w:szCs w:val="20"/>
                            <w:lang w:val="en-AU"/>
                          </w:rPr>
                          <w:br/>
                          <w:t>The main findings of the follow-up report are:</w:t>
                        </w:r>
                      </w:p>
                      <w:p w:rsidR="007B3036" w:rsidRPr="007B3036" w:rsidRDefault="007B3036" w:rsidP="007B3036">
                        <w:pPr>
                          <w:numPr>
                            <w:ilvl w:val="0"/>
                            <w:numId w:val="34"/>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Around 80% of the banks provide detailed disclosures on the impact of the market turmoil and on exposure levels. For about half of the banks this is an improvement in comparison to the last assessment, especially in terms of granularity. CEBS is of the view that for these areas the disclosures are moving towards the good practices identified in the June report. </w:t>
                        </w:r>
                      </w:p>
                      <w:p w:rsidR="007B3036" w:rsidRPr="007B3036" w:rsidRDefault="007B3036" w:rsidP="007B3036">
                        <w:pPr>
                          <w:numPr>
                            <w:ilvl w:val="0"/>
                            <w:numId w:val="34"/>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Disclosures on business models and to a lesser extent on risk management practices as well as accounting and valuation practices are less detailed. Most institutions included in the sample still have to improve their disclosures in these areas, although CEBS realises that the timing of the June report may not have allowed all institutions to take the CEBS good practices wholly into account.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The report conveys the following main messages:</w:t>
                        </w:r>
                      </w:p>
                      <w:p w:rsidR="007B3036" w:rsidRPr="007B3036" w:rsidRDefault="007B3036" w:rsidP="007B3036">
                        <w:pPr>
                          <w:numPr>
                            <w:ilvl w:val="0"/>
                            <w:numId w:val="35"/>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Institutions need to make further efforts to bring their disclosures into line with the good practices identified in the June report. This includes making explicit statements when the exposures and the impact of the market turmoil are very small or zero. These efforts should lead to satisfactory results in forthcoming disclosures. </w:t>
                        </w:r>
                      </w:p>
                      <w:p w:rsidR="007B3036" w:rsidRPr="007B3036" w:rsidRDefault="007B3036" w:rsidP="007B3036">
                        <w:pPr>
                          <w:numPr>
                            <w:ilvl w:val="0"/>
                            <w:numId w:val="35"/>
                          </w:numPr>
                          <w:spacing w:before="100" w:beforeAutospacing="1" w:after="100" w:afterAutospacing="1"/>
                          <w:rPr>
                            <w:rFonts w:ascii="Times" w:eastAsia="Times New Roman" w:hAnsi="Times" w:cs="Times New Roman"/>
                            <w:sz w:val="20"/>
                            <w:szCs w:val="20"/>
                            <w:lang w:val="en-AU"/>
                          </w:rPr>
                        </w:pPr>
                        <w:r w:rsidRPr="007B3036">
                          <w:rPr>
                            <w:rFonts w:ascii="Times" w:eastAsia="Times New Roman" w:hAnsi="Times" w:cs="Times New Roman"/>
                            <w:sz w:val="20"/>
                            <w:szCs w:val="20"/>
                            <w:lang w:val="en-AU"/>
                          </w:rPr>
                          <w:t xml:space="preserve">The good practices continue to be particularly relevant and helpful in contributing to restoring confidence, especially in the current market conditions, and should be further promoted by CEBS's members. </w:t>
                        </w:r>
                      </w:p>
                      <w:p w:rsidR="007B3036" w:rsidRPr="007B3036" w:rsidRDefault="007B3036" w:rsidP="007B3036">
                        <w:pPr>
                          <w:spacing w:before="100" w:beforeAutospacing="1" w:after="100" w:afterAutospacing="1"/>
                          <w:rPr>
                            <w:rFonts w:ascii="Times" w:hAnsi="Times" w:cs="Times New Roman"/>
                            <w:sz w:val="20"/>
                            <w:szCs w:val="20"/>
                            <w:lang w:val="en-AU"/>
                          </w:rPr>
                        </w:pPr>
                        <w:r w:rsidRPr="007B3036">
                          <w:rPr>
                            <w:rFonts w:ascii="Times" w:hAnsi="Times" w:cs="Times New Roman"/>
                            <w:sz w:val="20"/>
                            <w:szCs w:val="20"/>
                            <w:lang w:val="en-AU"/>
                          </w:rPr>
                          <w:t xml:space="preserve">The report is available on the </w:t>
                        </w:r>
                        <w:r w:rsidRPr="007B3036">
                          <w:rPr>
                            <w:rFonts w:ascii="Times" w:hAnsi="Times" w:cs="Times New Roman"/>
                            <w:sz w:val="20"/>
                            <w:szCs w:val="20"/>
                            <w:lang w:val="en-AU"/>
                          </w:rPr>
                          <w:fldChar w:fldCharType="begin"/>
                        </w:r>
                        <w:r w:rsidRPr="007B3036">
                          <w:rPr>
                            <w:rFonts w:ascii="Times" w:hAnsi="Times" w:cs="Times New Roman"/>
                            <w:sz w:val="20"/>
                            <w:szCs w:val="20"/>
                            <w:lang w:val="en-AU"/>
                          </w:rPr>
                          <w:instrText xml:space="preserve"> HYPERLINK "http://www.c-ebs.org/formupload/69/691c71d6-85cc-4c2c-81e3-a287fb7c2a4b.pdf" \t "_new" </w:instrText>
                        </w:r>
                        <w:r w:rsidRPr="007B3036">
                          <w:rPr>
                            <w:rFonts w:ascii="Times" w:hAnsi="Times" w:cs="Times New Roman"/>
                            <w:sz w:val="20"/>
                            <w:szCs w:val="20"/>
                            <w:lang w:val="en-AU"/>
                          </w:rPr>
                        </w:r>
                        <w:r w:rsidRPr="007B3036">
                          <w:rPr>
                            <w:rFonts w:ascii="Times" w:hAnsi="Times" w:cs="Times New Roman"/>
                            <w:sz w:val="20"/>
                            <w:szCs w:val="20"/>
                            <w:lang w:val="en-AU"/>
                          </w:rPr>
                          <w:fldChar w:fldCharType="separate"/>
                        </w:r>
                        <w:r w:rsidRPr="007B3036">
                          <w:rPr>
                            <w:rFonts w:ascii="Times" w:hAnsi="Times" w:cs="Times New Roman"/>
                            <w:color w:val="0000FF"/>
                            <w:sz w:val="20"/>
                            <w:szCs w:val="20"/>
                            <w:u w:val="single"/>
                            <w:lang w:val="en-AU"/>
                          </w:rPr>
                          <w:t>CEBS</w:t>
                        </w:r>
                        <w:r w:rsidRPr="007B3036">
                          <w:rPr>
                            <w:rFonts w:ascii="Times" w:hAnsi="Times" w:cs="Times New Roman"/>
                            <w:sz w:val="20"/>
                            <w:szCs w:val="20"/>
                            <w:lang w:val="en-AU"/>
                          </w:rPr>
                          <w:fldChar w:fldCharType="end"/>
                        </w:r>
                        <w:r w:rsidRPr="007B3036">
                          <w:rPr>
                            <w:rFonts w:ascii="Times" w:hAnsi="Times" w:cs="Times New Roman"/>
                            <w:sz w:val="20"/>
                            <w:szCs w:val="20"/>
                            <w:lang w:val="en-AU"/>
                          </w:rPr>
                          <w:t xml:space="preserve"> website.</w:t>
                        </w:r>
                      </w:p>
                      <w:p w:rsidR="007B3036" w:rsidRPr="007B3036" w:rsidRDefault="007B3036" w:rsidP="007B30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454" name="Picture 945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4"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B3036" w:rsidRPr="007B3036" w:rsidRDefault="007B3036" w:rsidP="007B3036">
                        <w:pPr>
                          <w:rPr>
                            <w:rFonts w:ascii="Times" w:eastAsia="Times New Roman" w:hAnsi="Times" w:cs="Times New Roman"/>
                            <w:sz w:val="20"/>
                            <w:szCs w:val="20"/>
                            <w:lang w:val="en-AU"/>
                          </w:rPr>
                        </w:pPr>
                        <w:r w:rsidRPr="007B3036">
                          <w:rPr>
                            <w:rFonts w:ascii="Times" w:eastAsia="Times New Roman" w:hAnsi="Times" w:cs="Times New Roman"/>
                            <w:sz w:val="20"/>
                            <w:szCs w:val="20"/>
                            <w:lang w:val="en-AU"/>
                          </w:rPr>
                          <w:pict>
                            <v:rect id="_x0000_i10479" style="width:0;height:1.5pt" o:hralign="center" o:hrstd="t" o:hr="t" fillcolor="#aaa" stroked="f"/>
                          </w:pict>
                        </w:r>
                      </w:p>
                      <w:p w:rsidR="007B3036" w:rsidRPr="007B3036" w:rsidRDefault="007B3036" w:rsidP="007B3036">
                        <w:pPr>
                          <w:spacing w:before="100" w:beforeAutospacing="1" w:after="100" w:afterAutospacing="1"/>
                          <w:rPr>
                            <w:rFonts w:ascii="Times" w:hAnsi="Times" w:cs="Times New Roman"/>
                            <w:sz w:val="20"/>
                            <w:szCs w:val="20"/>
                            <w:lang w:val="en-AU"/>
                          </w:rPr>
                        </w:pPr>
                        <w:bookmarkStart w:id="13" w:name="018"/>
                        <w:bookmarkEnd w:id="13"/>
                        <w:r w:rsidRPr="007B3036">
                          <w:rPr>
                            <w:rFonts w:ascii="Times" w:hAnsi="Times" w:cs="Times New Roman"/>
                            <w:b/>
                            <w:bCs/>
                            <w:sz w:val="20"/>
                            <w:szCs w:val="20"/>
                            <w:lang w:val="en-AU"/>
                          </w:rPr>
                          <w:t>1.8 Global competitiveness rankings</w:t>
                        </w:r>
                        <w:r w:rsidRPr="007B3036">
                          <w:rPr>
                            <w:rFonts w:ascii="Times" w:hAnsi="Times" w:cs="Times New Roman"/>
                            <w:sz w:val="20"/>
                            <w:szCs w:val="20"/>
                            <w:lang w:val="en-AU"/>
                          </w:rPr>
                          <w:br/>
                        </w:r>
                        <w:r w:rsidRPr="007B3036">
                          <w:rPr>
                            <w:rFonts w:ascii="Times" w:hAnsi="Times" w:cs="Times New Roman"/>
                            <w:sz w:val="20"/>
                            <w:szCs w:val="20"/>
                            <w:lang w:val="en-AU"/>
                          </w:rPr>
                          <w:br/>
                          <w:t xml:space="preserve">On 8 October 2008, the World Economic Forum published the Global Competitiveness Report 2008-2009. The United States is ranked </w:t>
                        </w:r>
                        <w:proofErr w:type="gramStart"/>
                        <w:r w:rsidRPr="007B3036">
                          <w:rPr>
                            <w:rFonts w:ascii="Times" w:hAnsi="Times" w:cs="Times New Roman"/>
                            <w:sz w:val="20"/>
                            <w:szCs w:val="20"/>
                            <w:lang w:val="en-AU"/>
                          </w:rPr>
                          <w:t>first,</w:t>
                        </w:r>
                        <w:proofErr w:type="gramEnd"/>
                        <w:r w:rsidRPr="007B3036">
                          <w:rPr>
                            <w:rFonts w:ascii="Times" w:hAnsi="Times" w:cs="Times New Roman"/>
                            <w:sz w:val="20"/>
                            <w:szCs w:val="20"/>
                            <w:lang w:val="en-AU"/>
                          </w:rPr>
                          <w:t xml:space="preserve"> Switzerland is in second position followed by Denmark, Sweden and Singapore. European economies continue to prevail in the top 10 with Finland, Germany and the Netherlands following suit. The United Kingdom, while remaining very competitive, has dropped by three places and out of the top 10, mainly attributable to a weakening of its financial markets. The People's Republic of China continues to lead the way among large developing economies, improving by four places this year and joining the top 30. All of the BRIC economies figure in the top half of the ranking, with China followed by India, Russia and Brazil. Several Asian economies perform strongly with Japan, Hong Kong SAR, Republic of Korea and Taiwan, China in the top 20. In Latin America, Chile is the highest ranked country, followed by Panama, Costa Rica and Mexico. </w:t>
                        </w:r>
                        <w:r w:rsidRPr="007B3036">
                          <w:rPr>
                            <w:rFonts w:ascii="Times" w:hAnsi="Times" w:cs="Times New Roman"/>
                            <w:sz w:val="20"/>
                            <w:szCs w:val="20"/>
                            <w:lang w:val="en-AU"/>
                          </w:rPr>
                          <w:br/>
                          <w:t> </w:t>
                        </w:r>
                        <w:r w:rsidRPr="007B3036">
                          <w:rPr>
                            <w:rFonts w:ascii="Times" w:hAnsi="Times" w:cs="Times New Roman"/>
                            <w:sz w:val="20"/>
                            <w:szCs w:val="20"/>
                            <w:lang w:val="en-AU"/>
                          </w:rPr>
                          <w:br/>
                          <w:t>A number of countries in the Middle East and North Africa region are in the upper half of the rankings, led by Israel, Qatar, Saudi Arabia, United Arab Emirate</w:t>
                        </w:r>
                      </w:p>
                    </w:tc>
                  </w:tr>
                </w:tbl>
                <w:p w:rsidR="007B3036" w:rsidRPr="007B3036" w:rsidRDefault="007B3036" w:rsidP="007B3036">
                  <w:pPr>
                    <w:rPr>
                      <w:rFonts w:ascii="Times" w:eastAsia="Times New Roman" w:hAnsi="Times" w:cs="Times New Roman"/>
                      <w:sz w:val="20"/>
                      <w:szCs w:val="20"/>
                      <w:lang w:val="en-AU"/>
                    </w:rPr>
                  </w:pPr>
                </w:p>
              </w:tc>
            </w:tr>
          </w:tbl>
          <w:p w:rsidR="007B3036" w:rsidRPr="007B3036" w:rsidRDefault="007B3036" w:rsidP="007B3036">
            <w:pPr>
              <w:rPr>
                <w:rFonts w:ascii="Times" w:eastAsia="Times New Roman" w:hAnsi="Times" w:cs="Times New Roman"/>
                <w:sz w:val="20"/>
                <w:szCs w:val="20"/>
                <w:lang w:val="en-AU"/>
              </w:rPr>
            </w:pPr>
          </w:p>
        </w:tc>
      </w:tr>
    </w:tbl>
    <w:p w:rsidR="00163FD6" w:rsidRPr="007B3036" w:rsidRDefault="00163FD6" w:rsidP="007B3036">
      <w:bookmarkStart w:id="14" w:name="_GoBack"/>
      <w:bookmarkEnd w:id="14"/>
    </w:p>
    <w:sectPr w:rsidR="00163FD6" w:rsidRPr="007B303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4ED"/>
    <w:multiLevelType w:val="multilevel"/>
    <w:tmpl w:val="EE2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535B3"/>
    <w:multiLevelType w:val="multilevel"/>
    <w:tmpl w:val="809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41C66"/>
    <w:multiLevelType w:val="multilevel"/>
    <w:tmpl w:val="35B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11FE"/>
    <w:multiLevelType w:val="multilevel"/>
    <w:tmpl w:val="F96E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D08C2"/>
    <w:multiLevelType w:val="multilevel"/>
    <w:tmpl w:val="591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D1D66"/>
    <w:multiLevelType w:val="multilevel"/>
    <w:tmpl w:val="0BC8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E2DE9"/>
    <w:multiLevelType w:val="multilevel"/>
    <w:tmpl w:val="DF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6120B"/>
    <w:multiLevelType w:val="multilevel"/>
    <w:tmpl w:val="E6F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318F4"/>
    <w:multiLevelType w:val="multilevel"/>
    <w:tmpl w:val="220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15F12"/>
    <w:multiLevelType w:val="multilevel"/>
    <w:tmpl w:val="13A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E6A37"/>
    <w:multiLevelType w:val="multilevel"/>
    <w:tmpl w:val="FAC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A2B3A"/>
    <w:multiLevelType w:val="multilevel"/>
    <w:tmpl w:val="158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37A4C"/>
    <w:multiLevelType w:val="multilevel"/>
    <w:tmpl w:val="32F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A1AAF"/>
    <w:multiLevelType w:val="multilevel"/>
    <w:tmpl w:val="A3C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462002"/>
    <w:multiLevelType w:val="multilevel"/>
    <w:tmpl w:val="697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071C3"/>
    <w:multiLevelType w:val="multilevel"/>
    <w:tmpl w:val="48C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25EA8"/>
    <w:multiLevelType w:val="multilevel"/>
    <w:tmpl w:val="5496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34F78"/>
    <w:multiLevelType w:val="multilevel"/>
    <w:tmpl w:val="C34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C0214"/>
    <w:multiLevelType w:val="multilevel"/>
    <w:tmpl w:val="EF7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C63B0"/>
    <w:multiLevelType w:val="multilevel"/>
    <w:tmpl w:val="537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9024A3"/>
    <w:multiLevelType w:val="multilevel"/>
    <w:tmpl w:val="750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61381"/>
    <w:multiLevelType w:val="multilevel"/>
    <w:tmpl w:val="E7A2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82411"/>
    <w:multiLevelType w:val="multilevel"/>
    <w:tmpl w:val="BDA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B44AC"/>
    <w:multiLevelType w:val="multilevel"/>
    <w:tmpl w:val="9D5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A2E3C"/>
    <w:multiLevelType w:val="multilevel"/>
    <w:tmpl w:val="BB2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FB1506"/>
    <w:multiLevelType w:val="multilevel"/>
    <w:tmpl w:val="690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461BF"/>
    <w:multiLevelType w:val="multilevel"/>
    <w:tmpl w:val="625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D2ABD"/>
    <w:multiLevelType w:val="multilevel"/>
    <w:tmpl w:val="A23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D0565"/>
    <w:multiLevelType w:val="multilevel"/>
    <w:tmpl w:val="5A22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B1807"/>
    <w:multiLevelType w:val="multilevel"/>
    <w:tmpl w:val="E1A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87B4A"/>
    <w:multiLevelType w:val="multilevel"/>
    <w:tmpl w:val="0C1A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0F47D3"/>
    <w:multiLevelType w:val="multilevel"/>
    <w:tmpl w:val="787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2019D"/>
    <w:multiLevelType w:val="multilevel"/>
    <w:tmpl w:val="0B44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627BF"/>
    <w:multiLevelType w:val="multilevel"/>
    <w:tmpl w:val="17F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286310"/>
    <w:multiLevelType w:val="multilevel"/>
    <w:tmpl w:val="5F6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
  </w:num>
  <w:num w:numId="4">
    <w:abstractNumId w:val="25"/>
  </w:num>
  <w:num w:numId="5">
    <w:abstractNumId w:val="27"/>
  </w:num>
  <w:num w:numId="6">
    <w:abstractNumId w:val="28"/>
  </w:num>
  <w:num w:numId="7">
    <w:abstractNumId w:val="17"/>
  </w:num>
  <w:num w:numId="8">
    <w:abstractNumId w:val="10"/>
  </w:num>
  <w:num w:numId="9">
    <w:abstractNumId w:val="3"/>
  </w:num>
  <w:num w:numId="10">
    <w:abstractNumId w:val="12"/>
  </w:num>
  <w:num w:numId="11">
    <w:abstractNumId w:val="19"/>
  </w:num>
  <w:num w:numId="12">
    <w:abstractNumId w:val="4"/>
  </w:num>
  <w:num w:numId="13">
    <w:abstractNumId w:val="33"/>
  </w:num>
  <w:num w:numId="14">
    <w:abstractNumId w:val="14"/>
  </w:num>
  <w:num w:numId="15">
    <w:abstractNumId w:val="32"/>
  </w:num>
  <w:num w:numId="16">
    <w:abstractNumId w:val="30"/>
  </w:num>
  <w:num w:numId="17">
    <w:abstractNumId w:val="1"/>
  </w:num>
  <w:num w:numId="18">
    <w:abstractNumId w:val="8"/>
  </w:num>
  <w:num w:numId="19">
    <w:abstractNumId w:val="24"/>
  </w:num>
  <w:num w:numId="20">
    <w:abstractNumId w:val="22"/>
  </w:num>
  <w:num w:numId="21">
    <w:abstractNumId w:val="29"/>
  </w:num>
  <w:num w:numId="22">
    <w:abstractNumId w:val="18"/>
  </w:num>
  <w:num w:numId="23">
    <w:abstractNumId w:val="20"/>
  </w:num>
  <w:num w:numId="24">
    <w:abstractNumId w:val="11"/>
  </w:num>
  <w:num w:numId="25">
    <w:abstractNumId w:val="34"/>
  </w:num>
  <w:num w:numId="26">
    <w:abstractNumId w:val="31"/>
  </w:num>
  <w:num w:numId="27">
    <w:abstractNumId w:val="0"/>
  </w:num>
  <w:num w:numId="28">
    <w:abstractNumId w:val="5"/>
  </w:num>
  <w:num w:numId="29">
    <w:abstractNumId w:val="26"/>
  </w:num>
  <w:num w:numId="30">
    <w:abstractNumId w:val="6"/>
  </w:num>
  <w:num w:numId="31">
    <w:abstractNumId w:val="15"/>
  </w:num>
  <w:num w:numId="32">
    <w:abstractNumId w:val="7"/>
  </w:num>
  <w:num w:numId="33">
    <w:abstractNumId w:val="13"/>
  </w:num>
  <w:num w:numId="34">
    <w:abstractNumId w:val="23"/>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53D7A"/>
    <w:rsid w:val="00266406"/>
    <w:rsid w:val="002C395A"/>
    <w:rsid w:val="003270E0"/>
    <w:rsid w:val="00396183"/>
    <w:rsid w:val="0048351B"/>
    <w:rsid w:val="004B62BE"/>
    <w:rsid w:val="00591E0D"/>
    <w:rsid w:val="00593E73"/>
    <w:rsid w:val="005B5882"/>
    <w:rsid w:val="005B77AE"/>
    <w:rsid w:val="005D5164"/>
    <w:rsid w:val="0071357D"/>
    <w:rsid w:val="007B3036"/>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1F/SAI%20Global%20Corporate%20Law%20Bulletin%20No%20134%20October%202008.htm" TargetMode="External"/><Relationship Id="rId11" Type="http://schemas.openxmlformats.org/officeDocument/2006/relationships/hyperlink" Target="file:///C:/Documents%20and%20Settings/petersj/Local%20Settings/Temporary%20Internet%20Files/OLK1F/SAI%20Global%20Corporate%20Law%20Bulletin%20No%20134%20October%202008.htm" TargetMode="External"/><Relationship Id="rId12" Type="http://schemas.openxmlformats.org/officeDocument/2006/relationships/hyperlink" Target="file:///C:/Documents%20and%20Settings/petersj/Local%20Settings/Temporary%20Internet%20Files/OLK1F/SAI%20Global%20Corporate%20Law%20Bulletin%20No%20134%20October%202008.htm" TargetMode="External"/><Relationship Id="rId13" Type="http://schemas.openxmlformats.org/officeDocument/2006/relationships/hyperlink" Target="file:///C:/Documents%20and%20Settings/petersj/Local%20Settings/Temporary%20Internet%20Files/OLK1F/SAI%20Global%20Corporate%20Law%20Bulletin%20No%20134%20October%202008.htm" TargetMode="External"/><Relationship Id="rId14" Type="http://schemas.openxmlformats.org/officeDocument/2006/relationships/hyperlink" Target="file:///C:/Documents%20and%20Settings/petersj/Local%20Settings/Temporary%20Internet%20Files/OLK1F/SAI%20Global%20Corporate%20Law%20Bulletin%20No%20134%20October%202008.htm" TargetMode="External"/><Relationship Id="rId15" Type="http://schemas.openxmlformats.org/officeDocument/2006/relationships/hyperlink" Target="file:///C:/Documents%20and%20Settings/petersj/Local%20Settings/Temporary%20Internet%20Files/OLK1F/SAI%20Global%20Corporate%20Law%20Bulletin%20No%20134%20October%202008.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1F/SAI%20Global%20Corporate%20Law%20Bulletin%20No%20134%20October%202008.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1F/SAI%20Global%20Corporate%20Law%20Bulletin%20No%20134%20October%202008.htm" TargetMode="External"/><Relationship Id="rId33" Type="http://schemas.openxmlformats.org/officeDocument/2006/relationships/hyperlink" Target="file:///C:/Documents%20and%20Settings/petersj/Local%20Settings/Temporary%20Internet%20Files/OLK1F/SAI%20Global%20Corporate%20Law%20Bulletin%20No%20134%20October%202008.htm" TargetMode="External"/><Relationship Id="rId34" Type="http://schemas.openxmlformats.org/officeDocument/2006/relationships/hyperlink" Target="file:///C:/Documents%20and%20Settings/petersj/Local%20Settings/Temporary%20Internet%20Files/OLK1F/SAI%20Global%20Corporate%20Law%20Bulletin%20No%20134%20October%202008.htm" TargetMode="External"/><Relationship Id="rId35" Type="http://schemas.openxmlformats.org/officeDocument/2006/relationships/hyperlink" Target="file:///C:/Documents%20and%20Settings/petersj/Local%20Settings/Temporary%20Internet%20Files/OLK1F/SAI%20Global%20Corporate%20Law%20Bulletin%20No%20134%20October%202008.htm" TargetMode="External"/><Relationship Id="rId36" Type="http://schemas.openxmlformats.org/officeDocument/2006/relationships/hyperlink" Target="file:///C:/Documents%20and%20Settings/petersj/Local%20Settings/Temporary%20Internet%20Files/OLK1F/SAI%20Global%20Corporate%20Law%20Bulletin%20No%20134%20October%202008.htm" TargetMode="External"/><Relationship Id="rId37" Type="http://schemas.openxmlformats.org/officeDocument/2006/relationships/hyperlink" Target="file:///C:/Documents%20and%20Settings/petersj/Local%20Settings/Temporary%20Internet%20Files/OLK1F/SAI%20Global%20Corporate%20Law%20Bulletin%20No%20134%20October%202008.htm" TargetMode="External"/><Relationship Id="rId38" Type="http://schemas.openxmlformats.org/officeDocument/2006/relationships/hyperlink" Target="file:///C:/Documents%20and%20Settings/petersj/Local%20Settings/Temporary%20Internet%20Files/OLK1F/SAI%20Global%20Corporate%20Law%20Bulletin%20No%20134%20October%202008.htm" TargetMode="External"/><Relationship Id="rId39" Type="http://schemas.openxmlformats.org/officeDocument/2006/relationships/hyperlink" Target="file:///C:/Documents%20and%20Settings/petersj/Local%20Settings/Temporary%20Internet%20Files/OLK1F/SAI%20Global%20Corporate%20Law%20Bulletin%20No%20134%20October%202008.htm" TargetMode="External"/><Relationship Id="rId50" Type="http://schemas.openxmlformats.org/officeDocument/2006/relationships/hyperlink" Target="file:///C:/Documents%20and%20Settings/petersj/Local%20Settings/Temporary%20Internet%20Files/OLK1F/SAI%20Global%20Corporate%20Law%20Bulletin%20No%20134%20October%202008.htm" TargetMode="External"/><Relationship Id="rId51" Type="http://schemas.openxmlformats.org/officeDocument/2006/relationships/hyperlink" Target="file:///C:/Documents%20and%20Settings/petersj/Local%20Settings/Temporary%20Internet%20Files/OLK1F/SAI%20Global%20Corporate%20Law%20Bulletin%20No%20134%20October%202008.htm" TargetMode="External"/><Relationship Id="rId52" Type="http://schemas.openxmlformats.org/officeDocument/2006/relationships/hyperlink" Target="file:///C:/Documents%20and%20Settings/petersj/Local%20Settings/Temporary%20Internet%20Files/OLK1F/SAI%20Global%20Corporate%20Law%20Bulletin%20No%20134%20October%202008.htm" TargetMode="External"/><Relationship Id="rId53" Type="http://schemas.openxmlformats.org/officeDocument/2006/relationships/hyperlink" Target="file:///C:/Documents%20and%20Settings/petersj/Local%20Settings/Temporary%20Internet%20Files/OLK1F/SAI%20Global%20Corporate%20Law%20Bulletin%20No%20134%20October%202008.htm" TargetMode="External"/><Relationship Id="rId54" Type="http://schemas.openxmlformats.org/officeDocument/2006/relationships/hyperlink" Target="file:///C:/Documents%20and%20Settings/petersj/Local%20Settings/Temporary%20Internet%20Files/OLK1F/SAI%20Global%20Corporate%20Law%20Bulletin%20No%20134%20October%202008.htm" TargetMode="External"/><Relationship Id="rId55" Type="http://schemas.openxmlformats.org/officeDocument/2006/relationships/hyperlink" Target="file:///C:/Documents%20and%20Settings/petersj/Local%20Settings/Temporary%20Internet%20Files/OLK1F/SAI%20Global%20Corporate%20Law%20Bulletin%20No%20134%20October%202008.htm" TargetMode="External"/><Relationship Id="rId56" Type="http://schemas.openxmlformats.org/officeDocument/2006/relationships/hyperlink" Target="file:///C:/Documents%20and%20Settings/petersj/Local%20Settings/Temporary%20Internet%20Files/OLK1F/SAI%20Global%20Corporate%20Law%20Bulletin%20No%20134%20October%202008.htm" TargetMode="External"/><Relationship Id="rId57" Type="http://schemas.openxmlformats.org/officeDocument/2006/relationships/hyperlink" Target="file:///C:/Documents%20and%20Settings/petersj/Local%20Settings/Temporary%20Internet%20Files/OLK1F/SAI%20Global%20Corporate%20Law%20Bulletin%20No%20134%20October%202008.htm" TargetMode="External"/><Relationship Id="rId58" Type="http://schemas.openxmlformats.org/officeDocument/2006/relationships/hyperlink" Target="file:///C:/Documents%20and%20Settings/petersj/Local%20Settings/Temporary%20Internet%20Files/OLK1F/SAI%20Global%20Corporate%20Law%20Bulletin%20No%20134%20October%202008.htm" TargetMode="External"/><Relationship Id="rId59" Type="http://schemas.openxmlformats.org/officeDocument/2006/relationships/hyperlink" Target="file:///C:/Documents%20and%20Settings/petersj/Local%20Settings/Temporary%20Internet%20Files/OLK1F/SAI%20Global%20Corporate%20Law%20Bulletin%20No%20134%20October%202008.htm" TargetMode="External"/><Relationship Id="rId70" Type="http://schemas.openxmlformats.org/officeDocument/2006/relationships/hyperlink" Target="file:///C:/Documents%20and%20Settings/petersj/Local%20Settings/Temporary%20Internet%20Files/OLK1F/SAI%20Global%20Corporate%20Law%20Bulletin%20No%20134%20October%202008.htm" TargetMode="External"/><Relationship Id="rId71" Type="http://schemas.openxmlformats.org/officeDocument/2006/relationships/hyperlink" Target="file:///C:/Documents%20and%20Settings/petersj/Local%20Settings/Temporary%20Internet%20Files/OLK1F/SAI%20Global%20Corporate%20Law%20Bulletin%20No%20134%20October%202008.htm" TargetMode="External"/><Relationship Id="rId72" Type="http://schemas.openxmlformats.org/officeDocument/2006/relationships/hyperlink" Target="file:///C:/Documents%20and%20Settings/petersj/Local%20Settings/Temporary%20Internet%20Files/OLK1F/SAI%20Global%20Corporate%20Law%20Bulletin%20No%20134%20October%202008.htm" TargetMode="External"/><Relationship Id="rId73" Type="http://schemas.openxmlformats.org/officeDocument/2006/relationships/hyperlink" Target="file:///C:/Documents%20and%20Settings/petersj/Local%20Settings/Temporary%20Internet%20Files/OLK1F/SAI%20Global%20Corporate%20Law%20Bulletin%20No%20134%20October%202008.htm" TargetMode="External"/><Relationship Id="rId74" Type="http://schemas.openxmlformats.org/officeDocument/2006/relationships/hyperlink" Target="file:///C:/Documents%20and%20Settings/petersj/Local%20Settings/Temporary%20Internet%20Files/OLK1F/SAI%20Global%20Corporate%20Law%20Bulletin%20No%20134%20October%202008.htm" TargetMode="External"/><Relationship Id="rId75" Type="http://schemas.openxmlformats.org/officeDocument/2006/relationships/hyperlink" Target="file:///C:/Documents%20and%20Settings/petersj/Local%20Settings/Temporary%20Internet%20Files/OLK1F/SAI%20Global%20Corporate%20Law%20Bulletin%20No%20134%20October%202008.htm" TargetMode="External"/><Relationship Id="rId76" Type="http://schemas.openxmlformats.org/officeDocument/2006/relationships/hyperlink" Target="file:///C:/Documents%20and%20Settings/petersj/Local%20Settings/Temporary%20Internet%20Files/OLK1F/SAI%20Global%20Corporate%20Law%20Bulletin%20No%20134%20October%202008.htm" TargetMode="External"/><Relationship Id="rId77" Type="http://schemas.openxmlformats.org/officeDocument/2006/relationships/hyperlink" Target="file:///C:/Documents%20and%20Settings/petersj/Local%20Settings/Temporary%20Internet%20Files/OLK1F/SAI%20Global%20Corporate%20Law%20Bulletin%20No%20134%20October%202008.htm" TargetMode="External"/><Relationship Id="rId78" Type="http://schemas.openxmlformats.org/officeDocument/2006/relationships/hyperlink" Target="file:///C:/Documents%20and%20Settings/petersj/Local%20Settings/Temporary%20Internet%20Files/OLK1F/SAI%20Global%20Corporate%20Law%20Bulletin%20No%20134%20October%202008.htm" TargetMode="External"/><Relationship Id="rId79" Type="http://schemas.openxmlformats.org/officeDocument/2006/relationships/hyperlink" Target="file:///C:/Documents%20and%20Settings/petersj/Local%20Settings/Temporary%20Internet%20Files/OLK1F/SAI%20Global%20Corporate%20Law%20Bulletin%20No%20134%20October%202008.htm" TargetMode="Externa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saiglobal.com/"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1F/SAI%20Global%20Corporate%20Law%20Bulletin%20No%20134%20October%202008.htm" TargetMode="External"/><Relationship Id="rId41" Type="http://schemas.openxmlformats.org/officeDocument/2006/relationships/hyperlink" Target="file:///C:/Documents%20and%20Settings/petersj/Local%20Settings/Temporary%20Internet%20Files/OLK1F/SAI%20Global%20Corporate%20Law%20Bulletin%20No%20134%20October%202008.htm" TargetMode="External"/><Relationship Id="rId42" Type="http://schemas.openxmlformats.org/officeDocument/2006/relationships/hyperlink" Target="file:///C:/Documents%20and%20Settings/petersj/Local%20Settings/Temporary%20Internet%20Files/OLK1F/SAI%20Global%20Corporate%20Law%20Bulletin%20No%20134%20October%202008.htm" TargetMode="External"/><Relationship Id="rId43" Type="http://schemas.openxmlformats.org/officeDocument/2006/relationships/hyperlink" Target="file:///C:/Documents%20and%20Settings/petersj/Local%20Settings/Temporary%20Internet%20Files/OLK1F/SAI%20Global%20Corporate%20Law%20Bulletin%20No%20134%20October%202008.htm" TargetMode="External"/><Relationship Id="rId44" Type="http://schemas.openxmlformats.org/officeDocument/2006/relationships/hyperlink" Target="file:///C:/Documents%20and%20Settings/petersj/Local%20Settings/Temporary%20Internet%20Files/OLK1F/SAI%20Global%20Corporate%20Law%20Bulletin%20No%20134%20October%202008.htm" TargetMode="External"/><Relationship Id="rId45" Type="http://schemas.openxmlformats.org/officeDocument/2006/relationships/hyperlink" Target="file:///C:/Documents%20and%20Settings/petersj/Local%20Settings/Temporary%20Internet%20Files/OLK1F/SAI%20Global%20Corporate%20Law%20Bulletin%20No%20134%20October%202008.htm" TargetMode="External"/><Relationship Id="rId46" Type="http://schemas.openxmlformats.org/officeDocument/2006/relationships/hyperlink" Target="file:///C:/Documents%20and%20Settings/petersj/Local%20Settings/Temporary%20Internet%20Files/OLK1F/SAI%20Global%20Corporate%20Law%20Bulletin%20No%20134%20October%202008.htm" TargetMode="External"/><Relationship Id="rId47" Type="http://schemas.openxmlformats.org/officeDocument/2006/relationships/hyperlink" Target="file:///C:/Documents%20and%20Settings/petersj/Local%20Settings/Temporary%20Internet%20Files/OLK1F/SAI%20Global%20Corporate%20Law%20Bulletin%20No%20134%20October%202008.htm" TargetMode="External"/><Relationship Id="rId48" Type="http://schemas.openxmlformats.org/officeDocument/2006/relationships/hyperlink" Target="file:///C:/Documents%20and%20Settings/petersj/Local%20Settings/Temporary%20Internet%20Files/OLK1F/SAI%20Global%20Corporate%20Law%20Bulletin%20No%20134%20October%202008.htm" TargetMode="External"/><Relationship Id="rId49" Type="http://schemas.openxmlformats.org/officeDocument/2006/relationships/hyperlink" Target="file:///C:/Documents%20and%20Settings/petersj/Local%20Settings/Temporary%20Internet%20Files/OLK1F/SAI%20Global%20Corporate%20Law%20Bulletin%20No%20134%20October%202008.htm" TargetMode="External"/><Relationship Id="rId60" Type="http://schemas.openxmlformats.org/officeDocument/2006/relationships/hyperlink" Target="file:///C:/Documents%20and%20Settings/petersj/Local%20Settings/Temporary%20Internet%20Files/OLK1F/SAI%20Global%20Corporate%20Law%20Bulletin%20No%20134%20October%202008.htm" TargetMode="External"/><Relationship Id="rId61" Type="http://schemas.openxmlformats.org/officeDocument/2006/relationships/hyperlink" Target="file:///C:/Documents%20and%20Settings/petersj/Local%20Settings/Temporary%20Internet%20Files/OLK1F/SAI%20Global%20Corporate%20Law%20Bulletin%20No%20134%20October%202008.htm" TargetMode="External"/><Relationship Id="rId62" Type="http://schemas.openxmlformats.org/officeDocument/2006/relationships/hyperlink" Target="file:///C:/Documents%20and%20Settings/petersj/Local%20Settings/Temporary%20Internet%20Files/OLK1F/SAI%20Global%20Corporate%20Law%20Bulletin%20No%20134%20October%202008.htm" TargetMode="External"/><Relationship Id="rId63" Type="http://schemas.openxmlformats.org/officeDocument/2006/relationships/hyperlink" Target="file:///C:/Documents%20and%20Settings/petersj/Local%20Settings/Temporary%20Internet%20Files/OLK1F/SAI%20Global%20Corporate%20Law%20Bulletin%20No%20134%20October%202008.htm" TargetMode="External"/><Relationship Id="rId64" Type="http://schemas.openxmlformats.org/officeDocument/2006/relationships/hyperlink" Target="file:///C:/Documents%20and%20Settings/petersj/Local%20Settings/Temporary%20Internet%20Files/OLK1F/SAI%20Global%20Corporate%20Law%20Bulletin%20No%20134%20October%202008.htm" TargetMode="External"/><Relationship Id="rId65" Type="http://schemas.openxmlformats.org/officeDocument/2006/relationships/hyperlink" Target="file:///C:/Documents%20and%20Settings/petersj/Local%20Settings/Temporary%20Internet%20Files/OLK1F/SAI%20Global%20Corporate%20Law%20Bulletin%20No%20134%20October%202008.htm" TargetMode="External"/><Relationship Id="rId66" Type="http://schemas.openxmlformats.org/officeDocument/2006/relationships/hyperlink" Target="file:///C:/Documents%20and%20Settings/petersj/Local%20Settings/Temporary%20Internet%20Files/OLK1F/SAI%20Global%20Corporate%20Law%20Bulletin%20No%20134%20October%202008.htm" TargetMode="External"/><Relationship Id="rId67" Type="http://schemas.openxmlformats.org/officeDocument/2006/relationships/hyperlink" Target="file:///C:/Documents%20and%20Settings/petersj/Local%20Settings/Temporary%20Internet%20Files/OLK1F/SAI%20Global%20Corporate%20Law%20Bulletin%20No%20134%20October%202008.htm" TargetMode="External"/><Relationship Id="rId68" Type="http://schemas.openxmlformats.org/officeDocument/2006/relationships/hyperlink" Target="file:///C:/Documents%20and%20Settings/petersj/Local%20Settings/Temporary%20Internet%20Files/OLK1F/SAI%20Global%20Corporate%20Law%20Bulletin%20No%20134%20October%202008.htm" TargetMode="External"/><Relationship Id="rId69" Type="http://schemas.openxmlformats.org/officeDocument/2006/relationships/hyperlink" Target="file:///C:/Documents%20and%20Settings/petersj/Local%20Settings/Temporary%20Internet%20Files/OLK1F/SAI%20Global%20Corporate%20Law%20Bulletin%20No%20134%20October%202008.htm" TargetMode="External"/><Relationship Id="rId80" Type="http://schemas.openxmlformats.org/officeDocument/2006/relationships/hyperlink" Target="file:///C:/Documents%20and%20Settings/petersj/Local%20Settings/Temporary%20Internet%20Files/OLK1F/SAI%20Global%20Corporate%20Law%20Bulletin%20No%20134%20October%202008.htm" TargetMode="External"/><Relationship Id="rId81" Type="http://schemas.openxmlformats.org/officeDocument/2006/relationships/hyperlink" Target="file:///C:/Documents%20and%20Settings/petersj/Local%20Settings/Temporary%20Internet%20Files/OLK1F/SAI%20Global%20Corporate%20Law%20Bulletin%20No%20134%20October%202008.htm" TargetMode="External"/><Relationship Id="rId82" Type="http://schemas.openxmlformats.org/officeDocument/2006/relationships/hyperlink" Target="file:///C:/Documents%20and%20Settings/petersj/Local%20Settings/Temporary%20Internet%20Files/OLK1F/SAI%20Global%20Corporate%20Law%20Bulletin%20No%20134%20October%202008.htm" TargetMode="External"/><Relationship Id="rId83" Type="http://schemas.openxmlformats.org/officeDocument/2006/relationships/hyperlink" Target="file:///localhost/C:/Documents%20and%20Settings/petersj/Local%20Settings/Temporary%20Internet%20Files/OLK1F/SAI%20Global%20Corporate%20Law%20Bulletin%20No%20134%20October%202008.htm%232" TargetMode="External"/><Relationship Id="rId84" Type="http://schemas.openxmlformats.org/officeDocument/2006/relationships/hyperlink" Target="file:///localhost/C:/Documents%20and%20Settings/petersj/Local%20Settings/Temporary%20Internet%20Files/OLK1F/SAI%20Global%20Corporate%20Law%20Bulletin%20No%20134%20October%202008.htm%23h1" TargetMode="External"/><Relationship Id="rId85" Type="http://schemas.openxmlformats.org/officeDocument/2006/relationships/image" Target="media/image12.gif"/><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4820</Words>
  <Characters>27474</Characters>
  <Application>Microsoft Macintosh Word</Application>
  <DocSecurity>0</DocSecurity>
  <Lines>228</Lines>
  <Paragraphs>64</Paragraphs>
  <ScaleCrop>false</ScaleCrop>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2015-11-22T08:16:00Z</dcterms:created>
  <dcterms:modified xsi:type="dcterms:W3CDTF">2015-11-22T08:16:00Z</dcterms:modified>
</cp:coreProperties>
</file>